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B2" w:rsidRDefault="00BA7EB2" w:rsidP="00BA7EB2">
      <w:pPr>
        <w:rPr>
          <w:rFonts w:ascii="Calibri Light" w:hAnsi="Calibri Light"/>
          <w:sz w:val="28"/>
          <w:szCs w:val="28"/>
          <w:u w:val="single"/>
        </w:rPr>
      </w:pP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u w:val="single"/>
          <w:lang w:val="en-US"/>
        </w:rPr>
      </w:pPr>
      <w:r w:rsidRPr="00BA7EB2">
        <w:rPr>
          <w:rFonts w:ascii="Calibri Light" w:hAnsi="Calibri Light"/>
          <w:sz w:val="28"/>
          <w:szCs w:val="28"/>
          <w:u w:val="single"/>
          <w:lang w:val="en-US"/>
        </w:rPr>
        <w:t>Caries resistance in enamel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 xml:space="preserve">Caries resistance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is defined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as the resistance (retention of structural and functional integrity) of enamel to the action of </w:t>
      </w:r>
      <w:proofErr w:type="spellStart"/>
      <w:r w:rsidRPr="00BA7EB2">
        <w:rPr>
          <w:rFonts w:ascii="Calibri Light" w:hAnsi="Calibri Light"/>
          <w:sz w:val="28"/>
          <w:szCs w:val="28"/>
          <w:lang w:val="en-US"/>
        </w:rPr>
        <w:t>cariesogenic</w:t>
      </w:r>
      <w:proofErr w:type="spellEnd"/>
      <w:r w:rsidRPr="00BA7EB2">
        <w:rPr>
          <w:rFonts w:ascii="Calibri Light" w:hAnsi="Calibri Light"/>
          <w:sz w:val="28"/>
          <w:szCs w:val="28"/>
          <w:lang w:val="en-US"/>
        </w:rPr>
        <w:t xml:space="preserve"> factors. Enamel caries resistance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is defined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by properties such as acid resistance, </w:t>
      </w:r>
      <w:proofErr w:type="spellStart"/>
      <w:r w:rsidRPr="00BA7EB2">
        <w:rPr>
          <w:rFonts w:ascii="Calibri Light" w:hAnsi="Calibri Light"/>
          <w:sz w:val="28"/>
          <w:szCs w:val="28"/>
          <w:lang w:val="en-US"/>
        </w:rPr>
        <w:t>microhardness</w:t>
      </w:r>
      <w:proofErr w:type="spellEnd"/>
      <w:r w:rsidRPr="00BA7EB2">
        <w:rPr>
          <w:rFonts w:ascii="Calibri Light" w:hAnsi="Calibri Light"/>
          <w:sz w:val="28"/>
          <w:szCs w:val="28"/>
          <w:lang w:val="en-US"/>
        </w:rPr>
        <w:t xml:space="preserve"> and permeability.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>Enamel resistance to caries defines: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 xml:space="preserve">-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features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of the chemical composition of the enamel apatite (molecular level);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>- Structural features of enamel: completeness of organic matrix, arrangement of crystals and prisms, Ca/P ratio, level of permeability, presence of structural defects (tissue level);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 xml:space="preserve">-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anatomical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features of the tooth, size and shape of fissures, interdental spaces (organ level);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 xml:space="preserve">-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condition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of organs and systems of the body, including salivary glands, salivary secretion, nonspecific and specific protective factors (systemic level).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 xml:space="preserve">Increased caries resistance of enamel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is promoted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by: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>- Correct formation of the embryos and development of the tooth tissues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;</w:t>
      </w:r>
      <w:proofErr w:type="gramEnd"/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>- Timely and complete maturation of the enamel after eruption;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 xml:space="preserve">-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sufficient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oral fluid, its optimal chemical composition and </w:t>
      </w:r>
      <w:proofErr w:type="spellStart"/>
      <w:r w:rsidRPr="00BA7EB2">
        <w:rPr>
          <w:rFonts w:ascii="Calibri Light" w:hAnsi="Calibri Light"/>
          <w:sz w:val="28"/>
          <w:szCs w:val="28"/>
          <w:lang w:val="en-US"/>
        </w:rPr>
        <w:t>remineralising</w:t>
      </w:r>
      <w:proofErr w:type="spellEnd"/>
      <w:r w:rsidRPr="00BA7EB2">
        <w:rPr>
          <w:rFonts w:ascii="Calibri Light" w:hAnsi="Calibri Light"/>
          <w:sz w:val="28"/>
          <w:szCs w:val="28"/>
          <w:lang w:val="en-US"/>
        </w:rPr>
        <w:t xml:space="preserve"> potential;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>- A good level of oral hygiene;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 xml:space="preserve">-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regular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use of fluoride-containing oral hygiene products; diet (low carbohydrate intake, presence of solid foods in the diet);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 xml:space="preserve">-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good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chewing and self-cleaning of the tooth surface.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bookmarkStart w:id="0" w:name="_GoBack"/>
      <w:bookmarkEnd w:id="0"/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>IMPACT OF SYSTEMIC CHRONIC DISEASES ON DENTAL HARD TISSUE HEALTH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>Oral condition and general health are closely related.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 xml:space="preserve">Tooth decay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is increased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by: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>- Diseases and conditions accompanied by reduced salivary flow: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>- Endocrine disorders (diabetes mellitus)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;</w:t>
      </w:r>
      <w:proofErr w:type="gramEnd"/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>- Rheumatoid conditions (</w:t>
      </w:r>
      <w:proofErr w:type="spellStart"/>
      <w:r w:rsidRPr="00BA7EB2">
        <w:rPr>
          <w:rFonts w:ascii="Calibri Light" w:hAnsi="Calibri Light"/>
          <w:sz w:val="28"/>
          <w:szCs w:val="28"/>
          <w:lang w:val="en-US"/>
        </w:rPr>
        <w:t>Sjögren's</w:t>
      </w:r>
      <w:proofErr w:type="spellEnd"/>
      <w:r w:rsidRPr="00BA7EB2">
        <w:rPr>
          <w:rFonts w:ascii="Calibri Light" w:hAnsi="Calibri Light"/>
          <w:sz w:val="28"/>
          <w:szCs w:val="28"/>
          <w:lang w:val="en-US"/>
        </w:rPr>
        <w:t xml:space="preserve"> syndrome);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>- Immune system dysfunctions (HIV);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lastRenderedPageBreak/>
        <w:t xml:space="preserve">-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neurological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diseases (Parkinson's disease);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>- Psychogenic disorders (depression);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 xml:space="preserve">-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conditions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accompanied by dehydration.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 xml:space="preserve">- Taking medication that reduces salivary flow (analgesics, antidepressants, diuretics, antispasmodics, antihistamines, </w:t>
      </w:r>
      <w:proofErr w:type="spellStart"/>
      <w:r w:rsidRPr="00BA7EB2">
        <w:rPr>
          <w:rFonts w:ascii="Calibri Light" w:hAnsi="Calibri Light"/>
          <w:sz w:val="28"/>
          <w:szCs w:val="28"/>
          <w:lang w:val="en-US"/>
        </w:rPr>
        <w:t>antihypertensives</w:t>
      </w:r>
      <w:proofErr w:type="spellEnd"/>
      <w:r w:rsidRPr="00BA7EB2">
        <w:rPr>
          <w:rFonts w:ascii="Calibri Light" w:hAnsi="Calibri Light"/>
          <w:sz w:val="28"/>
          <w:szCs w:val="28"/>
          <w:lang w:val="en-US"/>
        </w:rPr>
        <w:t xml:space="preserve">, </w:t>
      </w:r>
      <w:proofErr w:type="spellStart"/>
      <w:r w:rsidRPr="00BA7EB2">
        <w:rPr>
          <w:rFonts w:ascii="Calibri Light" w:hAnsi="Calibri Light"/>
          <w:sz w:val="28"/>
          <w:szCs w:val="28"/>
          <w:lang w:val="en-US"/>
        </w:rPr>
        <w:t>psychotropics</w:t>
      </w:r>
      <w:proofErr w:type="spellEnd"/>
      <w:r w:rsidRPr="00BA7EB2">
        <w:rPr>
          <w:rFonts w:ascii="Calibri Light" w:hAnsi="Calibri Light"/>
          <w:sz w:val="28"/>
          <w:szCs w:val="28"/>
          <w:lang w:val="en-US"/>
        </w:rPr>
        <w:t>, etc.);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 xml:space="preserve">-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gastroesophageal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reflux;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 xml:space="preserve">- </w:t>
      </w:r>
      <w:proofErr w:type="gramStart"/>
      <w:r w:rsidRPr="00BA7EB2">
        <w:rPr>
          <w:rFonts w:ascii="Calibri Light" w:hAnsi="Calibri Light"/>
          <w:sz w:val="28"/>
          <w:szCs w:val="28"/>
          <w:lang w:val="en-US"/>
        </w:rPr>
        <w:t>diseases</w:t>
      </w:r>
      <w:proofErr w:type="gramEnd"/>
      <w:r w:rsidRPr="00BA7EB2">
        <w:rPr>
          <w:rFonts w:ascii="Calibri Light" w:hAnsi="Calibri Light"/>
          <w:sz w:val="28"/>
          <w:szCs w:val="28"/>
          <w:lang w:val="en-US"/>
        </w:rPr>
        <w:t xml:space="preserve"> that lead to impaired manual oral care skills (post-stroke conditions, cerebral palsy, mental disorders, etc.)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  <w:r w:rsidRPr="00BA7EB2">
        <w:rPr>
          <w:rFonts w:ascii="Calibri Light" w:hAnsi="Calibri Light"/>
          <w:sz w:val="28"/>
          <w:szCs w:val="28"/>
          <w:lang w:val="en-US"/>
        </w:rPr>
        <w:t>- Undergoing a course of radiation therapy.</w:t>
      </w: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lang w:val="en-US"/>
        </w:rPr>
      </w:pP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u w:val="single"/>
          <w:lang w:val="en-US"/>
        </w:rPr>
      </w:pP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u w:val="single"/>
          <w:lang w:val="en-US"/>
        </w:rPr>
      </w:pP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u w:val="single"/>
          <w:lang w:val="en-US"/>
        </w:rPr>
      </w:pPr>
    </w:p>
    <w:p w:rsidR="00BA7EB2" w:rsidRPr="00BA7EB2" w:rsidRDefault="00BA7EB2" w:rsidP="00BA7EB2">
      <w:pPr>
        <w:rPr>
          <w:rFonts w:ascii="Calibri Light" w:hAnsi="Calibri Light"/>
          <w:sz w:val="28"/>
          <w:szCs w:val="28"/>
          <w:u w:val="single"/>
          <w:lang w:val="en-US"/>
        </w:rPr>
      </w:pPr>
    </w:p>
    <w:p w:rsidR="00BA7EB2" w:rsidRPr="00BA7EB2" w:rsidRDefault="00BA7EB2">
      <w:pPr>
        <w:rPr>
          <w:rFonts w:ascii="Calibri Light" w:hAnsi="Calibri Light"/>
          <w:sz w:val="28"/>
          <w:szCs w:val="28"/>
        </w:rPr>
      </w:pPr>
    </w:p>
    <w:sectPr w:rsidR="00BA7EB2" w:rsidRPr="00BA7EB2" w:rsidSect="00BA7E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B2"/>
    <w:rsid w:val="00223CDD"/>
    <w:rsid w:val="005E07DE"/>
    <w:rsid w:val="00AB177B"/>
    <w:rsid w:val="00BA7EB2"/>
    <w:rsid w:val="00D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F3B7"/>
  <w15:chartTrackingRefBased/>
  <w15:docId w15:val="{C4AF4620-F5F6-49C9-B21B-AE79E7B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1</cp:revision>
  <dcterms:created xsi:type="dcterms:W3CDTF">2022-10-06T05:16:00Z</dcterms:created>
  <dcterms:modified xsi:type="dcterms:W3CDTF">2022-10-06T05:21:00Z</dcterms:modified>
</cp:coreProperties>
</file>