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A1" w:rsidRDefault="006511F8">
      <w:pPr>
        <w:spacing w:line="240" w:lineRule="auto"/>
        <w:ind w:left="577" w:right="464" w:hanging="58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</w:t>
      </w:r>
    </w:p>
    <w:p w:rsidR="00A647A1" w:rsidRDefault="006511F8">
      <w:pPr>
        <w:spacing w:after="0" w:line="259" w:lineRule="auto"/>
        <w:ind w:left="697" w:right="464" w:firstLine="0"/>
      </w:pPr>
      <w:r>
        <w:t xml:space="preserve">профессора В.Ф. Войно-Ясенецкого» Министерства здравоохранений России </w:t>
      </w:r>
    </w:p>
    <w:p w:rsidR="00A647A1" w:rsidRDefault="006511F8">
      <w:pPr>
        <w:spacing w:after="20" w:line="259" w:lineRule="auto"/>
        <w:ind w:left="0" w:firstLine="0"/>
        <w:jc w:val="left"/>
      </w:pPr>
      <w:r>
        <w:t xml:space="preserve"> </w:t>
      </w:r>
    </w:p>
    <w:p w:rsidR="00A647A1" w:rsidRDefault="006511F8">
      <w:pPr>
        <w:spacing w:after="3" w:line="259" w:lineRule="auto"/>
        <w:ind w:left="10" w:right="476" w:hanging="10"/>
        <w:jc w:val="center"/>
      </w:pPr>
      <w:r>
        <w:t xml:space="preserve">Кафедра нервных болезней с курсом ПО </w:t>
      </w:r>
    </w:p>
    <w:p w:rsidR="00A647A1" w:rsidRDefault="006511F8">
      <w:pPr>
        <w:spacing w:after="0" w:line="259" w:lineRule="auto"/>
        <w:ind w:left="0" w:right="416" w:firstLine="0"/>
        <w:jc w:val="center"/>
      </w:pPr>
      <w:r>
        <w:t xml:space="preserve"> </w:t>
      </w:r>
    </w:p>
    <w:p w:rsidR="00A647A1" w:rsidRDefault="006511F8">
      <w:pPr>
        <w:spacing w:after="0" w:line="259" w:lineRule="auto"/>
        <w:ind w:left="0" w:right="416" w:firstLine="0"/>
        <w:jc w:val="center"/>
      </w:pPr>
      <w:r>
        <w:t xml:space="preserve"> </w:t>
      </w:r>
    </w:p>
    <w:p w:rsidR="00A647A1" w:rsidRDefault="006511F8">
      <w:pPr>
        <w:spacing w:after="0" w:line="259" w:lineRule="auto"/>
        <w:ind w:left="0" w:right="416" w:firstLine="0"/>
        <w:jc w:val="center"/>
      </w:pPr>
      <w:r>
        <w:t xml:space="preserve"> </w:t>
      </w:r>
    </w:p>
    <w:p w:rsidR="00A647A1" w:rsidRDefault="006511F8">
      <w:pPr>
        <w:spacing w:after="0" w:line="259" w:lineRule="auto"/>
        <w:ind w:left="0" w:right="416" w:firstLine="0"/>
        <w:jc w:val="center"/>
      </w:pPr>
      <w:r>
        <w:t xml:space="preserve"> </w:t>
      </w:r>
    </w:p>
    <w:p w:rsidR="00A647A1" w:rsidRDefault="006511F8">
      <w:pPr>
        <w:spacing w:after="20" w:line="259" w:lineRule="auto"/>
        <w:ind w:left="0" w:right="416" w:firstLine="0"/>
        <w:jc w:val="center"/>
      </w:pPr>
      <w:r>
        <w:t xml:space="preserve"> </w:t>
      </w:r>
    </w:p>
    <w:p w:rsidR="00A647A1" w:rsidRDefault="006511F8">
      <w:pPr>
        <w:spacing w:after="0" w:line="259" w:lineRule="auto"/>
        <w:ind w:left="10" w:right="471" w:hanging="10"/>
        <w:jc w:val="right"/>
      </w:pPr>
      <w:r>
        <w:rPr>
          <w:b/>
        </w:rPr>
        <w:t>Зав. кафедрой:</w:t>
      </w:r>
      <w:r>
        <w:t xml:space="preserve"> д.м.н., проф. С.В. Прокопенко </w:t>
      </w:r>
    </w:p>
    <w:p w:rsidR="00A647A1" w:rsidRDefault="006511F8">
      <w:pPr>
        <w:spacing w:after="0" w:line="259" w:lineRule="auto"/>
        <w:ind w:left="0" w:firstLine="0"/>
        <w:jc w:val="left"/>
      </w:pPr>
      <w:r>
        <w:t xml:space="preserve"> </w:t>
      </w:r>
    </w:p>
    <w:p w:rsidR="00A647A1" w:rsidRDefault="006511F8">
      <w:pPr>
        <w:spacing w:after="0" w:line="259" w:lineRule="auto"/>
        <w:ind w:left="0" w:right="416" w:firstLine="0"/>
        <w:jc w:val="center"/>
      </w:pPr>
      <w:r>
        <w:t xml:space="preserve"> </w:t>
      </w:r>
    </w:p>
    <w:p w:rsidR="00A647A1" w:rsidRDefault="006511F8">
      <w:pPr>
        <w:spacing w:after="0" w:line="259" w:lineRule="auto"/>
        <w:ind w:left="0" w:right="416" w:firstLine="0"/>
        <w:jc w:val="center"/>
      </w:pPr>
      <w:r>
        <w:t xml:space="preserve"> </w:t>
      </w:r>
    </w:p>
    <w:p w:rsidR="00A647A1" w:rsidRDefault="006511F8">
      <w:pPr>
        <w:spacing w:after="0" w:line="259" w:lineRule="auto"/>
        <w:ind w:left="0" w:right="416" w:firstLine="0"/>
        <w:jc w:val="center"/>
      </w:pPr>
      <w:r>
        <w:t xml:space="preserve"> </w:t>
      </w:r>
    </w:p>
    <w:p w:rsidR="00A647A1" w:rsidRDefault="006511F8">
      <w:pPr>
        <w:spacing w:after="0" w:line="259" w:lineRule="auto"/>
        <w:ind w:left="0" w:right="416" w:firstLine="0"/>
        <w:jc w:val="center"/>
      </w:pPr>
      <w:r>
        <w:t xml:space="preserve"> </w:t>
      </w:r>
    </w:p>
    <w:p w:rsidR="00A647A1" w:rsidRDefault="006511F8">
      <w:pPr>
        <w:spacing w:after="0" w:line="259" w:lineRule="auto"/>
        <w:ind w:left="0" w:right="416" w:firstLine="0"/>
        <w:jc w:val="center"/>
      </w:pPr>
      <w:r>
        <w:t xml:space="preserve"> </w:t>
      </w:r>
    </w:p>
    <w:p w:rsidR="00A647A1" w:rsidRDefault="006511F8">
      <w:pPr>
        <w:spacing w:after="0" w:line="259" w:lineRule="auto"/>
        <w:ind w:left="0" w:right="416" w:firstLine="0"/>
        <w:jc w:val="center"/>
      </w:pPr>
      <w:r>
        <w:t xml:space="preserve"> </w:t>
      </w:r>
    </w:p>
    <w:p w:rsidR="00A647A1" w:rsidRDefault="006511F8">
      <w:pPr>
        <w:spacing w:after="0" w:line="259" w:lineRule="auto"/>
        <w:ind w:left="0" w:right="416" w:firstLine="0"/>
        <w:jc w:val="center"/>
      </w:pPr>
      <w:r>
        <w:t xml:space="preserve"> </w:t>
      </w:r>
    </w:p>
    <w:p w:rsidR="00A647A1" w:rsidRDefault="006511F8">
      <w:pPr>
        <w:spacing w:after="0" w:line="259" w:lineRule="auto"/>
        <w:ind w:left="0" w:right="416" w:firstLine="0"/>
        <w:jc w:val="center"/>
      </w:pPr>
      <w:r>
        <w:rPr>
          <w:b/>
        </w:rPr>
        <w:t xml:space="preserve"> </w:t>
      </w:r>
    </w:p>
    <w:p w:rsidR="00A647A1" w:rsidRPr="00907543" w:rsidRDefault="006511F8">
      <w:pPr>
        <w:spacing w:after="0" w:line="259" w:lineRule="auto"/>
        <w:ind w:left="0" w:right="416" w:firstLine="0"/>
        <w:jc w:val="center"/>
        <w:rPr>
          <w:sz w:val="28"/>
          <w:szCs w:val="28"/>
        </w:rPr>
      </w:pPr>
      <w:r w:rsidRPr="00907543">
        <w:rPr>
          <w:b/>
          <w:sz w:val="28"/>
          <w:szCs w:val="28"/>
        </w:rPr>
        <w:t xml:space="preserve"> </w:t>
      </w:r>
    </w:p>
    <w:p w:rsidR="00A647A1" w:rsidRPr="00572624" w:rsidRDefault="00A647A1" w:rsidP="002D140A">
      <w:pPr>
        <w:spacing w:after="23" w:line="259" w:lineRule="auto"/>
        <w:ind w:left="0" w:right="416" w:firstLine="0"/>
        <w:jc w:val="center"/>
        <w:rPr>
          <w:szCs w:val="24"/>
        </w:rPr>
      </w:pPr>
    </w:p>
    <w:p w:rsidR="00A647A1" w:rsidRDefault="006511F8" w:rsidP="002D140A">
      <w:pPr>
        <w:spacing w:after="0" w:line="259" w:lineRule="auto"/>
        <w:ind w:left="10" w:right="475" w:hanging="10"/>
        <w:jc w:val="center"/>
        <w:rPr>
          <w:szCs w:val="24"/>
        </w:rPr>
      </w:pPr>
      <w:r w:rsidRPr="00572624">
        <w:rPr>
          <w:b/>
          <w:szCs w:val="24"/>
        </w:rPr>
        <w:t>Реферат на тему:</w:t>
      </w:r>
    </w:p>
    <w:p w:rsidR="002D140A" w:rsidRPr="002D140A" w:rsidRDefault="002D140A" w:rsidP="002D140A">
      <w:pPr>
        <w:spacing w:after="0" w:line="259" w:lineRule="auto"/>
        <w:ind w:left="10" w:right="475" w:hanging="10"/>
        <w:rPr>
          <w:szCs w:val="24"/>
        </w:rPr>
      </w:pPr>
    </w:p>
    <w:p w:rsidR="00A647A1" w:rsidRPr="002D140A" w:rsidRDefault="002D140A" w:rsidP="002D140A">
      <w:pPr>
        <w:ind w:right="472"/>
        <w:rPr>
          <w:szCs w:val="24"/>
        </w:rPr>
      </w:pPr>
      <w:r>
        <w:rPr>
          <w:szCs w:val="24"/>
        </w:rPr>
        <w:t xml:space="preserve">                                 </w:t>
      </w:r>
      <w:bookmarkStart w:id="0" w:name="_GoBack"/>
      <w:r w:rsidR="006511F8" w:rsidRPr="002D140A">
        <w:rPr>
          <w:szCs w:val="24"/>
        </w:rPr>
        <w:t>«</w:t>
      </w:r>
      <w:r w:rsidR="0005130E" w:rsidRPr="002D140A">
        <w:rPr>
          <w:rStyle w:val="a9"/>
          <w:color w:val="3C4245"/>
          <w:shd w:val="clear" w:color="auto" w:fill="FFFFFF"/>
        </w:rPr>
        <w:t>Синдром Гийена – Барре</w:t>
      </w:r>
      <w:r w:rsidR="006511F8" w:rsidRPr="002D140A">
        <w:rPr>
          <w:szCs w:val="24"/>
        </w:rPr>
        <w:t>»</w:t>
      </w:r>
    </w:p>
    <w:bookmarkEnd w:id="0"/>
    <w:p w:rsidR="00A647A1" w:rsidRPr="00572624" w:rsidRDefault="00A647A1" w:rsidP="00572624">
      <w:pPr>
        <w:spacing w:after="0" w:line="259" w:lineRule="auto"/>
        <w:ind w:left="0" w:right="416" w:firstLine="0"/>
        <w:jc w:val="center"/>
        <w:rPr>
          <w:szCs w:val="24"/>
        </w:rPr>
      </w:pPr>
    </w:p>
    <w:p w:rsidR="00A647A1" w:rsidRDefault="006511F8">
      <w:pPr>
        <w:spacing w:after="0" w:line="259" w:lineRule="auto"/>
        <w:ind w:left="0" w:right="416" w:firstLine="0"/>
        <w:jc w:val="center"/>
      </w:pPr>
      <w:r>
        <w:rPr>
          <w:b/>
        </w:rPr>
        <w:t xml:space="preserve"> </w:t>
      </w:r>
    </w:p>
    <w:p w:rsidR="00A647A1" w:rsidRDefault="006511F8">
      <w:pPr>
        <w:spacing w:after="0" w:line="259" w:lineRule="auto"/>
        <w:ind w:left="0" w:firstLine="0"/>
        <w:jc w:val="left"/>
      </w:pPr>
      <w:r>
        <w:t xml:space="preserve"> </w:t>
      </w:r>
    </w:p>
    <w:p w:rsidR="00A647A1" w:rsidRDefault="006511F8">
      <w:pPr>
        <w:spacing w:after="0" w:line="259" w:lineRule="auto"/>
        <w:ind w:left="0" w:right="416" w:firstLine="0"/>
        <w:jc w:val="center"/>
      </w:pPr>
      <w:r>
        <w:t xml:space="preserve"> </w:t>
      </w:r>
    </w:p>
    <w:p w:rsidR="00A647A1" w:rsidRDefault="006511F8">
      <w:pPr>
        <w:spacing w:after="0" w:line="259" w:lineRule="auto"/>
        <w:ind w:left="0" w:firstLine="0"/>
        <w:jc w:val="left"/>
      </w:pPr>
      <w:r>
        <w:t xml:space="preserve"> </w:t>
      </w:r>
    </w:p>
    <w:p w:rsidR="00A647A1" w:rsidRDefault="006511F8">
      <w:pPr>
        <w:spacing w:after="0" w:line="259" w:lineRule="auto"/>
        <w:ind w:left="2705" w:firstLine="0"/>
        <w:jc w:val="center"/>
      </w:pPr>
      <w:r>
        <w:rPr>
          <w:b/>
        </w:rPr>
        <w:t xml:space="preserve"> </w:t>
      </w:r>
    </w:p>
    <w:p w:rsidR="00A647A1" w:rsidRDefault="006511F8">
      <w:pPr>
        <w:spacing w:after="0" w:line="259" w:lineRule="auto"/>
        <w:ind w:left="2705" w:firstLine="0"/>
        <w:jc w:val="center"/>
      </w:pPr>
      <w:r>
        <w:rPr>
          <w:b/>
        </w:rPr>
        <w:t xml:space="preserve"> </w:t>
      </w:r>
    </w:p>
    <w:p w:rsidR="00A647A1" w:rsidRDefault="006511F8">
      <w:pPr>
        <w:spacing w:after="0" w:line="259" w:lineRule="auto"/>
        <w:ind w:left="2705" w:firstLine="0"/>
        <w:jc w:val="center"/>
      </w:pPr>
      <w:r>
        <w:rPr>
          <w:b/>
        </w:rPr>
        <w:t xml:space="preserve"> </w:t>
      </w:r>
    </w:p>
    <w:p w:rsidR="00A647A1" w:rsidRDefault="006511F8">
      <w:pPr>
        <w:spacing w:after="0" w:line="259" w:lineRule="auto"/>
        <w:ind w:left="1294" w:firstLine="0"/>
        <w:jc w:val="center"/>
      </w:pPr>
      <w:r>
        <w:rPr>
          <w:b/>
        </w:rPr>
        <w:t xml:space="preserve"> </w:t>
      </w:r>
    </w:p>
    <w:p w:rsidR="00A647A1" w:rsidRDefault="006511F8">
      <w:pPr>
        <w:spacing w:after="0" w:line="259" w:lineRule="auto"/>
        <w:ind w:left="1294" w:firstLine="0"/>
        <w:jc w:val="center"/>
      </w:pPr>
      <w:r>
        <w:rPr>
          <w:b/>
        </w:rPr>
        <w:t xml:space="preserve"> </w:t>
      </w:r>
    </w:p>
    <w:p w:rsidR="00A647A1" w:rsidRDefault="006511F8">
      <w:pPr>
        <w:spacing w:after="0" w:line="259" w:lineRule="auto"/>
        <w:ind w:left="1294" w:firstLine="0"/>
        <w:jc w:val="center"/>
      </w:pPr>
      <w:r>
        <w:rPr>
          <w:b/>
        </w:rPr>
        <w:t xml:space="preserve"> </w:t>
      </w:r>
    </w:p>
    <w:p w:rsidR="00A647A1" w:rsidRDefault="006511F8">
      <w:pPr>
        <w:spacing w:after="18" w:line="259" w:lineRule="auto"/>
        <w:ind w:left="1294" w:firstLine="0"/>
        <w:jc w:val="center"/>
      </w:pPr>
      <w:r>
        <w:rPr>
          <w:b/>
        </w:rPr>
        <w:t xml:space="preserve"> </w:t>
      </w:r>
    </w:p>
    <w:p w:rsidR="00E1373A" w:rsidRDefault="006511F8">
      <w:pPr>
        <w:spacing w:line="236" w:lineRule="auto"/>
        <w:ind w:left="5532" w:right="116" w:firstLine="0"/>
      </w:pPr>
      <w:r>
        <w:rPr>
          <w:b/>
        </w:rPr>
        <w:t>Выполнила:</w:t>
      </w:r>
      <w:r>
        <w:t xml:space="preserve"> ординатор 1 года  </w:t>
      </w:r>
    </w:p>
    <w:p w:rsidR="00A647A1" w:rsidRDefault="006511F8">
      <w:pPr>
        <w:spacing w:line="236" w:lineRule="auto"/>
        <w:ind w:left="5532" w:right="116" w:firstLine="0"/>
      </w:pPr>
      <w:r>
        <w:t xml:space="preserve">кафедры нервных болезней с курсом ПО </w:t>
      </w:r>
    </w:p>
    <w:p w:rsidR="00A647A1" w:rsidRDefault="006511F8">
      <w:pPr>
        <w:spacing w:after="0" w:line="259" w:lineRule="auto"/>
        <w:ind w:left="5532" w:right="464" w:firstLine="0"/>
      </w:pPr>
      <w:r>
        <w:t xml:space="preserve">специальности 31.08.42 Неврология  </w:t>
      </w:r>
    </w:p>
    <w:p w:rsidR="00A647A1" w:rsidRDefault="006511F8">
      <w:pPr>
        <w:spacing w:after="29" w:line="259" w:lineRule="auto"/>
        <w:ind w:left="1294" w:firstLine="0"/>
        <w:jc w:val="center"/>
      </w:pPr>
      <w:r>
        <w:rPr>
          <w:b/>
        </w:rPr>
        <w:t xml:space="preserve"> </w:t>
      </w:r>
    </w:p>
    <w:p w:rsidR="00A647A1" w:rsidRDefault="006511F8">
      <w:pPr>
        <w:spacing w:after="0" w:line="259" w:lineRule="auto"/>
        <w:ind w:left="5542" w:hanging="10"/>
        <w:jc w:val="left"/>
      </w:pPr>
      <w:r>
        <w:rPr>
          <w:b/>
        </w:rPr>
        <w:t xml:space="preserve">Понедельник Дарья Николаевна </w:t>
      </w:r>
    </w:p>
    <w:p w:rsidR="00A647A1" w:rsidRDefault="006511F8">
      <w:pPr>
        <w:spacing w:after="0" w:line="259" w:lineRule="auto"/>
        <w:ind w:left="2705" w:firstLine="0"/>
        <w:jc w:val="center"/>
      </w:pPr>
      <w:r>
        <w:rPr>
          <w:b/>
        </w:rPr>
        <w:t xml:space="preserve"> </w:t>
      </w:r>
    </w:p>
    <w:p w:rsidR="00A647A1" w:rsidRDefault="006511F8">
      <w:pPr>
        <w:spacing w:after="0" w:line="259" w:lineRule="auto"/>
        <w:ind w:left="0" w:right="416" w:firstLine="0"/>
        <w:jc w:val="center"/>
      </w:pPr>
      <w:r>
        <w:t xml:space="preserve"> </w:t>
      </w:r>
    </w:p>
    <w:p w:rsidR="00A647A1" w:rsidRDefault="006511F8">
      <w:pPr>
        <w:spacing w:after="0" w:line="259" w:lineRule="auto"/>
        <w:ind w:left="0" w:right="416" w:firstLine="0"/>
        <w:jc w:val="center"/>
      </w:pPr>
      <w:r>
        <w:t xml:space="preserve"> </w:t>
      </w:r>
    </w:p>
    <w:p w:rsidR="006511F8" w:rsidRDefault="006511F8" w:rsidP="006511F8">
      <w:pPr>
        <w:spacing w:after="0" w:line="259" w:lineRule="auto"/>
        <w:ind w:left="0" w:right="416" w:firstLine="0"/>
        <w:jc w:val="center"/>
      </w:pPr>
      <w:r>
        <w:t xml:space="preserve"> </w:t>
      </w:r>
    </w:p>
    <w:p w:rsidR="00A647A1" w:rsidRDefault="0005130E" w:rsidP="006511F8">
      <w:pPr>
        <w:spacing w:after="0" w:line="259" w:lineRule="auto"/>
        <w:ind w:left="0" w:right="416" w:firstLine="0"/>
        <w:jc w:val="center"/>
      </w:pPr>
      <w:r>
        <w:t>Красноярск 2024</w:t>
      </w:r>
    </w:p>
    <w:p w:rsidR="00A647A1" w:rsidRDefault="006511F8" w:rsidP="006511F8">
      <w:pPr>
        <w:spacing w:after="280" w:line="259" w:lineRule="auto"/>
        <w:ind w:left="0" w:firstLine="0"/>
        <w:jc w:val="left"/>
      </w:pPr>
      <w:r>
        <w:rPr>
          <w:b/>
        </w:rPr>
        <w:lastRenderedPageBreak/>
        <w:t xml:space="preserve">Оглавление </w:t>
      </w:r>
    </w:p>
    <w:sdt>
      <w:sdtPr>
        <w:rPr>
          <w:rFonts w:ascii="Times New Roman" w:eastAsia="Times New Roman" w:hAnsi="Times New Roman" w:cs="Times New Roman"/>
        </w:rPr>
        <w:id w:val="1391378589"/>
        <w:docPartObj>
          <w:docPartGallery w:val="Table of Contents"/>
        </w:docPartObj>
      </w:sdtPr>
      <w:sdtEndPr/>
      <w:sdtContent>
        <w:p w:rsidR="00A647A1" w:rsidRDefault="006511F8" w:rsidP="006511F8">
          <w:pPr>
            <w:pStyle w:val="11"/>
            <w:tabs>
              <w:tab w:val="right" w:leader="dot" w:pos="9830"/>
            </w:tabs>
            <w:ind w:left="0" w:firstLine="0"/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7013">
            <w:r>
              <w:rPr>
                <w:rFonts w:ascii="Times New Roman" w:eastAsia="Times New Roman" w:hAnsi="Times New Roman" w:cs="Times New Roman"/>
              </w:rPr>
              <w:t>Общие сведения</w:t>
            </w:r>
            <w:r>
              <w:tab/>
            </w:r>
            <w:r>
              <w:fldChar w:fldCharType="begin"/>
            </w:r>
            <w:r>
              <w:instrText>PAGEREF _Toc7013 \h</w:instrText>
            </w:r>
            <w:r>
              <w:fldChar w:fldCharType="separate"/>
            </w:r>
            <w:r w:rsidR="00C93918">
              <w:rPr>
                <w:noProof/>
              </w:rPr>
              <w:t>3</w:t>
            </w:r>
            <w:r>
              <w:fldChar w:fldCharType="end"/>
            </w:r>
          </w:hyperlink>
        </w:p>
        <w:p w:rsidR="00A647A1" w:rsidRDefault="00947136">
          <w:pPr>
            <w:pStyle w:val="11"/>
            <w:tabs>
              <w:tab w:val="right" w:leader="dot" w:pos="9830"/>
            </w:tabs>
          </w:pPr>
          <w:hyperlink w:anchor="_Toc7014">
            <w:r w:rsidR="006511F8">
              <w:rPr>
                <w:rFonts w:ascii="Times New Roman" w:eastAsia="Times New Roman" w:hAnsi="Times New Roman" w:cs="Times New Roman"/>
              </w:rPr>
              <w:t>Историческая справка</w:t>
            </w:r>
            <w:r w:rsidR="006511F8">
              <w:tab/>
            </w:r>
            <w:r w:rsidR="006511F8">
              <w:fldChar w:fldCharType="begin"/>
            </w:r>
            <w:r w:rsidR="006511F8">
              <w:instrText>PAGEREF _Toc7014 \h</w:instrText>
            </w:r>
            <w:r w:rsidR="006511F8">
              <w:fldChar w:fldCharType="separate"/>
            </w:r>
            <w:r w:rsidR="00C93918">
              <w:rPr>
                <w:noProof/>
              </w:rPr>
              <w:t>5</w:t>
            </w:r>
            <w:r w:rsidR="006511F8">
              <w:fldChar w:fldCharType="end"/>
            </w:r>
          </w:hyperlink>
        </w:p>
        <w:p w:rsidR="00A647A1" w:rsidRDefault="00947136">
          <w:pPr>
            <w:pStyle w:val="11"/>
            <w:tabs>
              <w:tab w:val="right" w:leader="dot" w:pos="9830"/>
            </w:tabs>
          </w:pPr>
          <w:hyperlink w:anchor="_Toc7015">
            <w:r w:rsidR="00907543">
              <w:rPr>
                <w:rFonts w:ascii="Times New Roman" w:eastAsia="Times New Roman" w:hAnsi="Times New Roman" w:cs="Times New Roman"/>
              </w:rPr>
              <w:t>Эпидемиология</w:t>
            </w:r>
            <w:r w:rsidR="006511F8">
              <w:tab/>
            </w:r>
            <w:r w:rsidR="006511F8">
              <w:fldChar w:fldCharType="begin"/>
            </w:r>
            <w:r w:rsidR="006511F8">
              <w:instrText>PAGEREF _Toc7015 \h</w:instrText>
            </w:r>
            <w:r w:rsidR="006511F8">
              <w:fldChar w:fldCharType="separate"/>
            </w:r>
            <w:r w:rsidR="00C93918">
              <w:rPr>
                <w:noProof/>
              </w:rPr>
              <w:t>6</w:t>
            </w:r>
            <w:r w:rsidR="006511F8">
              <w:fldChar w:fldCharType="end"/>
            </w:r>
          </w:hyperlink>
        </w:p>
        <w:p w:rsidR="00907543" w:rsidRDefault="00907543">
          <w:pPr>
            <w:pStyle w:val="11"/>
            <w:tabs>
              <w:tab w:val="right" w:leader="dot" w:pos="9830"/>
            </w:tabs>
          </w:pPr>
          <w:r w:rsidRPr="00907543">
            <w:rPr>
              <w:rFonts w:ascii="Times New Roman" w:hAnsi="Times New Roman" w:cs="Times New Roman"/>
            </w:rPr>
            <w:t>Классификация…</w:t>
          </w:r>
          <w:r>
            <w:t>…………………………………</w:t>
          </w:r>
          <w:r w:rsidR="00C93918">
            <w:t>………………………………………………………………………………….5</w:t>
          </w:r>
        </w:p>
        <w:p w:rsidR="00A647A1" w:rsidRDefault="00947136">
          <w:pPr>
            <w:pStyle w:val="11"/>
            <w:tabs>
              <w:tab w:val="right" w:leader="dot" w:pos="9830"/>
            </w:tabs>
          </w:pPr>
          <w:hyperlink w:anchor="_Toc7016">
            <w:r w:rsidR="006511F8">
              <w:rPr>
                <w:rFonts w:ascii="Times New Roman" w:eastAsia="Times New Roman" w:hAnsi="Times New Roman" w:cs="Times New Roman"/>
              </w:rPr>
              <w:t>Клиническая картина</w:t>
            </w:r>
            <w:r w:rsidR="006511F8">
              <w:tab/>
            </w:r>
            <w:r w:rsidR="006511F8">
              <w:fldChar w:fldCharType="begin"/>
            </w:r>
            <w:r w:rsidR="006511F8">
              <w:instrText>PAGEREF _Toc7016 \h</w:instrText>
            </w:r>
            <w:r w:rsidR="006511F8">
              <w:fldChar w:fldCharType="separate"/>
            </w:r>
            <w:r w:rsidR="00C93918">
              <w:rPr>
                <w:noProof/>
              </w:rPr>
              <w:t>6</w:t>
            </w:r>
            <w:r w:rsidR="006511F8">
              <w:fldChar w:fldCharType="end"/>
            </w:r>
          </w:hyperlink>
        </w:p>
        <w:p w:rsidR="00A647A1" w:rsidRDefault="00947136">
          <w:pPr>
            <w:pStyle w:val="11"/>
            <w:tabs>
              <w:tab w:val="right" w:leader="dot" w:pos="9830"/>
            </w:tabs>
          </w:pPr>
          <w:hyperlink w:anchor="_Toc7017">
            <w:r w:rsidR="006511F8">
              <w:rPr>
                <w:rFonts w:ascii="Times New Roman" w:eastAsia="Times New Roman" w:hAnsi="Times New Roman" w:cs="Times New Roman"/>
              </w:rPr>
              <w:t>Диагностика</w:t>
            </w:r>
            <w:r w:rsidR="006511F8">
              <w:tab/>
            </w:r>
            <w:r w:rsidR="006511F8">
              <w:fldChar w:fldCharType="begin"/>
            </w:r>
            <w:r w:rsidR="006511F8">
              <w:instrText>PAGEREF _Toc7017 \h</w:instrText>
            </w:r>
            <w:r w:rsidR="006511F8">
              <w:fldChar w:fldCharType="separate"/>
            </w:r>
            <w:r w:rsidR="00C93918">
              <w:rPr>
                <w:noProof/>
              </w:rPr>
              <w:t>7</w:t>
            </w:r>
            <w:r w:rsidR="006511F8">
              <w:fldChar w:fldCharType="end"/>
            </w:r>
          </w:hyperlink>
        </w:p>
        <w:p w:rsidR="00A647A1" w:rsidRDefault="00947136">
          <w:pPr>
            <w:pStyle w:val="11"/>
            <w:tabs>
              <w:tab w:val="right" w:leader="dot" w:pos="9830"/>
            </w:tabs>
          </w:pPr>
          <w:hyperlink w:anchor="_Toc7018">
            <w:r w:rsidR="006511F8">
              <w:rPr>
                <w:rFonts w:ascii="Times New Roman" w:eastAsia="Times New Roman" w:hAnsi="Times New Roman" w:cs="Times New Roman"/>
              </w:rPr>
              <w:t>Лечение</w:t>
            </w:r>
            <w:r w:rsidR="006511F8">
              <w:tab/>
            </w:r>
            <w:r w:rsidR="006511F8">
              <w:fldChar w:fldCharType="begin"/>
            </w:r>
            <w:r w:rsidR="006511F8">
              <w:instrText>PAGEREF _Toc7018 \h</w:instrText>
            </w:r>
            <w:r w:rsidR="006511F8">
              <w:fldChar w:fldCharType="separate"/>
            </w:r>
            <w:r w:rsidR="00C93918">
              <w:rPr>
                <w:noProof/>
              </w:rPr>
              <w:t>13</w:t>
            </w:r>
            <w:r w:rsidR="006511F8">
              <w:fldChar w:fldCharType="end"/>
            </w:r>
          </w:hyperlink>
        </w:p>
        <w:p w:rsidR="00A647A1" w:rsidRDefault="00947136">
          <w:pPr>
            <w:pStyle w:val="11"/>
            <w:tabs>
              <w:tab w:val="right" w:leader="dot" w:pos="9830"/>
            </w:tabs>
          </w:pPr>
          <w:hyperlink w:anchor="_Toc7019">
            <w:r w:rsidR="006511F8">
              <w:rPr>
                <w:rFonts w:ascii="Times New Roman" w:eastAsia="Times New Roman" w:hAnsi="Times New Roman" w:cs="Times New Roman"/>
              </w:rPr>
              <w:t>Прогноз</w:t>
            </w:r>
            <w:r w:rsidR="006511F8">
              <w:tab/>
            </w:r>
            <w:r w:rsidR="006511F8">
              <w:fldChar w:fldCharType="begin"/>
            </w:r>
            <w:r w:rsidR="006511F8">
              <w:instrText>PAGEREF _Toc7019 \h</w:instrText>
            </w:r>
            <w:r w:rsidR="006511F8">
              <w:fldChar w:fldCharType="separate"/>
            </w:r>
            <w:r w:rsidR="00C93918">
              <w:rPr>
                <w:noProof/>
              </w:rPr>
              <w:t>16</w:t>
            </w:r>
            <w:r w:rsidR="006511F8">
              <w:fldChar w:fldCharType="end"/>
            </w:r>
          </w:hyperlink>
        </w:p>
        <w:p w:rsidR="00A647A1" w:rsidRDefault="00947136">
          <w:pPr>
            <w:pStyle w:val="11"/>
            <w:tabs>
              <w:tab w:val="right" w:leader="dot" w:pos="9830"/>
            </w:tabs>
          </w:pPr>
          <w:hyperlink w:anchor="_Toc7020">
            <w:r w:rsidR="006511F8">
              <w:rPr>
                <w:rFonts w:ascii="Times New Roman" w:eastAsia="Times New Roman" w:hAnsi="Times New Roman" w:cs="Times New Roman"/>
              </w:rPr>
              <w:t>Список литературы:</w:t>
            </w:r>
            <w:r w:rsidR="006511F8">
              <w:tab/>
            </w:r>
            <w:r w:rsidR="006511F8">
              <w:fldChar w:fldCharType="begin"/>
            </w:r>
            <w:r w:rsidR="006511F8">
              <w:instrText>PAGEREF _Toc7020 \h</w:instrText>
            </w:r>
            <w:r w:rsidR="006511F8">
              <w:fldChar w:fldCharType="separate"/>
            </w:r>
            <w:r w:rsidR="00C93918">
              <w:rPr>
                <w:noProof/>
              </w:rPr>
              <w:t>17</w:t>
            </w:r>
            <w:r w:rsidR="006511F8">
              <w:fldChar w:fldCharType="end"/>
            </w:r>
          </w:hyperlink>
        </w:p>
        <w:p w:rsidR="00A647A1" w:rsidRDefault="006511F8">
          <w:r>
            <w:fldChar w:fldCharType="end"/>
          </w:r>
        </w:p>
      </w:sdtContent>
    </w:sdt>
    <w:p w:rsidR="00A647A1" w:rsidRDefault="006511F8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647A1" w:rsidRDefault="006511F8">
      <w:pPr>
        <w:spacing w:after="156" w:line="259" w:lineRule="auto"/>
        <w:ind w:left="0" w:firstLine="0"/>
        <w:jc w:val="left"/>
      </w:pPr>
      <w:r>
        <w:t xml:space="preserve"> </w:t>
      </w:r>
    </w:p>
    <w:p w:rsidR="00A647A1" w:rsidRPr="00E1373A" w:rsidRDefault="006511F8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A647A1" w:rsidRDefault="00907543" w:rsidP="008C4E40">
      <w:pPr>
        <w:pStyle w:val="1"/>
        <w:spacing w:line="360" w:lineRule="auto"/>
        <w:ind w:left="706" w:right="0"/>
        <w:rPr>
          <w:color w:val="000000" w:themeColor="text1"/>
          <w:szCs w:val="24"/>
        </w:rPr>
      </w:pPr>
      <w:bookmarkStart w:id="1" w:name="_Toc7013"/>
      <w:r w:rsidRPr="00572624">
        <w:rPr>
          <w:color w:val="000000" w:themeColor="text1"/>
          <w:szCs w:val="24"/>
        </w:rPr>
        <w:lastRenderedPageBreak/>
        <w:t>Общие сведения</w:t>
      </w:r>
      <w:r w:rsidR="006511F8" w:rsidRPr="00572624">
        <w:rPr>
          <w:color w:val="000000" w:themeColor="text1"/>
          <w:szCs w:val="24"/>
        </w:rPr>
        <w:t xml:space="preserve"> </w:t>
      </w:r>
      <w:bookmarkEnd w:id="1"/>
    </w:p>
    <w:p w:rsidR="0005130E" w:rsidRPr="0005130E" w:rsidRDefault="0005130E" w:rsidP="008C4E40">
      <w:pPr>
        <w:jc w:val="left"/>
      </w:pPr>
      <w:r w:rsidRPr="0005130E">
        <w:t>Синдром Гийена – Барре – это острая, обычно быстро прогрессирующая воспалительная полинейропатия, характеризующаяся мышечной слабостью и умеренным выпадением дистальной чувствительности и самоограничивающимся течением. Заболевание имеет аутоиммунную природу. Диагноз ставится на основе клинических данных. Лечение включает в себя плазмаферез, внутривенные иммуноглобулины, искусственную вентиляцию легких при тяжелом течении.</w:t>
      </w:r>
      <w:r>
        <w:t xml:space="preserve"> </w:t>
      </w:r>
      <w:r>
        <w:rPr>
          <w:szCs w:val="24"/>
        </w:rPr>
        <w:t>П</w:t>
      </w:r>
      <w:r w:rsidRPr="0005130E">
        <w:rPr>
          <w:szCs w:val="24"/>
        </w:rPr>
        <w:t>атологическое состояние, при котором иммунная система атакует отдельные участки периферической нервной системы. При этом поражаются нервы, контролирующие мышечные сокращения или передающие болевые, температурные и тактильные ощущения. Это может приводить к снижению тонуса мышц, потере чувствительности в ногах и/или руках, трудностях при глотании или дыхании.</w:t>
      </w:r>
    </w:p>
    <w:p w:rsidR="0005130E" w:rsidRDefault="0005130E" w:rsidP="008C4E40">
      <w:pPr>
        <w:jc w:val="left"/>
        <w:rPr>
          <w:szCs w:val="24"/>
        </w:rPr>
      </w:pPr>
      <w:r w:rsidRPr="0005130E">
        <w:rPr>
          <w:szCs w:val="24"/>
        </w:rPr>
        <w:t xml:space="preserve">Этиологические факторы синдрома Гийена-Барре окончательно не изучены, что позволяет именовать болезнь идиопатической полинейропатией. Имеются основания рассматривать целый ряд патогенных микроорганизмов в качестве этиологически значимых, поскольку инфицирование ими зачастую (в 66% случаев) предшествует развитию синдрома Гийена-Барре. В их числе фигурируют следующие: цитомегаловирус (ЦМВ), вирус Epstein-Barr, Haemophilus influenzae тип b, Mycoplasma pneumoniae, Campylobacter jejuni и многие другие возбудители инфекционных болезней и процессов. При этом Campylobacter jejuni является причинно-значимым инфекционным агентом у трети пациентов, а молекулярная мимикрия между ганглиозидами и липосахаридами (эпитопы GM1, GM1b, GD1a, GQ1b, GalNAc-GD1a) данного микроорганизма способствует выработке антиганглиозидных антител. Высокие титры антиганглиозидных антител классов IgM, IgG и IgA, вступающие в реакции с эпитопами аксоплазматического отдела аксонов и миелиновой оболочки, обнаруживаются в сыворотке крови у 40% больных с синдромом Гийена-Барре. Не исключается этиологическая роль некоторых видов профилактической иммунизации (противополиомиелитной, антирабической, противодифтерийной, противогриппозной и др.) в развитии синдрома Гийена-Барре. Риск развития болезни после противогриппозной вакцинации (H1N1) составляет порядка 1-2 случая на 1 миллион привитых. В ходе генетических исследований выявлена связь между антигенами HLA-54, HLA-CW1, HLA-DQB*3 и синдромом Гийена-Барре. Обнаружена положительная корреляция между острой воспалительной демиелинизирующей полинейропатией и  аллелем  DQB1*0603 с уникальным эпитопом DQβED70-71, а также отрицательная корреляции – с аллелями AQB1*0503, DQB1*0601, DQB1*0602 и </w:t>
      </w:r>
      <w:r w:rsidRPr="0005130E">
        <w:rPr>
          <w:szCs w:val="24"/>
        </w:rPr>
        <w:lastRenderedPageBreak/>
        <w:t xml:space="preserve">DQB1*0603, характеризуемыми эпитопом RDP55-57. Считается, что класс HLA является  определяющим при различных вариантах синдрома Гийена-Барре, а сама болезнь представляет комплексное генетическое нарушение, на исход которого оказывают влияние генетические факторы и окружение. K.H. Chang и соавт. (2012) описали 256 генов и 18 генных сетей, достоверно ассоциированных с синдромом Гийена-Барре; среди них наиболее частыми генами оказались FOS, PTGS2, HMGB2 и MMP9. Болезнь вызывается аномальным Т-клеточным ответом, индуцированным инфекционным процессом. Возникает воспалительная нейропатия с перекрестной реактивностью между антителами к инфекционным агентам и антителами к 7  нейроантигенам, поскольку липоолигосахариды в клеточной стенке бактерий напоминают ганглиозиды, а антиганглиозидные антитела формируются в ответ острые инфекции.  Таким образом, синдром Гийена-Барре рассматривается, как приобретенная иммунно-опосредованная нейропатия, развивающаяся вследствие аберрантной иммунной реакции на предшествующее иммуноактивирующее событие (перенесение вирусной инфекции, вакцинация и т.д.). Иммунопатологические реакции приводят к аутоиммунному повреждению тканей, ассоциированному с механизмами молекулярной мимикрии, участием суперантигенов и стимуляцией цитокинов. Обнаружение ДНК Campylobacter jejuni в миеломоноцитарных клетках позволяет предполагать представление нейритогенных антигенов Т-клеткам комплексом HLA класса II. Начальным этапом в иммунопатогенезе болезни является представление антигена наивным Т-клеткам с их последующей активацией, циркуляцией по кровотоку и привязыванием к венулярному эндотелию периферических нервов. Затем Т-клетки пересекают гематоэнцефалический барьер, мигрируют через эндотелиальный слой в периваскулярную область и направляются в эндоневрий, задействуя механизмы молекул адгезии (селектины, лейкоцитарные интегрины и их контрарецепторы). Заключительным этапом в патогенезе синдрома Гийена-Барре является вхождение Т-клеток и аутоантител в эндоневрий вместе с макрофагами, где при помощи антительных и Т-клеточных механизмов идентифицируются аутоантигены на аксональных или шванновских клетках. Описываемый процесс приводит к выраженному повреждению тканей, чему способствует акивный фагоцитоз клеток моноцитарно-макрофагальной линии. При классической форме синдрома Гийена-Барре (острая воспалительная демиелинизирующая полинейропатия) происходит поражение волокон двигательных и чувствительных нейронов. При этом основными структурами, подвергающимися патологическому воздействию, являются преимущественно корни мотонейронов и смежные </w:t>
      </w:r>
      <w:r w:rsidRPr="0005130E">
        <w:rPr>
          <w:szCs w:val="24"/>
        </w:rPr>
        <w:lastRenderedPageBreak/>
        <w:t>проксимальные сплетения. Характерен феномен выраженной сегментарной воспалительной демиелинизации, сопровождающейся очаговой и диффузной инфильтрацией Т-лимфоидными и моноцитарно-макрофагальными клетками на всех уровнях периферической нервной системы. Воспалительные клетки аккумулируются вокруг мелких сосудов эндоневрия/эпиневрия. Комплемент-опосредованное связывание антител с эпитопами, расположенных на поверхностной мембране шванновских клеток, предшествует Т-клеточной инфильтрации. Аксональные варианты синдрома Гийена-Барре (острая моторно-аксональная и моторно-сенсорная нейропатии) характеризуются отсутствием выраженных признаков воспаления и наличием аксональной дегенерации нервных волокон. Изменения в ЦНС при этих вариантах болезни вторичны по отношению к дегенерации аксонов. При острой моторно-аксональной нейропатии «иммунной атаке» подвержены, в первую очередь, двигательные узлы Ранвье. ОМАН и ОМСАН ассоциированы с антиганглиозидными антителами (GM1/GD1a/GM1b/GalNAc-GD1a); предполагается, что оба аксональных варианта синдрома Гийена-Барре вызываются антительно-опосредованной первичной аксональной дегенерацией или антительно-опосредованной ингибицией вольтажзависимых натриевых каналов. Точные механизмы патогенеза синдрома Миллера-Фишера окончательно не изучены, но известно, что болезнь ассоциирована c повышенными титрами 8  антиганглиозидных антител (преимущественно к GQ1b), как и стволовой энцефалит Бикерстаффа.</w:t>
      </w:r>
    </w:p>
    <w:p w:rsidR="008C4E40" w:rsidRPr="00572624" w:rsidRDefault="008C4E40" w:rsidP="008C4E40">
      <w:pPr>
        <w:ind w:left="-284" w:right="1183"/>
        <w:jc w:val="left"/>
        <w:rPr>
          <w:szCs w:val="24"/>
        </w:rPr>
      </w:pPr>
      <w:r>
        <w:rPr>
          <w:noProof/>
        </w:rPr>
        <w:drawing>
          <wp:inline distT="0" distB="0" distL="0" distR="0" wp14:anchorId="621FE2C8" wp14:editId="1C31B51D">
            <wp:extent cx="3275801" cy="2535555"/>
            <wp:effectExtent l="0" t="0" r="1270" b="0"/>
            <wp:docPr id="2" name="Рисунок 2" descr="Синдром Гийена-Барре — причины возникновения, симптомы заболевания,  диагностика и лечение боле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ндром Гийена-Барре — причины возникновения, симптомы заболевания,  диагностика и лечение болез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567" cy="254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7A1" w:rsidRPr="00572624" w:rsidRDefault="00907543" w:rsidP="008C4E40">
      <w:pPr>
        <w:pStyle w:val="1"/>
        <w:spacing w:after="108" w:line="360" w:lineRule="auto"/>
        <w:ind w:right="0"/>
        <w:rPr>
          <w:color w:val="000000" w:themeColor="text1"/>
          <w:szCs w:val="24"/>
        </w:rPr>
      </w:pPr>
      <w:bookmarkStart w:id="2" w:name="_Toc7014"/>
      <w:r w:rsidRPr="00572624">
        <w:rPr>
          <w:color w:val="000000" w:themeColor="text1"/>
          <w:szCs w:val="24"/>
        </w:rPr>
        <w:t xml:space="preserve">      </w:t>
      </w:r>
      <w:r w:rsidR="006511F8" w:rsidRPr="00572624">
        <w:rPr>
          <w:color w:val="000000" w:themeColor="text1"/>
          <w:szCs w:val="24"/>
        </w:rPr>
        <w:t xml:space="preserve">Историческая справка </w:t>
      </w:r>
      <w:bookmarkEnd w:id="2"/>
    </w:p>
    <w:p w:rsidR="00572624" w:rsidRPr="00572624" w:rsidRDefault="0005130E" w:rsidP="008C4E40">
      <w:pPr>
        <w:spacing w:line="360" w:lineRule="auto"/>
        <w:jc w:val="left"/>
        <w:rPr>
          <w:color w:val="000000" w:themeColor="text1"/>
          <w:szCs w:val="24"/>
        </w:rPr>
      </w:pPr>
      <w:r w:rsidRPr="0005130E">
        <w:rPr>
          <w:color w:val="000000" w:themeColor="text1"/>
          <w:szCs w:val="24"/>
        </w:rPr>
        <w:t>Описание синдрома было опубликовано в 1916 году французскими врачами Жоржем Гийеном и Жаном Барре, и названо в их честь.</w:t>
      </w:r>
    </w:p>
    <w:p w:rsidR="00A647A1" w:rsidRPr="00572624" w:rsidRDefault="00200695" w:rsidP="008C4E40">
      <w:pPr>
        <w:pStyle w:val="1"/>
        <w:spacing w:line="360" w:lineRule="auto"/>
        <w:ind w:right="0"/>
        <w:rPr>
          <w:color w:val="000000" w:themeColor="text1"/>
          <w:szCs w:val="24"/>
        </w:rPr>
      </w:pPr>
      <w:bookmarkStart w:id="3" w:name="_Toc7015"/>
      <w:r w:rsidRPr="00572624">
        <w:rPr>
          <w:color w:val="000000" w:themeColor="text1"/>
          <w:szCs w:val="24"/>
        </w:rPr>
        <w:lastRenderedPageBreak/>
        <w:t xml:space="preserve">       </w:t>
      </w:r>
      <w:r w:rsidR="00907543" w:rsidRPr="00572624">
        <w:rPr>
          <w:color w:val="000000" w:themeColor="text1"/>
          <w:szCs w:val="24"/>
        </w:rPr>
        <w:t>Эпидемиология</w:t>
      </w:r>
      <w:bookmarkEnd w:id="3"/>
    </w:p>
    <w:p w:rsidR="0005130E" w:rsidRPr="0005130E" w:rsidRDefault="0005130E" w:rsidP="008C4E40">
      <w:pPr>
        <w:jc w:val="left"/>
        <w:rPr>
          <w:szCs w:val="24"/>
        </w:rPr>
      </w:pPr>
      <w:r w:rsidRPr="0005130E">
        <w:rPr>
          <w:szCs w:val="24"/>
        </w:rPr>
        <w:t>Синдром Гийена-Барре – редкий вид острой демиелинизирующей патологии, встречающейся с частотой 1-1,9 случая на 100 тысяч населения. На долю аксональных вариантов синдрома Гийена-Барре (острая моторноаксональная нейропатия - ОМАН, острая моторно-сенсорная аксональная нейропатия - ОМСАН) в странах Запада приходятся 3-5%, а в Азии и Латинской Америке – 30-50%. 6  Около 5% от всех случаев синдрома Гийена-Барре составляет синдром Миллера</w:t>
      </w:r>
      <w:r>
        <w:rPr>
          <w:szCs w:val="24"/>
        </w:rPr>
        <w:t>-</w:t>
      </w:r>
      <w:r w:rsidRPr="0005130E">
        <w:rPr>
          <w:szCs w:val="24"/>
        </w:rPr>
        <w:t>Фишера. По другим данным, распространенность синдрома Миллера-Фишера – 1,9 случаев на 1000000 населения, что примерно соответствует распространенности острой моторно-аксональной и острой моторно-сенсорной аксональной нейропатий. Острая панавтономная дизавтономия – самый редкий вариант синдрома Гийена</w:t>
      </w:r>
      <w:r>
        <w:rPr>
          <w:szCs w:val="24"/>
        </w:rPr>
        <w:t>-</w:t>
      </w:r>
      <w:r w:rsidRPr="0005130E">
        <w:rPr>
          <w:szCs w:val="24"/>
        </w:rPr>
        <w:t>Барре, ее распространенность в настоящее время не изучена.  Данных о распространенности стволового энцефалита Бикерстаффа в доступной литературе также не представлено.</w:t>
      </w:r>
    </w:p>
    <w:p w:rsidR="00907543" w:rsidRPr="00572624" w:rsidRDefault="00907543" w:rsidP="008C4E40">
      <w:pPr>
        <w:jc w:val="left"/>
        <w:rPr>
          <w:szCs w:val="24"/>
        </w:rPr>
      </w:pPr>
    </w:p>
    <w:p w:rsidR="00907543" w:rsidRPr="00572624" w:rsidRDefault="00907543" w:rsidP="008C4E40">
      <w:pPr>
        <w:spacing w:after="172" w:line="360" w:lineRule="auto"/>
        <w:ind w:left="426" w:firstLine="0"/>
        <w:jc w:val="left"/>
        <w:rPr>
          <w:b/>
          <w:color w:val="000000" w:themeColor="text1"/>
          <w:szCs w:val="24"/>
        </w:rPr>
      </w:pPr>
      <w:bookmarkStart w:id="4" w:name="_Toc7016"/>
      <w:r w:rsidRPr="00572624">
        <w:rPr>
          <w:b/>
          <w:color w:val="000000" w:themeColor="text1"/>
          <w:szCs w:val="24"/>
        </w:rPr>
        <w:t>Классификация</w:t>
      </w:r>
    </w:p>
    <w:p w:rsidR="0005130E" w:rsidRDefault="000C0E9E" w:rsidP="008C4E40">
      <w:pPr>
        <w:spacing w:line="360" w:lineRule="auto"/>
        <w:ind w:left="0" w:firstLine="0"/>
        <w:jc w:val="left"/>
        <w:rPr>
          <w:color w:val="000000" w:themeColor="text1"/>
          <w:szCs w:val="24"/>
        </w:rPr>
      </w:pPr>
      <w:r w:rsidRPr="00572624">
        <w:rPr>
          <w:color w:val="000000" w:themeColor="text1"/>
          <w:szCs w:val="24"/>
        </w:rPr>
        <w:t xml:space="preserve">         </w:t>
      </w:r>
      <w:r w:rsidR="0005130E" w:rsidRPr="0005130E">
        <w:rPr>
          <w:color w:val="000000" w:themeColor="text1"/>
          <w:szCs w:val="24"/>
        </w:rPr>
        <w:t xml:space="preserve">Синдром Гийена-Барре относят как к числу нейроинфекций, так и к постинфекционным состояниям. </w:t>
      </w:r>
    </w:p>
    <w:p w:rsidR="0005130E" w:rsidRDefault="0005130E" w:rsidP="008C4E40">
      <w:pPr>
        <w:spacing w:line="360" w:lineRule="auto"/>
        <w:ind w:left="0" w:firstLine="0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</w:t>
      </w:r>
      <w:r w:rsidRPr="0005130E">
        <w:rPr>
          <w:color w:val="000000" w:themeColor="text1"/>
          <w:szCs w:val="24"/>
        </w:rPr>
        <w:t xml:space="preserve">В сравнительно недавнем прошлом рассматривались 2 клинические формы синдрома Гийена-Барре; речь шла об острой идиопатической форме и хронической (рецидивирующей). Предполагалось, что на первую (основную) форму приходятся до 95% случаев болезни, а остальные 5% – на  хроническую. </w:t>
      </w:r>
    </w:p>
    <w:p w:rsidR="0005130E" w:rsidRDefault="0005130E" w:rsidP="008C4E40">
      <w:pPr>
        <w:spacing w:line="360" w:lineRule="auto"/>
        <w:ind w:left="0" w:firstLine="0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</w:t>
      </w:r>
      <w:r w:rsidRPr="0005130E">
        <w:rPr>
          <w:color w:val="000000" w:themeColor="text1"/>
          <w:szCs w:val="24"/>
        </w:rPr>
        <w:t>В настоящее время хроническая воспалительная демиелинизирующая полинейропатия (ХВДП) рассматривается в кач</w:t>
      </w:r>
      <w:r>
        <w:rPr>
          <w:color w:val="000000" w:themeColor="text1"/>
          <w:szCs w:val="24"/>
        </w:rPr>
        <w:t xml:space="preserve">естве отдельного заболевания. </w:t>
      </w:r>
      <w:r w:rsidRPr="0005130E">
        <w:rPr>
          <w:color w:val="000000" w:themeColor="text1"/>
          <w:szCs w:val="24"/>
        </w:rPr>
        <w:t xml:space="preserve">По современным представлениям, выделяют не менее 6 разновидностей (клинических вариантов/подтипов) синдрома Гийена-Барре:  </w:t>
      </w:r>
    </w:p>
    <w:p w:rsidR="0005130E" w:rsidRDefault="0005130E" w:rsidP="008C4E40">
      <w:pPr>
        <w:spacing w:line="360" w:lineRule="auto"/>
        <w:ind w:left="0" w:firstLine="0"/>
        <w:jc w:val="left"/>
        <w:rPr>
          <w:color w:val="000000" w:themeColor="text1"/>
          <w:szCs w:val="24"/>
        </w:rPr>
      </w:pPr>
      <w:r w:rsidRPr="0005130E">
        <w:rPr>
          <w:color w:val="000000" w:themeColor="text1"/>
          <w:szCs w:val="24"/>
        </w:rPr>
        <w:t xml:space="preserve">1) острая воспалительная демиелинизирующая полинейропатия (классическая форма синдрома Гийена-Барре), </w:t>
      </w:r>
    </w:p>
    <w:p w:rsidR="0005130E" w:rsidRDefault="0005130E" w:rsidP="008C4E40">
      <w:pPr>
        <w:spacing w:line="360" w:lineRule="auto"/>
        <w:ind w:left="0" w:firstLine="0"/>
        <w:jc w:val="left"/>
        <w:rPr>
          <w:color w:val="000000" w:themeColor="text1"/>
          <w:szCs w:val="24"/>
        </w:rPr>
      </w:pPr>
      <w:r w:rsidRPr="0005130E">
        <w:rPr>
          <w:color w:val="000000" w:themeColor="text1"/>
          <w:szCs w:val="24"/>
        </w:rPr>
        <w:t xml:space="preserve">2) острая моторно-сенсорная аксональная нейропатия (ОМСАН), </w:t>
      </w:r>
    </w:p>
    <w:p w:rsidR="0005130E" w:rsidRDefault="0005130E" w:rsidP="008C4E40">
      <w:pPr>
        <w:spacing w:line="360" w:lineRule="auto"/>
        <w:ind w:left="0" w:firstLine="0"/>
        <w:jc w:val="left"/>
        <w:rPr>
          <w:color w:val="000000" w:themeColor="text1"/>
          <w:szCs w:val="24"/>
        </w:rPr>
      </w:pPr>
      <w:r w:rsidRPr="0005130E">
        <w:rPr>
          <w:color w:val="000000" w:themeColor="text1"/>
          <w:szCs w:val="24"/>
        </w:rPr>
        <w:t xml:space="preserve">3) острая моторно-аксональная нейропатия (ОМАН), </w:t>
      </w:r>
    </w:p>
    <w:p w:rsidR="0005130E" w:rsidRDefault="0005130E" w:rsidP="008C4E40">
      <w:pPr>
        <w:spacing w:line="360" w:lineRule="auto"/>
        <w:ind w:left="0" w:firstLine="0"/>
        <w:jc w:val="left"/>
        <w:rPr>
          <w:color w:val="000000" w:themeColor="text1"/>
          <w:szCs w:val="24"/>
        </w:rPr>
      </w:pPr>
      <w:r w:rsidRPr="0005130E">
        <w:rPr>
          <w:color w:val="000000" w:themeColor="text1"/>
          <w:szCs w:val="24"/>
        </w:rPr>
        <w:t xml:space="preserve">4) синдром Миллера-Фишера (СМФ), </w:t>
      </w:r>
    </w:p>
    <w:p w:rsidR="0005130E" w:rsidRDefault="0005130E" w:rsidP="008C4E40">
      <w:pPr>
        <w:spacing w:line="360" w:lineRule="auto"/>
        <w:ind w:left="0" w:firstLine="0"/>
        <w:jc w:val="left"/>
        <w:rPr>
          <w:color w:val="000000" w:themeColor="text1"/>
          <w:szCs w:val="24"/>
        </w:rPr>
      </w:pPr>
      <w:r w:rsidRPr="0005130E">
        <w:rPr>
          <w:color w:val="000000" w:themeColor="text1"/>
          <w:szCs w:val="24"/>
        </w:rPr>
        <w:t xml:space="preserve">5) острая панавтономная нейропатия (острый панавтономный синдром ГийенаБарре, острая пандизавтономия), </w:t>
      </w:r>
    </w:p>
    <w:p w:rsidR="0005130E" w:rsidRDefault="0005130E" w:rsidP="008C4E40">
      <w:pPr>
        <w:spacing w:line="360" w:lineRule="auto"/>
        <w:ind w:left="0" w:firstLine="0"/>
        <w:jc w:val="left"/>
        <w:rPr>
          <w:color w:val="000000" w:themeColor="text1"/>
          <w:szCs w:val="24"/>
        </w:rPr>
      </w:pPr>
      <w:r w:rsidRPr="0005130E">
        <w:rPr>
          <w:color w:val="000000" w:themeColor="text1"/>
          <w:szCs w:val="24"/>
        </w:rPr>
        <w:t xml:space="preserve">6) стволовой энцефалит Бикерстаффа (Bickerstaff), </w:t>
      </w:r>
    </w:p>
    <w:p w:rsidR="0005130E" w:rsidRDefault="0005130E" w:rsidP="008C4E40">
      <w:pPr>
        <w:spacing w:line="360" w:lineRule="auto"/>
        <w:ind w:left="0" w:firstLine="0"/>
        <w:jc w:val="left"/>
        <w:rPr>
          <w:color w:val="000000" w:themeColor="text1"/>
          <w:szCs w:val="24"/>
        </w:rPr>
      </w:pPr>
      <w:r w:rsidRPr="0005130E">
        <w:rPr>
          <w:color w:val="000000" w:themeColor="text1"/>
          <w:szCs w:val="24"/>
        </w:rPr>
        <w:lastRenderedPageBreak/>
        <w:t xml:space="preserve">7) фаринго-цервико-брахиальный вариант, </w:t>
      </w:r>
    </w:p>
    <w:p w:rsidR="00196A9E" w:rsidRPr="0005130E" w:rsidRDefault="0005130E" w:rsidP="008C4E40">
      <w:pPr>
        <w:spacing w:line="360" w:lineRule="auto"/>
        <w:ind w:left="0" w:firstLine="0"/>
        <w:jc w:val="left"/>
        <w:rPr>
          <w:color w:val="000000" w:themeColor="text1"/>
          <w:szCs w:val="24"/>
        </w:rPr>
      </w:pPr>
      <w:r w:rsidRPr="0005130E">
        <w:rPr>
          <w:color w:val="000000" w:themeColor="text1"/>
          <w:szCs w:val="24"/>
        </w:rPr>
        <w:t>8) острая краниальная полинейропатия. Существуют также варианты сочетания синдрома Миллера-Фишера с другими формами синдрома Гийена-Барре (MFS/GBS overlap syndrome).</w:t>
      </w:r>
    </w:p>
    <w:p w:rsidR="00A647A1" w:rsidRPr="00572624" w:rsidRDefault="000C0E9E" w:rsidP="008C4E40">
      <w:pPr>
        <w:spacing w:line="360" w:lineRule="auto"/>
        <w:ind w:left="0" w:firstLine="0"/>
        <w:jc w:val="left"/>
        <w:rPr>
          <w:b/>
          <w:color w:val="000000" w:themeColor="text1"/>
          <w:szCs w:val="24"/>
        </w:rPr>
      </w:pPr>
      <w:r w:rsidRPr="00572624">
        <w:rPr>
          <w:color w:val="000000" w:themeColor="text1"/>
          <w:szCs w:val="24"/>
        </w:rPr>
        <w:t xml:space="preserve">   </w:t>
      </w:r>
      <w:r w:rsidR="006511F8" w:rsidRPr="00572624">
        <w:rPr>
          <w:b/>
          <w:color w:val="000000" w:themeColor="text1"/>
          <w:szCs w:val="24"/>
        </w:rPr>
        <w:t xml:space="preserve">Клиническая картина. </w:t>
      </w:r>
      <w:bookmarkEnd w:id="4"/>
    </w:p>
    <w:p w:rsidR="0005130E" w:rsidRDefault="00196A9E" w:rsidP="008C4E40">
      <w:pPr>
        <w:spacing w:line="360" w:lineRule="auto"/>
        <w:ind w:left="0" w:firstLine="0"/>
        <w:jc w:val="left"/>
        <w:rPr>
          <w:color w:val="000000" w:themeColor="text1"/>
          <w:szCs w:val="24"/>
        </w:rPr>
      </w:pPr>
      <w:r w:rsidRPr="00572624">
        <w:rPr>
          <w:color w:val="000000" w:themeColor="text1"/>
          <w:szCs w:val="24"/>
        </w:rPr>
        <w:t xml:space="preserve">    </w:t>
      </w:r>
      <w:bookmarkStart w:id="5" w:name="_Toc7017"/>
      <w:r w:rsidR="0005130E" w:rsidRPr="0005130E">
        <w:rPr>
          <w:color w:val="000000" w:themeColor="text1"/>
          <w:szCs w:val="24"/>
        </w:rPr>
        <w:t xml:space="preserve">Острая воспалительная демиелинизирующая полинейропатия. Клинические проявления болезни являются прямым следствием нарушения сальтаторной проводимости по миелинизированным волокнам (возникает блок проведения). Первые симптомы синдрома Гийена-Барре чаще появляются при отсутствии выраженного повышения температуры. Практически во всех случаях началу заболевания предшествуют острые респираторные инфекции, иногда – травмы или оперативное вмешательство, реже – переохлаждение или профилактическая вакцинация. В анамнезе примерно у двух третей пациентов за 2 недели до появления мышечной слабости отмечается перенесение эпизода острой респираторной инфекции или гастроэнтерита. </w:t>
      </w:r>
    </w:p>
    <w:p w:rsidR="0005130E" w:rsidRDefault="0005130E" w:rsidP="008C4E40">
      <w:pPr>
        <w:spacing w:line="360" w:lineRule="auto"/>
        <w:ind w:left="0" w:firstLine="0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</w:t>
      </w:r>
      <w:r w:rsidRPr="0005130E">
        <w:rPr>
          <w:color w:val="000000" w:themeColor="text1"/>
          <w:szCs w:val="24"/>
        </w:rPr>
        <w:t>Классическими проявлениями болезни считаются прогрессирующий (восходящий) паралич мышц конечностей и дыхательной мускулатуры, что сопровождается расстройствами чувствительности по полинейропатическому типу; впоследствии у пациентов возникают вегетативно-трофические нарушения. Характерно внезапное появление неврологической симптоматики: болевой синдром (до 80%) и парестезии (20%); типичны атаксия, парезы и параличи черепных нервов; примерно у 30% детей регистрируются нарушения функций сфинктеров. Поражение симпатической нервной системы проявляе</w:t>
      </w:r>
      <w:r>
        <w:rPr>
          <w:color w:val="000000" w:themeColor="text1"/>
          <w:szCs w:val="24"/>
        </w:rPr>
        <w:t xml:space="preserve">тся различными вегетативными 9 </w:t>
      </w:r>
      <w:r w:rsidRPr="0005130E">
        <w:rPr>
          <w:color w:val="000000" w:themeColor="text1"/>
          <w:szCs w:val="24"/>
        </w:rPr>
        <w:t xml:space="preserve">нарушениями (гипертензия, постуральная гипотензия, профузное потоотделение, нарушения терморегуляции и т.д.).  Паралич дыхательной мускулатуры является типичным и тяжелым осложнением острой воспалительной демиелинизирующей полинейропатии, требующим проведения ИВЛ и/или трахеостомии. </w:t>
      </w:r>
    </w:p>
    <w:p w:rsidR="0005130E" w:rsidRDefault="0005130E" w:rsidP="008C4E40">
      <w:pPr>
        <w:spacing w:line="360" w:lineRule="auto"/>
        <w:ind w:left="0" w:firstLine="0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</w:t>
      </w:r>
      <w:r w:rsidRPr="0005130E">
        <w:rPr>
          <w:color w:val="000000" w:themeColor="text1"/>
          <w:szCs w:val="24"/>
        </w:rPr>
        <w:t xml:space="preserve">Неврологический дефицит при синдроме Гийена-Барре является следствием поражения корешков спинного мозга, спинальных и черепных нервных стволов. В течении болезни принято выделять 3 стадии (периода): </w:t>
      </w:r>
    </w:p>
    <w:p w:rsidR="0005130E" w:rsidRDefault="0005130E" w:rsidP="008C4E40">
      <w:pPr>
        <w:spacing w:line="360" w:lineRule="auto"/>
        <w:ind w:left="0" w:firstLine="0"/>
        <w:jc w:val="left"/>
        <w:rPr>
          <w:color w:val="000000" w:themeColor="text1"/>
          <w:szCs w:val="24"/>
        </w:rPr>
      </w:pPr>
      <w:r w:rsidRPr="0005130E">
        <w:rPr>
          <w:color w:val="000000" w:themeColor="text1"/>
          <w:szCs w:val="24"/>
        </w:rPr>
        <w:t xml:space="preserve">1) период прогрессирования, </w:t>
      </w:r>
    </w:p>
    <w:p w:rsidR="0005130E" w:rsidRDefault="0005130E" w:rsidP="008C4E40">
      <w:pPr>
        <w:spacing w:line="360" w:lineRule="auto"/>
        <w:ind w:left="0" w:firstLine="0"/>
        <w:jc w:val="left"/>
        <w:rPr>
          <w:color w:val="000000" w:themeColor="text1"/>
          <w:szCs w:val="24"/>
        </w:rPr>
      </w:pPr>
      <w:r w:rsidRPr="0005130E">
        <w:rPr>
          <w:color w:val="000000" w:themeColor="text1"/>
          <w:szCs w:val="24"/>
        </w:rPr>
        <w:t xml:space="preserve">2) период стойкой симптоматики, </w:t>
      </w:r>
    </w:p>
    <w:p w:rsidR="0005130E" w:rsidRDefault="0005130E" w:rsidP="008C4E40">
      <w:pPr>
        <w:spacing w:line="360" w:lineRule="auto"/>
        <w:ind w:left="0" w:firstLine="0"/>
        <w:jc w:val="left"/>
        <w:rPr>
          <w:color w:val="000000" w:themeColor="text1"/>
          <w:szCs w:val="24"/>
        </w:rPr>
      </w:pPr>
      <w:r w:rsidRPr="0005130E">
        <w:rPr>
          <w:color w:val="000000" w:themeColor="text1"/>
          <w:szCs w:val="24"/>
        </w:rPr>
        <w:t xml:space="preserve">3) период восстановления.  </w:t>
      </w:r>
    </w:p>
    <w:p w:rsidR="008C4E40" w:rsidRDefault="008C4E40" w:rsidP="008C4E40">
      <w:pPr>
        <w:spacing w:line="360" w:lineRule="auto"/>
        <w:ind w:left="0" w:firstLine="0"/>
        <w:jc w:val="left"/>
        <w:rPr>
          <w:color w:val="000000" w:themeColor="text1"/>
          <w:szCs w:val="24"/>
        </w:rPr>
      </w:pPr>
      <w:r>
        <w:rPr>
          <w:noProof/>
        </w:rPr>
        <w:lastRenderedPageBreak/>
        <w:drawing>
          <wp:inline distT="0" distB="0" distL="0" distR="0" wp14:anchorId="68A505F5" wp14:editId="060A7342">
            <wp:extent cx="5153025" cy="3352420"/>
            <wp:effectExtent l="0" t="0" r="0" b="635"/>
            <wp:docPr id="1" name="Рисунок 1" descr="Синдром Гийена-Барре | Жизнь и реабилитация после инсульта |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дром Гийена-Барре | Жизнь и реабилитация после инсульта | Дзе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579" cy="339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0E" w:rsidRDefault="0005130E" w:rsidP="008C4E40">
      <w:pPr>
        <w:spacing w:line="360" w:lineRule="auto"/>
        <w:ind w:left="0" w:firstLine="0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</w:t>
      </w:r>
      <w:r w:rsidRPr="0005130E">
        <w:rPr>
          <w:b/>
          <w:color w:val="000000" w:themeColor="text1"/>
          <w:szCs w:val="24"/>
          <w:u w:val="single"/>
        </w:rPr>
        <w:t>Острая моторно-сенсорная аксональная нейропатия.</w:t>
      </w:r>
      <w:r w:rsidRPr="0005130E">
        <w:rPr>
          <w:color w:val="000000" w:themeColor="text1"/>
          <w:szCs w:val="24"/>
        </w:rPr>
        <w:t xml:space="preserve"> Клинические проявления этого варианта синдрома Гийена-Барре практически неотличимы от симптомов острой воспалительной демиелинизирующей полинейропатии (мышечная слабость и сенсорный дефицит), но заболевание протекает более тяжело, а прогноз является гораздо более серьезным (см. «Исходы и прогноз»).  Острая моторно-аксональная нейропатия. Этот вариант болезни представляет собой чисто моторно-аксональную нейропатию, при которой отмечается поражение преимущественно проксимальной части двигательных нейронов (мышечная слабость, отсутствие сухожильных рефлексов). У части пациентов в дебюте острой моторноаксональной нейропатии отмечаются гипертермия (лихорадка), геморрагический конъюнктивит, асимметричная мышечная слабость, а также плеоцитоз в спинномозговой жидкости. Вследствие поражения органов дыхания многим пациентам требуется ИВЛ. В отличие от острой моторно-сенсорной аксональной нейропатии, при острой моторноаксональной нейропатии отсутствует сенсорный дефицит и редко бывают нарушены функции черепных нервов. </w:t>
      </w:r>
    </w:p>
    <w:p w:rsidR="008C4E40" w:rsidRDefault="0005130E" w:rsidP="008C4E40">
      <w:pPr>
        <w:spacing w:line="360" w:lineRule="auto"/>
        <w:ind w:left="0" w:firstLine="0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</w:t>
      </w:r>
      <w:r w:rsidRPr="0005130E">
        <w:rPr>
          <w:b/>
          <w:color w:val="000000" w:themeColor="text1"/>
          <w:szCs w:val="24"/>
          <w:u w:val="single"/>
        </w:rPr>
        <w:t>Синдром Миллера-Фишера</w:t>
      </w:r>
      <w:r w:rsidRPr="0005130E">
        <w:rPr>
          <w:color w:val="000000" w:themeColor="text1"/>
          <w:szCs w:val="24"/>
        </w:rPr>
        <w:t xml:space="preserve"> (краниальный вариант синдрома Гийена-Барре). Отличительными чертами этого варианта болезни  является наличие клинической триады в виде сочетания наружной офтальмоплегии (главный признак) с атаксией походки и арефлексией, появляющееся в пределах первой недели после начала заболевания.  Наиболее ранними симптомами синдрома Миллера-Фишера служат диплопия, а также двухсторонний парез лицевого нерва (у 50% пациентов). Встречаются параличи/парезы лицевого нерва и бульбарные расстройства. Офтальмоплегия (внутренняя) регистрируется у 70-75% детей с </w:t>
      </w:r>
      <w:r w:rsidRPr="0005130E">
        <w:rPr>
          <w:color w:val="000000" w:themeColor="text1"/>
          <w:szCs w:val="24"/>
        </w:rPr>
        <w:lastRenderedPageBreak/>
        <w:t xml:space="preserve">синдромом Миллера-Фишера. Клиническая картина этого варианта синдрома Гийена-Барре в некоторой степени напоминает стволовой энцефалит Бикерстаффа. По достижении максимальной выраженности, описываемые симптомы обычно сохраняются на протяжении 1-2 недель, после чего отмечается постепенное восстановление неврологических функций (обычно оно бывает полным или практически полным). Известны случаи прогрессирования синдрома Миллера-Фишера до формирования дыхательной недостаточности (при синдроме MFS/GBS overlap). </w:t>
      </w:r>
      <w:r w:rsidR="008C4E40">
        <w:rPr>
          <w:color w:val="000000" w:themeColor="text1"/>
          <w:szCs w:val="24"/>
        </w:rPr>
        <w:t xml:space="preserve">  </w:t>
      </w:r>
      <w:r w:rsidRPr="008C4E40">
        <w:rPr>
          <w:b/>
          <w:color w:val="000000" w:themeColor="text1"/>
          <w:szCs w:val="24"/>
          <w:u w:val="single"/>
        </w:rPr>
        <w:t>Острая пандизавтономная нейропатия</w:t>
      </w:r>
      <w:r w:rsidRPr="0005130E">
        <w:rPr>
          <w:color w:val="000000" w:themeColor="text1"/>
          <w:szCs w:val="24"/>
        </w:rPr>
        <w:t xml:space="preserve"> (острый панавтономный синдром ГийенаБарре, острая пандизавтономия). Частыми симптомами болезни являются нарушения потоотделения, отсутствие слезообразования, фотофобия, тошнота, дисфагия, сухость слизистых оболочек носа и ротовой полости, сухость и отслойка кожи, а также нарушения дефекации (запоры, диарея). В числе ранних неспецифических проявлений заболевания фигурируют головная боль, летаргия, усталость, сниженная мотивация (к принятию 10  инициативных решений), а также признаки вегетативных нарушений (ортостатическое головокружение, размытость зрения, сухость глаз, нарушения мочеиспускания).  В дебюте заболевания наиболее часты симптомы в виде нарушений, ассоциированных с ортостатической непереносимостью, а также расстройства со стороны желудочно-кишечного тракта и нарушение функции потовых желез (судомоторная дисфункция). Могут отмечаться парасимпатические расстройства (боли в животе, рвота, запор, илеус, задержка мочи, расширение и ареактивность зрачков, потеря аккомодации). Иногда острой пандизавтономной нейропатии сопутствует энцефалопатия. </w:t>
      </w:r>
    </w:p>
    <w:p w:rsidR="008C4E40" w:rsidRDefault="0005130E" w:rsidP="008C4E40">
      <w:pPr>
        <w:spacing w:line="360" w:lineRule="auto"/>
        <w:ind w:left="0" w:firstLine="0"/>
        <w:jc w:val="left"/>
        <w:rPr>
          <w:color w:val="000000" w:themeColor="text1"/>
          <w:szCs w:val="24"/>
        </w:rPr>
      </w:pPr>
      <w:r w:rsidRPr="008C4E40">
        <w:rPr>
          <w:b/>
          <w:color w:val="000000" w:themeColor="text1"/>
          <w:szCs w:val="24"/>
          <w:u w:val="single"/>
        </w:rPr>
        <w:t>Стволовой энцефалит Бикерстаффа</w:t>
      </w:r>
      <w:r w:rsidRPr="0005130E">
        <w:rPr>
          <w:color w:val="000000" w:themeColor="text1"/>
          <w:szCs w:val="24"/>
        </w:rPr>
        <w:t xml:space="preserve"> (Bickerstaff’s brainstem encephalitis). Характеризуется острым, внезапным дебютом в виде офтальмоплегии, атаксии, нарушения сознания, гиперрефлексии и наличия симптома Бабинского. Течение болезни монофазное или ремиттирующее-рецидивирующее. В отдельных случаях у пациентов отмечается тетрапарез с поражением черепных нервов (включая внутриглазные). У значительной части пациентов с острой пандизавтономной нейропатией болезнь ассоциирована с аксональными вариантами синдрома Гийена-Барре (ОМАН, ОМСАН). </w:t>
      </w:r>
    </w:p>
    <w:p w:rsidR="008C4E40" w:rsidRDefault="0005130E" w:rsidP="008C4E40">
      <w:pPr>
        <w:spacing w:line="360" w:lineRule="auto"/>
        <w:ind w:left="0" w:firstLine="0"/>
        <w:jc w:val="left"/>
        <w:rPr>
          <w:color w:val="000000" w:themeColor="text1"/>
          <w:szCs w:val="24"/>
        </w:rPr>
      </w:pPr>
      <w:r w:rsidRPr="008C4E40">
        <w:rPr>
          <w:b/>
          <w:color w:val="000000" w:themeColor="text1"/>
          <w:szCs w:val="24"/>
          <w:u w:val="single"/>
        </w:rPr>
        <w:t>Фаринго-цервико-брахиальный вариант</w:t>
      </w:r>
      <w:r w:rsidRPr="0005130E">
        <w:rPr>
          <w:color w:val="000000" w:themeColor="text1"/>
          <w:szCs w:val="24"/>
        </w:rPr>
        <w:t xml:space="preserve">. Характеризуется изолированной слабостью в лицевых, ротоглоточных, шейных мышцах, а также в мускулатуре верхних конечностей (без вовлечения нижних конечностей).   </w:t>
      </w:r>
    </w:p>
    <w:p w:rsidR="00196A9E" w:rsidRPr="00572624" w:rsidRDefault="0005130E" w:rsidP="008C4E40">
      <w:pPr>
        <w:spacing w:line="360" w:lineRule="auto"/>
        <w:ind w:left="0" w:firstLine="0"/>
        <w:jc w:val="left"/>
        <w:rPr>
          <w:color w:val="000000" w:themeColor="text1"/>
          <w:szCs w:val="24"/>
        </w:rPr>
      </w:pPr>
      <w:r w:rsidRPr="008C4E40">
        <w:rPr>
          <w:b/>
          <w:color w:val="000000" w:themeColor="text1"/>
          <w:szCs w:val="24"/>
          <w:u w:val="single"/>
        </w:rPr>
        <w:t>Острая краниальная полинейропатия.</w:t>
      </w:r>
      <w:r w:rsidRPr="0005130E">
        <w:rPr>
          <w:color w:val="000000" w:themeColor="text1"/>
          <w:szCs w:val="24"/>
        </w:rPr>
        <w:t xml:space="preserve"> Проявляется вовлечением в патологический процесс только черепных нервов.</w:t>
      </w:r>
    </w:p>
    <w:p w:rsidR="00A647A1" w:rsidRDefault="006511F8" w:rsidP="008C4E40">
      <w:pPr>
        <w:pStyle w:val="1"/>
        <w:spacing w:after="112" w:line="360" w:lineRule="auto"/>
        <w:ind w:left="706" w:right="0"/>
        <w:rPr>
          <w:color w:val="000000" w:themeColor="text1"/>
          <w:szCs w:val="24"/>
        </w:rPr>
      </w:pPr>
      <w:r w:rsidRPr="00572624">
        <w:rPr>
          <w:color w:val="000000" w:themeColor="text1"/>
          <w:szCs w:val="24"/>
        </w:rPr>
        <w:lastRenderedPageBreak/>
        <w:t xml:space="preserve">Диагностика. </w:t>
      </w:r>
      <w:bookmarkEnd w:id="5"/>
    </w:p>
    <w:p w:rsidR="008C4E40" w:rsidRDefault="008C4E40" w:rsidP="008C4E40">
      <w:pPr>
        <w:jc w:val="left"/>
      </w:pPr>
      <w:r w:rsidRPr="008C4E40">
        <w:t xml:space="preserve">Острая воспалительная демиелинизирующая полинейропатия (классический синдром Гийена-Барре). Основные диагностические критерии синдрома Гийена-Барре основаны на клинических проявлениях и лабораторных (анализ ликвора) показателях:  </w:t>
      </w:r>
    </w:p>
    <w:p w:rsidR="008C4E40" w:rsidRDefault="008C4E40" w:rsidP="008C4E40">
      <w:pPr>
        <w:jc w:val="left"/>
      </w:pPr>
      <w:r w:rsidRPr="008C4E40">
        <w:t xml:space="preserve">1) наличие прогрессирующей двигательной слабости с вовлечением в патологический процесс более одной конечности;  </w:t>
      </w:r>
    </w:p>
    <w:p w:rsidR="008C4E40" w:rsidRDefault="008C4E40" w:rsidP="008C4E40">
      <w:pPr>
        <w:jc w:val="left"/>
      </w:pPr>
      <w:r w:rsidRPr="008C4E40">
        <w:t xml:space="preserve">2) арефлексия или выраженная гипорефлексия;  </w:t>
      </w:r>
    </w:p>
    <w:p w:rsidR="008C4E40" w:rsidRDefault="008C4E40" w:rsidP="008C4E40">
      <w:pPr>
        <w:jc w:val="left"/>
      </w:pPr>
      <w:r w:rsidRPr="008C4E40">
        <w:t xml:space="preserve">3) присутствие в 1 мкл спинномозговой жидкости не более 50 моноцитов и/или 2 гранулоцитов2+. </w:t>
      </w:r>
    </w:p>
    <w:p w:rsidR="008C4E40" w:rsidRDefault="008C4E40" w:rsidP="008C4E40">
      <w:pPr>
        <w:jc w:val="left"/>
      </w:pPr>
      <w:r w:rsidRPr="008C4E40">
        <w:t xml:space="preserve">Дополнительными признаками, подтверждающими диагноз, являются следующие клинические, лабораторные и инструментальные данные): </w:t>
      </w:r>
    </w:p>
    <w:p w:rsidR="008C4E40" w:rsidRDefault="008C4E40" w:rsidP="008C4E40">
      <w:pPr>
        <w:jc w:val="left"/>
      </w:pPr>
      <w:r w:rsidRPr="008C4E40">
        <w:t xml:space="preserve">1) первоначальное отсутствие гипертермии (лихорадки);  </w:t>
      </w:r>
    </w:p>
    <w:p w:rsidR="008C4E40" w:rsidRDefault="008C4E40" w:rsidP="008C4E40">
      <w:pPr>
        <w:jc w:val="left"/>
      </w:pPr>
      <w:r w:rsidRPr="008C4E40">
        <w:t xml:space="preserve">2) начало восстановления неврологических функций по прошествии 2-4 недель после прекращения прогрессирования;  </w:t>
      </w:r>
    </w:p>
    <w:p w:rsidR="008C4E40" w:rsidRDefault="008C4E40" w:rsidP="008C4E40">
      <w:pPr>
        <w:jc w:val="left"/>
      </w:pPr>
      <w:r w:rsidRPr="008C4E40">
        <w:t xml:space="preserve">3) относительно симметричная мышечная слабость;  </w:t>
      </w:r>
    </w:p>
    <w:p w:rsidR="008C4E40" w:rsidRDefault="008C4E40" w:rsidP="008C4E40">
      <w:pPr>
        <w:jc w:val="left"/>
      </w:pPr>
      <w:r w:rsidRPr="008C4E40">
        <w:t xml:space="preserve">4) умеренные признаки сенсорных нарушений;  </w:t>
      </w:r>
    </w:p>
    <w:p w:rsidR="008C4E40" w:rsidRDefault="008C4E40" w:rsidP="008C4E40">
      <w:pPr>
        <w:jc w:val="left"/>
      </w:pPr>
      <w:r w:rsidRPr="008C4E40">
        <w:t xml:space="preserve">5) симптомы поражения черепных нервов (ЧН);  </w:t>
      </w:r>
    </w:p>
    <w:p w:rsidR="008C4E40" w:rsidRDefault="008C4E40" w:rsidP="008C4E40">
      <w:pPr>
        <w:jc w:val="left"/>
      </w:pPr>
      <w:r w:rsidRPr="008C4E40">
        <w:t xml:space="preserve">6) повышение содержания белка в ликворе по прошествии 1 недели после появления характерных симптомов болезни;  </w:t>
      </w:r>
    </w:p>
    <w:p w:rsidR="008C4E40" w:rsidRDefault="008C4E40" w:rsidP="008C4E40">
      <w:pPr>
        <w:jc w:val="left"/>
      </w:pPr>
      <w:r w:rsidRPr="008C4E40">
        <w:t xml:space="preserve">7) замедление скорости проведения импульса по периферическим нервам (&lt;60% от нормы в 80% случаев), отсутствие H-рефлекса, отсутствие или снижение амплитуды сенсорного потенциала, увеличение латентности F-волн (при электронейромиографическом исследовании); </w:t>
      </w:r>
    </w:p>
    <w:p w:rsidR="008C4E40" w:rsidRDefault="008C4E40" w:rsidP="008C4E40">
      <w:pPr>
        <w:jc w:val="left"/>
      </w:pPr>
      <w:r>
        <w:t>8</w:t>
      </w:r>
      <w:r w:rsidRPr="008C4E40">
        <w:t xml:space="preserve">) вегетативная (автономная) дисфункция2-. </w:t>
      </w:r>
    </w:p>
    <w:p w:rsidR="008C4E40" w:rsidRDefault="008C4E40" w:rsidP="008C4E40">
      <w:pPr>
        <w:ind w:firstLine="0"/>
        <w:jc w:val="left"/>
      </w:pPr>
      <w:r w:rsidRPr="008C4E40">
        <w:t xml:space="preserve">Электромиографическое исследование: денервационный тип кривой в пораженных мышцах2+. </w:t>
      </w:r>
    </w:p>
    <w:p w:rsidR="008C4E40" w:rsidRPr="008C4E40" w:rsidRDefault="008C4E40" w:rsidP="008C4E40">
      <w:pPr>
        <w:ind w:firstLine="0"/>
        <w:jc w:val="left"/>
        <w:rPr>
          <w:u w:val="single"/>
        </w:rPr>
      </w:pPr>
      <w:r w:rsidRPr="008C4E40">
        <w:rPr>
          <w:u w:val="single"/>
        </w:rPr>
        <w:t xml:space="preserve">Анализ спинномозговой жидкости: </w:t>
      </w:r>
    </w:p>
    <w:p w:rsidR="008C4E40" w:rsidRDefault="008C4E40" w:rsidP="008C4E40">
      <w:pPr>
        <w:ind w:firstLine="0"/>
        <w:jc w:val="left"/>
      </w:pPr>
      <w:r w:rsidRPr="008C4E40">
        <w:t xml:space="preserve">1) повышенное содержание белка (&gt;0,55 г%); </w:t>
      </w:r>
    </w:p>
    <w:p w:rsidR="008C4E40" w:rsidRDefault="008C4E40" w:rsidP="008C4E40">
      <w:pPr>
        <w:ind w:firstLine="0"/>
        <w:jc w:val="left"/>
      </w:pPr>
      <w:r w:rsidRPr="008C4E40">
        <w:t xml:space="preserve">2) повышение фракции альбумина; </w:t>
      </w:r>
    </w:p>
    <w:p w:rsidR="008C4E40" w:rsidRDefault="008C4E40" w:rsidP="008C4E40">
      <w:pPr>
        <w:ind w:firstLine="0"/>
        <w:jc w:val="left"/>
      </w:pPr>
      <w:r w:rsidRPr="008C4E40">
        <w:t xml:space="preserve">3) отсутствие сопутствующего нарастания цитоза (&lt;10 клеток/мм3)2++. </w:t>
      </w:r>
    </w:p>
    <w:p w:rsidR="008C4E40" w:rsidRDefault="008C4E40" w:rsidP="008C4E40">
      <w:pPr>
        <w:ind w:firstLine="0"/>
        <w:jc w:val="left"/>
      </w:pPr>
      <w:r w:rsidRPr="008C4E40">
        <w:t xml:space="preserve">Отсутствие повышенного цитоза в спинномозговой жидкости рассматривается в качестве источника «ценной негативной информации»2++. Острая моторно-сенсорная аксональная </w:t>
      </w:r>
      <w:r w:rsidRPr="008C4E40">
        <w:lastRenderedPageBreak/>
        <w:t>нейропатия. Диагноз устанавливается на основании характерных клинических признаков (острый тетрапарез, арефлексия, дистальная потеря чувствительности, дыхательная недостаточность), а также данных лабораторных и инструментальных методов исследований (в объеме, аналогичном таковому при острой воспалительной демиелинизирующей полинейроп</w:t>
      </w:r>
      <w:r>
        <w:t>атии)</w:t>
      </w:r>
      <w:r w:rsidRPr="008C4E40">
        <w:t>. При исследовании спинномозговой жидкости характе</w:t>
      </w:r>
      <w:r>
        <w:t>рно повышение содержания белка</w:t>
      </w:r>
      <w:r w:rsidRPr="008C4E40">
        <w:t>. Электромиографическое исследование: признаки потери моторных и сенсорных потенциалов с диффузной активной денервацией (аксональная дегенерация без признаков первично</w:t>
      </w:r>
      <w:r>
        <w:t>й демиелинизации)</w:t>
      </w:r>
      <w:r w:rsidRPr="008C4E40">
        <w:t>. В крови и сыворотке крови пациентов могут обнаруживаться антиганглиозидные антитела к GM1, GD1a, GM1b и GalNAc-GD1a2-. Острая моторно-аксональная нейропатия. Диагноз устанавливается на основании типичных клинических проявлений болезни (прогрессирующий вялый паралич с арефлексией, часто приводящий к дыхательной недостаточности), а также наличия плеоци</w:t>
      </w:r>
      <w:r>
        <w:t>тоза в спинномозговой жидкости</w:t>
      </w:r>
      <w:r w:rsidRPr="008C4E40">
        <w:t xml:space="preserve">.  </w:t>
      </w:r>
    </w:p>
    <w:p w:rsidR="008C4E40" w:rsidRDefault="008C4E40" w:rsidP="008C4E40">
      <w:pPr>
        <w:ind w:firstLine="0"/>
        <w:jc w:val="left"/>
      </w:pPr>
      <w:r w:rsidRPr="008C4E40">
        <w:rPr>
          <w:b/>
        </w:rPr>
        <w:t xml:space="preserve">        При электромиографическом исследовании</w:t>
      </w:r>
      <w:r w:rsidRPr="008C4E40">
        <w:t xml:space="preserve"> у пациентов выявляются снижение амплитуды М-ответов, а также дене</w:t>
      </w:r>
      <w:r>
        <w:t>рвационный тип ЭМГ</w:t>
      </w:r>
      <w:r w:rsidRPr="008C4E40">
        <w:t>, изредка – блок проведения при отсу</w:t>
      </w:r>
      <w:r>
        <w:t>тствии признаков демиелинизации</w:t>
      </w:r>
      <w:r w:rsidRPr="008C4E40">
        <w:t xml:space="preserve">. При этом отмечается сохранение нормальных скоростей проведения импульса по двигательным и чувствительным </w:t>
      </w:r>
      <w:r>
        <w:t>волокнам периферических нервов</w:t>
      </w:r>
      <w:r w:rsidRPr="008C4E40">
        <w:t>. Отсутствуют признаки демиелинизации (в отличие от острой воспалительной дем</w:t>
      </w:r>
      <w:r>
        <w:t>иелинизирующей полинейропатии)</w:t>
      </w:r>
      <w:r w:rsidRPr="008C4E40">
        <w:t>. В крови и спинномозговой жидкости пациентов нередко обнаруживаются антиганглиозидные антитела к GD1a и/или GD32-. Cиндром Миллера-Фишера. Клиническими проявлениями болезни, подтверждающими наличие болезни, являются двухсторонняя офтальмоплегия, атаксия и арефлексия, слабость лицевых или бульбарных мышц/нервов (50% случаев), слабость мышц тулови</w:t>
      </w:r>
      <w:r>
        <w:t>ща и конечностей (50% случаев)</w:t>
      </w:r>
      <w:r w:rsidRPr="008C4E40">
        <w:t>. Объем и выбор диагностических мероприятий аналогичен таковому при острой воспалительной де</w:t>
      </w:r>
      <w:r>
        <w:t>миелинизирующей полинейропатии</w:t>
      </w:r>
      <w:r w:rsidRPr="008C4E40">
        <w:t>. Исследование ликвора: у части пациентов отмечаются повышенное содержание белка и плеоцитоз; иногда может присутствовать типичная альбумино-цитологическая диссоциация, как при острой воспалительной д</w:t>
      </w:r>
      <w:r>
        <w:t>емиелинизирующей полинейропатии</w:t>
      </w:r>
      <w:r w:rsidRPr="008C4E40">
        <w:t xml:space="preserve">. </w:t>
      </w:r>
    </w:p>
    <w:p w:rsidR="008C4E40" w:rsidRDefault="008C4E40" w:rsidP="008C4E40">
      <w:pPr>
        <w:ind w:firstLine="0"/>
        <w:jc w:val="left"/>
      </w:pPr>
      <w:r>
        <w:t xml:space="preserve">       </w:t>
      </w:r>
      <w:r w:rsidRPr="008C4E40">
        <w:rPr>
          <w:b/>
        </w:rPr>
        <w:t>Электронейромиографическое исследование</w:t>
      </w:r>
      <w:r w:rsidRPr="008C4E40">
        <w:t>: в части случаев у детей регистрируется замедление проводимости по двига</w:t>
      </w:r>
      <w:r>
        <w:t>тельным и чувствительным нервам</w:t>
      </w:r>
      <w:r w:rsidRPr="008C4E40">
        <w:t xml:space="preserve">. В 90% случаев у пациентов с синдромом Миллера-Фишера обнаруживаются антиганглиозидные антитела к GQ1b (могут также обнаруживаться GD3 и GT1a)2+. Острая пандисавтономная нейропатия. Диагноз острой пандисавтономии устанавливается </w:t>
      </w:r>
      <w:r w:rsidRPr="008C4E40">
        <w:lastRenderedPageBreak/>
        <w:t>на основании признаков выраженной вегетативной дисфункции (ортостатическая гипотензия, тошнота, рвота, запор/диар</w:t>
      </w:r>
      <w:r>
        <w:t xml:space="preserve">ея, атония мочевого пузыря, </w:t>
      </w:r>
      <w:r w:rsidRPr="008C4E40">
        <w:t>ангидроз, нарушения слезоотделения и саливации, зрачковые нарушения) и сенсорных расстройств без выраженных соматических проявлени</w:t>
      </w:r>
      <w:r>
        <w:t>й и нарушений моторных функций</w:t>
      </w:r>
      <w:r w:rsidRPr="008C4E40">
        <w:t>.  Примерно у четверти пациентов имеется холинергическая форма дисавтономии (без ортостатической гипотензии, но с нарушениями судомоторной и других вегетативных систем – ортостатическая тахикардия, головокружение, усиленное сердцебиение без из</w:t>
      </w:r>
      <w:r>
        <w:t>менения артериального давления)</w:t>
      </w:r>
      <w:r w:rsidRPr="008C4E40">
        <w:t>. При этом варианте синдрома Гийена-Барре данные анализа спинномозговой жидкости и электромиографического исследования могут не выявлять каких-либо патологических измен</w:t>
      </w:r>
      <w:r>
        <w:t>ений (при чистой дисавтономии)</w:t>
      </w:r>
      <w:r w:rsidRPr="008C4E40">
        <w:t>. В осложненных случаях обнаруживаются изменения, напоминающие таковые при острой воспалительной де</w:t>
      </w:r>
      <w:r>
        <w:t>миелинизирующей полинейропатии</w:t>
      </w:r>
      <w:r w:rsidRPr="008C4E40">
        <w:t>. Функциональные тесты (исследование судомоторных, кардиовагальных и адренергических функций – проба минора, спектральный анализ вариативности сердечного ритма и другие) выявляют множественные нарушения со стороны</w:t>
      </w:r>
      <w:r>
        <w:t xml:space="preserve"> вегетативной нервной системы. </w:t>
      </w:r>
      <w:r w:rsidRPr="008C4E40">
        <w:t>При анализе биоптата икроножных нервов обнаруживаются инфильтраты мононуклеа</w:t>
      </w:r>
      <w:r>
        <w:t>рных клеток в области эпиневрия</w:t>
      </w:r>
      <w:r w:rsidRPr="008C4E40">
        <w:t>. Стволовой энцефалит Бикенстаффа. Обязательными клиническими признаками болезни являются атаксия и офтальмоплегия (ка</w:t>
      </w:r>
      <w:r>
        <w:t>к при синдроме Миллера-Фишера)</w:t>
      </w:r>
      <w:r w:rsidRPr="008C4E40">
        <w:t>. Стволовой энцефалит Бикенстаффа устанавливается лишь при наличии других симптомов, позволяющих исключить наличие синдрома Миллера-Фишера (сонлив</w:t>
      </w:r>
      <w:r>
        <w:t>ость, кома или гиперрефлексия)</w:t>
      </w:r>
      <w:r w:rsidRPr="008C4E40">
        <w:t>. Объем диагностических мероприятий аналогичен таковому при острой воспалительной д</w:t>
      </w:r>
      <w:r>
        <w:t>емиелинизирующей полинейропати</w:t>
      </w:r>
      <w:r w:rsidRPr="008C4E40">
        <w:t xml:space="preserve">.  </w:t>
      </w:r>
      <w:r w:rsidRPr="008C4E40">
        <w:rPr>
          <w:b/>
        </w:rPr>
        <w:t xml:space="preserve">Анализ спинномозговой жидкости: </w:t>
      </w:r>
      <w:r w:rsidRPr="008C4E40">
        <w:t>повышение содержания белка и плеоцитоз обнаруживаются часто,</w:t>
      </w:r>
      <w:r>
        <w:t xml:space="preserve"> но не являются специфическими</w:t>
      </w:r>
      <w:r w:rsidRPr="008C4E40">
        <w:t>. Повышение содержания белка в СМЖ без плеоцитоза (альбумино-цитологическая диссоциация) более не считаются характерными признаками этого</w:t>
      </w:r>
      <w:r>
        <w:t xml:space="preserve"> варианта синдрома Гийена-Барре</w:t>
      </w:r>
      <w:r w:rsidRPr="008C4E40">
        <w:t xml:space="preserve">. </w:t>
      </w:r>
      <w:r>
        <w:t xml:space="preserve"> </w:t>
      </w:r>
      <w:r w:rsidRPr="008C4E40">
        <w:rPr>
          <w:b/>
        </w:rPr>
        <w:t>Электронейромиографическое исследование:</w:t>
      </w:r>
      <w:r w:rsidRPr="008C4E40">
        <w:t xml:space="preserve"> могут присутствовать призн</w:t>
      </w:r>
      <w:r>
        <w:t>аки аксональной полинейропатии</w:t>
      </w:r>
      <w:r w:rsidRPr="008C4E40">
        <w:t xml:space="preserve">. Для установления диагноза при этом варианте синдрома Гийена-Барре следует проводить магнитно-резонансную томографию (МРТ) головного мозга. </w:t>
      </w:r>
      <w:r w:rsidRPr="008C4E40">
        <w:rPr>
          <w:b/>
        </w:rPr>
        <w:t>При помощи этого метода нейровизуализации</w:t>
      </w:r>
      <w:r w:rsidRPr="008C4E40">
        <w:t xml:space="preserve"> у части пациентов (около 30%) выявляются гиперинтенсивные очаги неправильной формы, локализованные преимущественно в области ствола головного мозга (мост, сре</w:t>
      </w:r>
      <w:r>
        <w:t>дний мозг, мозговое вещество).</w:t>
      </w:r>
      <w:r w:rsidRPr="008C4E40">
        <w:t xml:space="preserve"> У двух третей пациентов со стволовым энцефалитом Бикерстаффа</w:t>
      </w:r>
      <w:r>
        <w:t xml:space="preserve"> обнаруживаются антитела к GQ1b</w:t>
      </w:r>
      <w:r w:rsidRPr="008C4E40">
        <w:t xml:space="preserve">. При ЭЭГ-исследовании часто обнаруживаются нарушения (обычно только медленно-волновая активность), что </w:t>
      </w:r>
      <w:r w:rsidRPr="008C4E40">
        <w:lastRenderedPageBreak/>
        <w:t>позволяет считать этот метод обладающим ограничен</w:t>
      </w:r>
      <w:r>
        <w:t>ной диагностической значимостью</w:t>
      </w:r>
      <w:r w:rsidRPr="008C4E40">
        <w:t>. Дифференциальная диагностика. Синдром Гийена-Барре (классический и его варианты) необходимо дифференцировать от таких состояний, как острый (эпидемический) полиомиелит, энцефалит, менингит, миастения (myasthenia gravis), миопатия, острый миелит, миелопатия, полиней</w:t>
      </w:r>
      <w:r>
        <w:t>ропатия при дифтерии, острые</w:t>
      </w:r>
      <w:r w:rsidRPr="008C4E40">
        <w:t xml:space="preserve"> полинейропатии иного происхождения (ботулизм, сахарный диабет, </w:t>
      </w:r>
      <w:r>
        <w:t>васкулит, болезнь Лайма) и др.</w:t>
      </w:r>
      <w:r w:rsidRPr="008C4E40">
        <w:t xml:space="preserve">  </w:t>
      </w:r>
      <w:r>
        <w:t xml:space="preserve"> </w:t>
      </w:r>
    </w:p>
    <w:p w:rsidR="008C4E40" w:rsidRPr="008C4E40" w:rsidRDefault="008C4E40" w:rsidP="008C4E40">
      <w:pPr>
        <w:ind w:firstLine="0"/>
        <w:jc w:val="left"/>
        <w:rPr>
          <w:i/>
          <w:u w:val="single"/>
        </w:rPr>
      </w:pPr>
      <w:r>
        <w:t xml:space="preserve">     </w:t>
      </w:r>
      <w:r w:rsidRPr="008C4E40">
        <w:rPr>
          <w:i/>
          <w:u w:val="single"/>
        </w:rPr>
        <w:t xml:space="preserve">ПРИМЕРЫ ДИАГНОЗОВ </w:t>
      </w:r>
    </w:p>
    <w:p w:rsidR="008C4E40" w:rsidRDefault="008C4E40" w:rsidP="008C4E40">
      <w:pPr>
        <w:ind w:firstLine="0"/>
        <w:jc w:val="left"/>
      </w:pPr>
      <w:r w:rsidRPr="008C4E40">
        <w:t xml:space="preserve">Синдром Гийена-Барре или Острая воспалительная демиелинизирующая полинейропатия (ОВДП) </w:t>
      </w:r>
    </w:p>
    <w:p w:rsidR="008C4E40" w:rsidRDefault="008C4E40" w:rsidP="008C4E40">
      <w:pPr>
        <w:ind w:firstLine="0"/>
        <w:jc w:val="left"/>
      </w:pPr>
      <w:r w:rsidRPr="008C4E40">
        <w:t xml:space="preserve">Острая моторно-сенсорная аксональная нейропатия (ОМСАН) </w:t>
      </w:r>
    </w:p>
    <w:p w:rsidR="008C4E40" w:rsidRDefault="008C4E40" w:rsidP="008C4E40">
      <w:pPr>
        <w:ind w:firstLine="0"/>
        <w:jc w:val="left"/>
      </w:pPr>
      <w:r w:rsidRPr="008C4E40">
        <w:t xml:space="preserve">Острая моторно-аксональная нейропатия (ОМАН) </w:t>
      </w:r>
    </w:p>
    <w:p w:rsidR="008C4E40" w:rsidRDefault="008C4E40" w:rsidP="008C4E40">
      <w:pPr>
        <w:ind w:firstLine="0"/>
        <w:jc w:val="left"/>
      </w:pPr>
      <w:r w:rsidRPr="008C4E40">
        <w:t xml:space="preserve">Синдром Миллера-Фишера или Краниальный вариант синдрома Гийена-Барре или Синдром Фишера Острая панавтономная нейропатия или Острая пандисавтономия или Острый панавтономный синдром Гийена-Барре </w:t>
      </w:r>
    </w:p>
    <w:p w:rsidR="008C4E40" w:rsidRDefault="008C4E40" w:rsidP="008C4E40">
      <w:pPr>
        <w:ind w:firstLine="0"/>
        <w:jc w:val="left"/>
      </w:pPr>
      <w:r w:rsidRPr="008C4E40">
        <w:t xml:space="preserve">Стволовой энцефалит Бикерстаффа (Bickerstaff) </w:t>
      </w:r>
    </w:p>
    <w:p w:rsidR="008C4E40" w:rsidRDefault="008C4E40" w:rsidP="008C4E40">
      <w:pPr>
        <w:ind w:firstLine="0"/>
        <w:jc w:val="left"/>
      </w:pPr>
      <w:r w:rsidRPr="008C4E40">
        <w:t xml:space="preserve">Фаринго-цервико-брахиальный вариант синдрома Гийена-Барре </w:t>
      </w:r>
    </w:p>
    <w:p w:rsidR="00196A9E" w:rsidRPr="008C4E40" w:rsidRDefault="008C4E40" w:rsidP="008C4E40">
      <w:pPr>
        <w:ind w:firstLine="0"/>
        <w:jc w:val="left"/>
      </w:pPr>
      <w:r w:rsidRPr="008C4E40">
        <w:t>Острая краниальная полинейропатия</w:t>
      </w:r>
    </w:p>
    <w:p w:rsidR="00A647A1" w:rsidRDefault="006511F8" w:rsidP="008C4E40">
      <w:pPr>
        <w:pStyle w:val="1"/>
        <w:spacing w:after="108" w:line="360" w:lineRule="auto"/>
        <w:ind w:left="706" w:right="0"/>
        <w:rPr>
          <w:color w:val="000000" w:themeColor="text1"/>
          <w:szCs w:val="24"/>
        </w:rPr>
      </w:pPr>
      <w:bookmarkStart w:id="6" w:name="_Toc7018"/>
      <w:r w:rsidRPr="00572624">
        <w:rPr>
          <w:color w:val="000000" w:themeColor="text1"/>
          <w:szCs w:val="24"/>
        </w:rPr>
        <w:t xml:space="preserve">Лечение </w:t>
      </w:r>
      <w:bookmarkEnd w:id="6"/>
    </w:p>
    <w:p w:rsidR="00073C6D" w:rsidRDefault="008C4E40" w:rsidP="008C4E40">
      <w:pPr>
        <w:jc w:val="left"/>
      </w:pPr>
      <w:r w:rsidRPr="00073C6D">
        <w:rPr>
          <w:i/>
          <w:u w:val="single"/>
        </w:rPr>
        <w:t>Терапевтические мероприятия</w:t>
      </w:r>
      <w:r w:rsidRPr="008C4E40">
        <w:t xml:space="preserve"> при синдроме Гийена-Барре подразделяются на фармакологические и нефармакологические. </w:t>
      </w:r>
    </w:p>
    <w:p w:rsidR="00073C6D" w:rsidRDefault="008C4E40" w:rsidP="008C4E40">
      <w:pPr>
        <w:jc w:val="left"/>
      </w:pPr>
      <w:r w:rsidRPr="008C4E40">
        <w:t xml:space="preserve">Обязательным условием лечения синдрома Гийена-Барре является срочная госпитализация в отделение реанимации и интенсивной терапии (в связи с потенциальной потребностью в осуществлении ИВЛ). </w:t>
      </w:r>
    </w:p>
    <w:p w:rsidR="00073C6D" w:rsidRDefault="008C4E40" w:rsidP="008C4E40">
      <w:pPr>
        <w:jc w:val="left"/>
      </w:pPr>
      <w:r w:rsidRPr="008C4E40">
        <w:t xml:space="preserve">Показаниями для госпитализации в указанное отделение (риск дыхательной недостаточности) являются показатели жизненной емкости легких (ЖЕЛ) &lt;20 мл/кг (или &lt;60% от предполагаемой), пиковое давление на вдохе &lt;30 см H2O и пиковое давление на выдохе &lt;40 cм H2O. Необходимость в ИВЛ возникает в 25% случаев. Показаниями к интубации пациента является наличие форсированной ЖЕЛ &lt;20 мл/кг (при слабости черепных нервов – 15-18 мл/кг), максимальное давление при вдохе &lt;30 см H2O и максимальное давление на выдохе &lt;40 см H2O. Возможность отмены ИВЛ рассматривают при ЖЕЛ &gt;15 мл/кг (при отсутствии легочной патологии)А. </w:t>
      </w:r>
    </w:p>
    <w:p w:rsidR="00073C6D" w:rsidRDefault="008C4E40" w:rsidP="008C4E40">
      <w:pPr>
        <w:jc w:val="left"/>
      </w:pPr>
      <w:r w:rsidRPr="008C4E40">
        <w:t xml:space="preserve">Среди </w:t>
      </w:r>
      <w:r w:rsidRPr="00073C6D">
        <w:rPr>
          <w:b/>
        </w:rPr>
        <w:t>нефармакологических методов</w:t>
      </w:r>
      <w:r w:rsidRPr="008C4E40">
        <w:t xml:space="preserve"> лечения синдрома Гийена-Барре особое место занимает плазмаферез, который является единственным способом </w:t>
      </w:r>
      <w:r w:rsidRPr="008C4E40">
        <w:lastRenderedPageBreak/>
        <w:t>инструментальной (экстракорпоральной) терапии болезни с доказанной эффективностью (снижает риск развития дыхательной недостаточности и необходимости ИВЛ, уменьшает период достижения способности к самостоятельному передвижению, способствует полному восстановления мышечной силы, снижает процент тяжелых последствий по прошествии 1 года)</w:t>
      </w:r>
      <w:r w:rsidR="00073C6D">
        <w:t xml:space="preserve"> </w:t>
      </w:r>
      <w:r w:rsidRPr="008C4E40">
        <w:t xml:space="preserve">B. Объем заменяемой плазмы и оптимальное число процедур плазмафереза варьируют, но предпочтительным считается протокол, используемый в США (замещение 200-250 мл/кг в течение 7-10 дней). При синдроме Гийена-Барре требуется не менее двух процедур плазмафереза для значимого снижения числа циркулирующих иммунных комплексов (при острой воспалительной демиелинизирующей полинейропатии легкой выраженности проводят 2 процедуры, а при умеренной и тяжелой – 4-5 процедур, через день). </w:t>
      </w:r>
    </w:p>
    <w:p w:rsidR="00073C6D" w:rsidRDefault="008C4E40" w:rsidP="008C4E40">
      <w:pPr>
        <w:jc w:val="left"/>
      </w:pPr>
      <w:r w:rsidRPr="008C4E40">
        <w:t xml:space="preserve">Возможно применение </w:t>
      </w:r>
      <w:r w:rsidRPr="00073C6D">
        <w:rPr>
          <w:b/>
        </w:rPr>
        <w:t>низкообъемного заменного плазмафереза</w:t>
      </w:r>
      <w:r w:rsidRPr="008C4E40">
        <w:t xml:space="preserve"> (15 мл/кг). Плазмаферез в постоянном режиме предпочтительнее интермиттирующего (используются альбумин и свежезамороженная плазма). </w:t>
      </w:r>
    </w:p>
    <w:p w:rsidR="00073C6D" w:rsidRDefault="00073C6D" w:rsidP="008C4E40">
      <w:pPr>
        <w:jc w:val="left"/>
      </w:pPr>
      <w:r>
        <w:t xml:space="preserve">В качестве </w:t>
      </w:r>
      <w:r w:rsidR="008C4E40" w:rsidRPr="008C4E40">
        <w:t>альтернативы заменного плазмафереза может использоваться метод иммуноадсорбционной терапии (удаление иммуноглобулинов из крови, не требующее замещения альбумином и</w:t>
      </w:r>
      <w:r>
        <w:t>ли свежезамороженной плазмой).</w:t>
      </w:r>
    </w:p>
    <w:p w:rsidR="00073C6D" w:rsidRDefault="008C4E40" w:rsidP="008C4E40">
      <w:pPr>
        <w:jc w:val="left"/>
      </w:pPr>
      <w:r w:rsidRPr="008C4E40">
        <w:t xml:space="preserve">Среди известных и используемых ранее методов </w:t>
      </w:r>
      <w:r w:rsidRPr="00073C6D">
        <w:rPr>
          <w:b/>
        </w:rPr>
        <w:t xml:space="preserve">фармакотерапии </w:t>
      </w:r>
      <w:r w:rsidRPr="008C4E40">
        <w:t>синдрома Гийена-Барре (иммуносупрессоры – циклоспорин, циклофосфамид и азатиоприн; кортикостероиды; препараты интерферона-β; аутологичная трансплантация стволовых клеток; человеческие иммуноглобулины для внутривенного введения) только последние могут считаться эффективными с</w:t>
      </w:r>
      <w:r w:rsidR="00073C6D">
        <w:t xml:space="preserve"> позиций доказательной медицины</w:t>
      </w:r>
      <w:r w:rsidRPr="008C4E40">
        <w:t xml:space="preserve">.  </w:t>
      </w:r>
    </w:p>
    <w:p w:rsidR="00073C6D" w:rsidRDefault="008C4E40" w:rsidP="008C4E40">
      <w:pPr>
        <w:jc w:val="left"/>
      </w:pPr>
      <w:r w:rsidRPr="00073C6D">
        <w:rPr>
          <w:b/>
        </w:rPr>
        <w:t>Иммунотерапия человеческими иммуноглобулинами</w:t>
      </w:r>
      <w:r w:rsidRPr="008C4E40">
        <w:t xml:space="preserve"> при острой воспалительной демиелинизирующей полинейропатии способствует скорейшему восстановлению неврологических функций, по меньшей мере, не уст</w:t>
      </w:r>
      <w:r w:rsidR="00073C6D">
        <w:t>упая эффективности плазмафереза</w:t>
      </w:r>
      <w:r w:rsidRPr="008C4E40">
        <w:t xml:space="preserve">.  </w:t>
      </w:r>
    </w:p>
    <w:p w:rsidR="00073C6D" w:rsidRDefault="008C4E40" w:rsidP="008C4E40">
      <w:pPr>
        <w:jc w:val="left"/>
      </w:pPr>
      <w:r w:rsidRPr="008C4E40">
        <w:t xml:space="preserve">Существуют 2 основных режима назначения детям с синдромом Гийена-Барре человеческих иммуноглобулинов для внутривенного введения: </w:t>
      </w:r>
    </w:p>
    <w:p w:rsidR="00073C6D" w:rsidRDefault="008C4E40" w:rsidP="008C4E40">
      <w:pPr>
        <w:jc w:val="left"/>
      </w:pPr>
      <w:r w:rsidRPr="008C4E40">
        <w:t xml:space="preserve"> 1) по 0,4 г/кг/сут в течение 5 дней;  </w:t>
      </w:r>
    </w:p>
    <w:p w:rsidR="00073C6D" w:rsidRDefault="008C4E40" w:rsidP="008C4E40">
      <w:pPr>
        <w:jc w:val="left"/>
      </w:pPr>
      <w:r w:rsidRPr="008C4E40">
        <w:t xml:space="preserve">2) по 2,0 г/кг в разделенных дозах в течение двух дней.  </w:t>
      </w:r>
    </w:p>
    <w:p w:rsidR="00073C6D" w:rsidRDefault="008C4E40" w:rsidP="008C4E40">
      <w:pPr>
        <w:jc w:val="left"/>
      </w:pPr>
      <w:r w:rsidRPr="008C4E40">
        <w:t xml:space="preserve">Первый из описываемых режимов более распространен и считается предпочтительнымВ. В лечении синдрома Гийена-Барре могут успешно применяться как внутривенные иммуноглобулины с содержанием только IgG (стимулирует </w:t>
      </w:r>
      <w:r w:rsidRPr="008C4E40">
        <w:lastRenderedPageBreak/>
        <w:t xml:space="preserve">ремиелинизацию за счет иммуномодулирующей активности), так и обогащенные IgM. Последние предпочтительны, так как IgM в большей степени стимулирует ремиелинизацию – за счет взаимодействия с антигенами ЦНС и олигодендроцитов. При использовании человеческих иммуноглобулинов для внутривенного введения с содержанием IgM достигается дополнительный положительный эффект на процесс ремиелинизации. </w:t>
      </w:r>
    </w:p>
    <w:p w:rsidR="00073C6D" w:rsidRDefault="008C4E40" w:rsidP="008C4E40">
      <w:pPr>
        <w:jc w:val="left"/>
      </w:pPr>
      <w:r w:rsidRPr="00073C6D">
        <w:rPr>
          <w:b/>
        </w:rPr>
        <w:t>Лечение синдрома Миллера-Фишера отличается от терапии классической формы синдрома Гийена-Барре</w:t>
      </w:r>
      <w:r w:rsidRPr="008C4E40">
        <w:t xml:space="preserve"> возможностью применения гормонов-кортикостероидов. С этой целью используются препараты преднизолон и метилпреднизолонB.  Используемые препараты:  </w:t>
      </w:r>
    </w:p>
    <w:p w:rsidR="00073C6D" w:rsidRDefault="008C4E40" w:rsidP="008C4E40">
      <w:pPr>
        <w:jc w:val="left"/>
      </w:pPr>
      <w:r w:rsidRPr="008C4E40">
        <w:t xml:space="preserve"> преднизолон (МНН: преднизолон, prednisolone; код АТХ: H02AB06), </w:t>
      </w:r>
    </w:p>
    <w:p w:rsidR="00073C6D" w:rsidRDefault="008C4E40" w:rsidP="008C4E40">
      <w:pPr>
        <w:jc w:val="left"/>
      </w:pPr>
      <w:r w:rsidRPr="008C4E40">
        <w:t xml:space="preserve">  метилпреднизолон (МНН: метилпреднизолон, methylprednisolone; код АТХ: H02AB04 Кортикостероидные гормоны (преднизолон, метилпреднизолон) применяются в лечении не только синдрома МиллераФишера, но и острой панавтономной нейропатии, а также острой моторносенсорной аксональной нейропатии и стволового энцефалита БикерстаффаВ.  В остальном в лечении различных клинических вариантов синдрома Гийена-Барре (ОМАН, ОМСАН, синдром Миллера-Фишера, острая панавтономная нейропатия, стволовой энцефалит Бикенстаффа) используются терапевтические методы, аналогичные таковым при острой воспалительной демиелинизирующей полинейропатии, то есть человеческие иммуноглобулины для внутривенного введения и плазмаферезА. </w:t>
      </w:r>
      <w:r w:rsidR="00073C6D">
        <w:t xml:space="preserve">        </w:t>
      </w:r>
    </w:p>
    <w:p w:rsidR="00073C6D" w:rsidRDefault="008C4E40" w:rsidP="008C4E40">
      <w:pPr>
        <w:jc w:val="left"/>
      </w:pPr>
      <w:r w:rsidRPr="008C4E40">
        <w:t>Имеются единичные сообщения об успешном применении препарата на основе анти-CD20 моноклонального антитела (ритуксимаб) в лечении стволового энцефалита Бикенстаффа, резистентного к терапии с использованием плазмафереза и человеческих иммуноглобулинов дл</w:t>
      </w:r>
      <w:r w:rsidR="00073C6D">
        <w:t xml:space="preserve">я внутривенного введения. </w:t>
      </w:r>
    </w:p>
    <w:p w:rsidR="00073C6D" w:rsidRDefault="00073C6D" w:rsidP="008C4E40">
      <w:pPr>
        <w:jc w:val="left"/>
      </w:pPr>
      <w:r>
        <w:t>Д</w:t>
      </w:r>
      <w:r w:rsidR="008C4E40" w:rsidRPr="008C4E40">
        <w:t xml:space="preserve">ля пациентов с синдромом Гийена-Барре, находящихся на ИВЛ, предусмотрено клиническое питание (энтеральное или парентеральное), целью которого является обеспечение потребности в пищевой энергии при высокой метаболической потребности (40-45 небелковых калорий/кг, повышенное </w:t>
      </w:r>
      <w:r>
        <w:t>содержание белка – 2-2,5 г/кг)</w:t>
      </w:r>
      <w:r w:rsidR="008C4E40" w:rsidRPr="008C4E40">
        <w:t>. В ряде случаев такая питательная поддержка требуется пациентам без ИВЛ, но со знач</w:t>
      </w:r>
      <w:r>
        <w:t>ительной выраженностью дисфагии</w:t>
      </w:r>
      <w:r w:rsidR="008C4E40" w:rsidRPr="008C4E40">
        <w:t xml:space="preserve">. Применение клинического питания позволяет предотвратить аспирацию пищи с последующим развитием пневмонии у пациентов </w:t>
      </w:r>
      <w:r>
        <w:t>группы риска по этому состоянию</w:t>
      </w:r>
      <w:r w:rsidR="008C4E40" w:rsidRPr="008C4E40">
        <w:t xml:space="preserve">.  </w:t>
      </w:r>
    </w:p>
    <w:p w:rsidR="008C4E40" w:rsidRPr="008C4E40" w:rsidRDefault="008C4E40" w:rsidP="008C4E40">
      <w:pPr>
        <w:jc w:val="left"/>
      </w:pPr>
      <w:r w:rsidRPr="008C4E40">
        <w:t xml:space="preserve">Дети с СГБ должны находиться в стационаре не менее 1 месяца в связи с тем, что именно в течение этого времени возможно нарастание неврологической симптоматики и </w:t>
      </w:r>
      <w:r w:rsidRPr="008C4E40">
        <w:lastRenderedPageBreak/>
        <w:t>высока вероятность перевода ребенка в отделение реанимации и интенсивной терапии для проведения ИВЛ. В дальнейшем возможно проведение лечения в условиях дневного стационара или амбулаторно. После выписки из стационара наблюдение за детьми, перенесшими СГБ должен осуществлять невролог по месту жительства в течение 1 года.</w:t>
      </w:r>
    </w:p>
    <w:p w:rsidR="00A647A1" w:rsidRDefault="006511F8" w:rsidP="008C4E40">
      <w:pPr>
        <w:pStyle w:val="1"/>
        <w:spacing w:line="360" w:lineRule="auto"/>
        <w:ind w:left="706" w:right="0"/>
        <w:rPr>
          <w:color w:val="000000" w:themeColor="text1"/>
          <w:szCs w:val="24"/>
        </w:rPr>
      </w:pPr>
      <w:bookmarkStart w:id="7" w:name="_Toc7019"/>
      <w:r w:rsidRPr="00572624">
        <w:rPr>
          <w:color w:val="000000" w:themeColor="text1"/>
          <w:szCs w:val="24"/>
        </w:rPr>
        <w:t xml:space="preserve">Прогноз. </w:t>
      </w:r>
      <w:bookmarkEnd w:id="7"/>
    </w:p>
    <w:p w:rsidR="00073C6D" w:rsidRDefault="008C4E40" w:rsidP="008C4E40">
      <w:pPr>
        <w:jc w:val="left"/>
      </w:pPr>
      <w:r w:rsidRPr="008C4E40">
        <w:t>В прошлом синдром Гийена-Барре являлся лидером по части неблагопритяных исходов и инвалидности среди нейроинфекций, уступая только острому эпидемическому полиомиелиту. В настоящее время у большинства пациентов с синдромом Гийена-Барре отмечается спонтанное выздоровление (на фоне проводимой терапии), хотя до четверти больных могут нуждаться в проведении ИВЛ3.  Средняя продолжительность стадии прогрессирования болезни составляет около 4 недель, а стадии сохранения стойкой симптоматики – около 2 недель. Активное восстановление утраченных неврологических функций продолжается в течение примерно 1,5 месяцев; в дальнейшем темпы восста</w:t>
      </w:r>
      <w:r w:rsidR="00073C6D">
        <w:t>новления существенно снижаются</w:t>
      </w:r>
      <w:r w:rsidRPr="008C4E40">
        <w:t xml:space="preserve">. </w:t>
      </w:r>
    </w:p>
    <w:p w:rsidR="00073C6D" w:rsidRDefault="008C4E40" w:rsidP="008C4E40">
      <w:pPr>
        <w:jc w:val="left"/>
      </w:pPr>
      <w:r w:rsidRPr="008C4E40">
        <w:t>Неврологические нарушения, сохраняющиеся по завершении острого периода болезни, впоследствии отмечаются у 7-22% детей (у взрослы</w:t>
      </w:r>
      <w:r w:rsidR="00073C6D">
        <w:t>х пациентов – в 20-30% случаев)</w:t>
      </w:r>
      <w:r w:rsidRPr="008C4E40">
        <w:t xml:space="preserve">.  </w:t>
      </w:r>
    </w:p>
    <w:p w:rsidR="00073C6D" w:rsidRDefault="008C4E40" w:rsidP="008C4E40">
      <w:pPr>
        <w:jc w:val="left"/>
      </w:pPr>
      <w:r w:rsidRPr="008C4E40">
        <w:t>Рецидив/рецидивы заболевания (хроническая воспалительная демиелинизирующая полинейропатия)</w:t>
      </w:r>
      <w:r w:rsidR="00073C6D">
        <w:t xml:space="preserve"> отмечаются у 5-10% пациентов</w:t>
      </w:r>
      <w:r w:rsidRPr="008C4E40">
        <w:t xml:space="preserve">. </w:t>
      </w:r>
    </w:p>
    <w:p w:rsidR="00073C6D" w:rsidRDefault="008C4E40" w:rsidP="008C4E40">
      <w:pPr>
        <w:jc w:val="left"/>
      </w:pPr>
      <w:r w:rsidRPr="008C4E40">
        <w:t xml:space="preserve">Летальность при синдроме ГийенаБарре может достигать 10%, хотя чаще </w:t>
      </w:r>
      <w:r w:rsidR="00073C6D">
        <w:t xml:space="preserve">регистрируется на уровне 2-5%. </w:t>
      </w:r>
    </w:p>
    <w:p w:rsidR="00073C6D" w:rsidRDefault="008C4E40" w:rsidP="008C4E40">
      <w:pPr>
        <w:jc w:val="left"/>
      </w:pPr>
      <w:r w:rsidRPr="008C4E40">
        <w:t xml:space="preserve">Предикторами неблагоприятного прогноза или долгосрочной инвалидности при синдроме Гийена-Барре служат следующие факторы: быстрое прогрессирование и тяжесть болезни; признаки аксональных потерь при электромиографическом исследовании; потребность в ИВЛ &gt;1 месяца; отсутствие моторной реакции; неспособность </w:t>
      </w:r>
      <w:r w:rsidR="00073C6D">
        <w:t>к ходьбе к 14-му дню болезни</w:t>
      </w:r>
      <w:r w:rsidRPr="008C4E40">
        <w:t xml:space="preserve">. </w:t>
      </w:r>
    </w:p>
    <w:p w:rsidR="00073C6D" w:rsidRDefault="008C4E40" w:rsidP="008C4E40">
      <w:pPr>
        <w:jc w:val="left"/>
      </w:pPr>
      <w:r w:rsidRPr="008C4E40">
        <w:t>При острой моторно-сенсорной аксональной нейропатии у детей отмечается выраженная аксональная дегенерация с первичным поражением аксонов двигательных и чувствительных нервов. Впоследствии ожидается позднее и неполное восстановление нарушенных неврологических функций (по сравнению с острой воспалительной деми</w:t>
      </w:r>
      <w:r w:rsidR="00073C6D">
        <w:t>елинизирующей полинейропатией)</w:t>
      </w:r>
      <w:r w:rsidRPr="008C4E40">
        <w:t>. При острой моторно-аксональной нейропатии выздоровление может наступать сравнительно быстро, хотя у пациентов с выраженной аксональной дегенер</w:t>
      </w:r>
      <w:r w:rsidR="00073C6D">
        <w:t>ацией оно нередко затягивается</w:t>
      </w:r>
      <w:r w:rsidRPr="008C4E40">
        <w:t xml:space="preserve">. В части случаев у пациентов с </w:t>
      </w:r>
      <w:r w:rsidRPr="008C4E40">
        <w:lastRenderedPageBreak/>
        <w:t>острой пандисавтономной нейро</w:t>
      </w:r>
      <w:r w:rsidR="00073C6D">
        <w:t>патией отмечается энцефалопатия</w:t>
      </w:r>
      <w:r w:rsidRPr="008C4E40">
        <w:t xml:space="preserve">. Для этого варианта синдрома Гийена-Барре характерен высокий уровень летальности (вследствие поражения сердечно-сосудистой системы и кардиоаритмий). </w:t>
      </w:r>
    </w:p>
    <w:p w:rsidR="008C4E40" w:rsidRPr="008C4E40" w:rsidRDefault="008C4E40" w:rsidP="008C4E40">
      <w:pPr>
        <w:jc w:val="left"/>
      </w:pPr>
      <w:r w:rsidRPr="008C4E40">
        <w:t>Восстановление неврологических функций про</w:t>
      </w:r>
      <w:r w:rsidR="00073C6D">
        <w:t>исходит медленно и не полностью</w:t>
      </w:r>
      <w:r w:rsidRPr="008C4E40">
        <w:t>. При синдроме Миллера-Фишера происходит постепенное полное или почти полное  восстановление неврологических функций (при минимальном неврологическом дефиците</w:t>
      </w:r>
      <w:r w:rsidR="00073C6D">
        <w:t>)</w:t>
      </w:r>
      <w:r w:rsidRPr="008C4E40">
        <w:t>. Прогноз при стволовом энцефалите Б</w:t>
      </w:r>
      <w:r w:rsidR="00073C6D">
        <w:t>икерстаффа обычно благоприятен</w:t>
      </w:r>
      <w:r w:rsidRPr="008C4E40">
        <w:t xml:space="preserve">.  </w:t>
      </w:r>
    </w:p>
    <w:p w:rsidR="00907543" w:rsidRPr="00572624" w:rsidRDefault="00CD58E0" w:rsidP="008C4E40">
      <w:pPr>
        <w:pStyle w:val="1"/>
        <w:spacing w:line="360" w:lineRule="auto"/>
        <w:ind w:left="706" w:right="0"/>
        <w:rPr>
          <w:b w:val="0"/>
          <w:color w:val="000000" w:themeColor="text1"/>
          <w:szCs w:val="24"/>
        </w:rPr>
      </w:pPr>
      <w:bookmarkStart w:id="8" w:name="_Toc7020"/>
      <w:r w:rsidRPr="00572624">
        <w:rPr>
          <w:b w:val="0"/>
          <w:color w:val="000000" w:themeColor="text1"/>
          <w:szCs w:val="24"/>
        </w:rPr>
        <w:t xml:space="preserve">   </w:t>
      </w:r>
    </w:p>
    <w:p w:rsidR="00CD58E0" w:rsidRPr="00572624" w:rsidRDefault="00CD58E0" w:rsidP="008C4E40">
      <w:pPr>
        <w:jc w:val="left"/>
        <w:rPr>
          <w:szCs w:val="24"/>
        </w:rPr>
      </w:pPr>
    </w:p>
    <w:p w:rsidR="008C4E40" w:rsidRDefault="008C4E40" w:rsidP="008C4E40">
      <w:pPr>
        <w:pStyle w:val="1"/>
        <w:spacing w:line="360" w:lineRule="auto"/>
        <w:ind w:left="706" w:right="0"/>
        <w:rPr>
          <w:color w:val="000000" w:themeColor="text1"/>
          <w:szCs w:val="24"/>
        </w:rPr>
      </w:pPr>
    </w:p>
    <w:p w:rsidR="008C4E40" w:rsidRDefault="008C4E40" w:rsidP="008C4E40">
      <w:pPr>
        <w:pStyle w:val="1"/>
        <w:spacing w:line="360" w:lineRule="auto"/>
        <w:ind w:left="706" w:right="0"/>
        <w:rPr>
          <w:color w:val="000000" w:themeColor="text1"/>
          <w:szCs w:val="24"/>
        </w:rPr>
      </w:pPr>
    </w:p>
    <w:p w:rsidR="008C4E40" w:rsidRDefault="008C4E40" w:rsidP="008C4E40">
      <w:pPr>
        <w:pStyle w:val="1"/>
        <w:spacing w:line="360" w:lineRule="auto"/>
        <w:ind w:left="706" w:right="0"/>
        <w:rPr>
          <w:color w:val="000000" w:themeColor="text1"/>
          <w:szCs w:val="24"/>
        </w:rPr>
      </w:pPr>
    </w:p>
    <w:p w:rsidR="008C4E40" w:rsidRDefault="008C4E40" w:rsidP="008C4E40">
      <w:pPr>
        <w:pStyle w:val="1"/>
        <w:spacing w:line="360" w:lineRule="auto"/>
        <w:ind w:left="706" w:right="0"/>
        <w:rPr>
          <w:color w:val="000000" w:themeColor="text1"/>
          <w:szCs w:val="24"/>
        </w:rPr>
      </w:pPr>
    </w:p>
    <w:p w:rsidR="008C4E40" w:rsidRDefault="008C4E40" w:rsidP="008C4E40">
      <w:pPr>
        <w:pStyle w:val="1"/>
        <w:spacing w:line="360" w:lineRule="auto"/>
        <w:ind w:left="706" w:right="0"/>
        <w:rPr>
          <w:color w:val="000000" w:themeColor="text1"/>
          <w:szCs w:val="24"/>
        </w:rPr>
      </w:pPr>
    </w:p>
    <w:p w:rsidR="008C4E40" w:rsidRDefault="008C4E40" w:rsidP="008C4E40">
      <w:pPr>
        <w:pStyle w:val="1"/>
        <w:spacing w:line="360" w:lineRule="auto"/>
        <w:ind w:left="706" w:right="0"/>
        <w:rPr>
          <w:color w:val="000000" w:themeColor="text1"/>
          <w:szCs w:val="24"/>
        </w:rPr>
      </w:pPr>
    </w:p>
    <w:p w:rsidR="008C4E40" w:rsidRDefault="008C4E40" w:rsidP="008C4E40">
      <w:pPr>
        <w:pStyle w:val="1"/>
        <w:spacing w:line="360" w:lineRule="auto"/>
        <w:ind w:left="706" w:right="0"/>
        <w:rPr>
          <w:color w:val="000000" w:themeColor="text1"/>
          <w:szCs w:val="24"/>
        </w:rPr>
      </w:pPr>
    </w:p>
    <w:p w:rsidR="008C4E40" w:rsidRDefault="008C4E40" w:rsidP="008C4E40">
      <w:pPr>
        <w:pStyle w:val="1"/>
        <w:spacing w:line="360" w:lineRule="auto"/>
        <w:ind w:left="706" w:right="0"/>
        <w:rPr>
          <w:color w:val="000000" w:themeColor="text1"/>
          <w:szCs w:val="24"/>
        </w:rPr>
      </w:pPr>
    </w:p>
    <w:p w:rsidR="008C4E40" w:rsidRDefault="008C4E40" w:rsidP="008C4E40">
      <w:pPr>
        <w:pStyle w:val="1"/>
        <w:spacing w:line="360" w:lineRule="auto"/>
        <w:ind w:left="706" w:right="0"/>
        <w:rPr>
          <w:b w:val="0"/>
        </w:rPr>
      </w:pPr>
    </w:p>
    <w:p w:rsidR="008C4E40" w:rsidRPr="008C4E40" w:rsidRDefault="008C4E40" w:rsidP="008C4E40">
      <w:pPr>
        <w:jc w:val="left"/>
      </w:pPr>
    </w:p>
    <w:p w:rsidR="002D140A" w:rsidRDefault="002D140A" w:rsidP="008C4E40">
      <w:pPr>
        <w:pStyle w:val="1"/>
        <w:spacing w:line="360" w:lineRule="auto"/>
        <w:ind w:left="706" w:right="0"/>
        <w:rPr>
          <w:color w:val="000000" w:themeColor="text1"/>
          <w:szCs w:val="24"/>
        </w:rPr>
      </w:pPr>
    </w:p>
    <w:p w:rsidR="002D140A" w:rsidRDefault="002D140A" w:rsidP="008C4E40">
      <w:pPr>
        <w:pStyle w:val="1"/>
        <w:spacing w:line="360" w:lineRule="auto"/>
        <w:ind w:left="706" w:right="0"/>
        <w:rPr>
          <w:color w:val="000000" w:themeColor="text1"/>
          <w:szCs w:val="24"/>
        </w:rPr>
      </w:pPr>
    </w:p>
    <w:p w:rsidR="002D140A" w:rsidRDefault="002D140A" w:rsidP="008C4E40">
      <w:pPr>
        <w:pStyle w:val="1"/>
        <w:spacing w:line="360" w:lineRule="auto"/>
        <w:ind w:left="706" w:right="0"/>
        <w:rPr>
          <w:color w:val="000000" w:themeColor="text1"/>
          <w:szCs w:val="24"/>
        </w:rPr>
      </w:pPr>
    </w:p>
    <w:p w:rsidR="002D140A" w:rsidRDefault="002D140A" w:rsidP="008C4E40">
      <w:pPr>
        <w:pStyle w:val="1"/>
        <w:spacing w:line="360" w:lineRule="auto"/>
        <w:ind w:left="706" w:right="0"/>
        <w:rPr>
          <w:color w:val="000000" w:themeColor="text1"/>
          <w:szCs w:val="24"/>
        </w:rPr>
      </w:pPr>
    </w:p>
    <w:p w:rsidR="002D140A" w:rsidRDefault="002D140A" w:rsidP="008C4E40">
      <w:pPr>
        <w:pStyle w:val="1"/>
        <w:spacing w:line="360" w:lineRule="auto"/>
        <w:ind w:left="706" w:right="0"/>
        <w:rPr>
          <w:color w:val="000000" w:themeColor="text1"/>
          <w:szCs w:val="24"/>
        </w:rPr>
      </w:pPr>
    </w:p>
    <w:p w:rsidR="002D140A" w:rsidRDefault="002D140A" w:rsidP="008C4E40">
      <w:pPr>
        <w:pStyle w:val="1"/>
        <w:spacing w:line="360" w:lineRule="auto"/>
        <w:ind w:left="706" w:right="0"/>
        <w:rPr>
          <w:color w:val="000000" w:themeColor="text1"/>
          <w:szCs w:val="24"/>
        </w:rPr>
      </w:pPr>
    </w:p>
    <w:p w:rsidR="002D140A" w:rsidRDefault="002D140A" w:rsidP="002D140A"/>
    <w:p w:rsidR="002D140A" w:rsidRDefault="002D140A" w:rsidP="002D140A"/>
    <w:p w:rsidR="002D140A" w:rsidRPr="002D140A" w:rsidRDefault="002D140A" w:rsidP="002D140A"/>
    <w:p w:rsidR="00073C6D" w:rsidRPr="002D140A" w:rsidRDefault="006511F8" w:rsidP="002D140A">
      <w:pPr>
        <w:pStyle w:val="1"/>
        <w:spacing w:line="360" w:lineRule="auto"/>
        <w:ind w:left="706" w:right="0"/>
        <w:rPr>
          <w:color w:val="000000" w:themeColor="text1"/>
          <w:szCs w:val="24"/>
        </w:rPr>
      </w:pPr>
      <w:r w:rsidRPr="002D140A">
        <w:rPr>
          <w:color w:val="000000" w:themeColor="text1"/>
          <w:szCs w:val="24"/>
        </w:rPr>
        <w:lastRenderedPageBreak/>
        <w:t xml:space="preserve">Список литературы:  </w:t>
      </w:r>
      <w:bookmarkEnd w:id="8"/>
    </w:p>
    <w:p w:rsidR="00572624" w:rsidRPr="002D140A" w:rsidRDefault="00196A9E" w:rsidP="008C4E40">
      <w:pPr>
        <w:numPr>
          <w:ilvl w:val="0"/>
          <w:numId w:val="2"/>
        </w:numPr>
        <w:spacing w:after="0" w:line="360" w:lineRule="auto"/>
        <w:jc w:val="left"/>
        <w:textAlignment w:val="baseline"/>
        <w:rPr>
          <w:szCs w:val="24"/>
        </w:rPr>
      </w:pPr>
      <w:r w:rsidRPr="002D140A">
        <w:rPr>
          <w:szCs w:val="24"/>
        </w:rPr>
        <w:t>Богданов Э. И. Сирингомиелия // Неврологический журнал. 2005. № 5. С. 4 – 11.</w:t>
      </w:r>
    </w:p>
    <w:p w:rsidR="00073C6D" w:rsidRPr="002D140A" w:rsidRDefault="002D140A" w:rsidP="002D140A">
      <w:pPr>
        <w:numPr>
          <w:ilvl w:val="0"/>
          <w:numId w:val="2"/>
        </w:numPr>
        <w:spacing w:after="0" w:line="360" w:lineRule="auto"/>
        <w:jc w:val="left"/>
        <w:textAlignment w:val="baseline"/>
        <w:rPr>
          <w:szCs w:val="24"/>
        </w:rPr>
      </w:pPr>
      <w:r w:rsidRPr="002D140A">
        <w:rPr>
          <w:szCs w:val="24"/>
        </w:rPr>
        <w:t>Клинические рекомендации от 2020г. chrome-extension://efaidnbmnnnibpcajpcglclefindmkaj/https://neuromuscular.ru/wp-content/uploads/2020/10/KR-SGB-2020-FINAL.pdf</w:t>
      </w:r>
    </w:p>
    <w:p w:rsidR="00572624" w:rsidRPr="002D140A" w:rsidRDefault="002D140A" w:rsidP="008C4E40">
      <w:pPr>
        <w:numPr>
          <w:ilvl w:val="0"/>
          <w:numId w:val="2"/>
        </w:numPr>
        <w:spacing w:line="360" w:lineRule="auto"/>
        <w:ind w:right="464"/>
        <w:jc w:val="left"/>
        <w:rPr>
          <w:color w:val="000000" w:themeColor="text1"/>
          <w:szCs w:val="24"/>
        </w:rPr>
      </w:pPr>
      <w:r w:rsidRPr="002D140A">
        <w:rPr>
          <w:rFonts w:eastAsiaTheme="minorEastAsia"/>
          <w:iCs/>
          <w:color w:val="auto"/>
          <w:szCs w:val="24"/>
        </w:rPr>
        <w:t xml:space="preserve">Кутепов Д., Литвинов Н. Синдром Гийена-Барре // </w:t>
      </w:r>
      <w:r w:rsidRPr="002D140A">
        <w:rPr>
          <w:rFonts w:eastAsiaTheme="minorEastAsia"/>
          <w:bCs/>
          <w:color w:val="auto"/>
          <w:szCs w:val="24"/>
        </w:rPr>
        <w:t>Казанский медицинский журнал. 2015 г. Т 96, №6.</w:t>
      </w:r>
    </w:p>
    <w:p w:rsidR="002D140A" w:rsidRPr="002D140A" w:rsidRDefault="002D140A" w:rsidP="002D140A">
      <w:pPr>
        <w:numPr>
          <w:ilvl w:val="0"/>
          <w:numId w:val="2"/>
        </w:numPr>
        <w:spacing w:line="360" w:lineRule="auto"/>
        <w:ind w:right="464"/>
        <w:jc w:val="left"/>
        <w:rPr>
          <w:color w:val="000000" w:themeColor="text1"/>
          <w:szCs w:val="24"/>
          <w:lang w:val="en-US"/>
        </w:rPr>
      </w:pPr>
      <w:r w:rsidRPr="002D140A">
        <w:rPr>
          <w:color w:val="000000" w:themeColor="text1"/>
          <w:szCs w:val="24"/>
          <w:lang w:val="en-US"/>
        </w:rPr>
        <w:t xml:space="preserve">Ropper A.H. The Guillain–Barré syndrome. N.Engl. J. Med. 1992. 326. </w:t>
      </w:r>
      <w:r>
        <w:rPr>
          <w:color w:val="000000" w:themeColor="text1"/>
          <w:szCs w:val="24"/>
          <w:lang w:val="en-US"/>
        </w:rPr>
        <w:t>S</w:t>
      </w:r>
      <w:r w:rsidRPr="00C604C0">
        <w:rPr>
          <w:color w:val="000000" w:themeColor="text1"/>
          <w:szCs w:val="24"/>
          <w:lang w:val="en-US"/>
        </w:rPr>
        <w:t xml:space="preserve">. </w:t>
      </w:r>
      <w:r w:rsidRPr="002D140A">
        <w:rPr>
          <w:color w:val="000000" w:themeColor="text1"/>
          <w:szCs w:val="24"/>
          <w:lang w:val="en-US"/>
        </w:rPr>
        <w:t>1130.</w:t>
      </w:r>
    </w:p>
    <w:p w:rsidR="002D140A" w:rsidRPr="002D140A" w:rsidRDefault="002D140A" w:rsidP="002D140A">
      <w:pPr>
        <w:numPr>
          <w:ilvl w:val="0"/>
          <w:numId w:val="2"/>
        </w:numPr>
        <w:spacing w:line="360" w:lineRule="auto"/>
        <w:ind w:right="464"/>
        <w:jc w:val="left"/>
        <w:rPr>
          <w:color w:val="000000" w:themeColor="text1"/>
          <w:szCs w:val="24"/>
        </w:rPr>
      </w:pPr>
      <w:r w:rsidRPr="002D140A">
        <w:rPr>
          <w:color w:val="000000" w:themeColor="text1"/>
          <w:szCs w:val="24"/>
          <w:lang w:val="en-US"/>
        </w:rPr>
        <w:t>Kanz</w:t>
      </w:r>
      <w:r>
        <w:rPr>
          <w:color w:val="000000" w:themeColor="text1"/>
          <w:szCs w:val="24"/>
          <w:lang w:val="en-US"/>
        </w:rPr>
        <w:t>aki M., Kaida K., Ueda M.</w:t>
      </w:r>
      <w:r w:rsidRPr="002D140A">
        <w:rPr>
          <w:color w:val="000000" w:themeColor="text1"/>
          <w:szCs w:val="24"/>
          <w:lang w:val="en-US"/>
        </w:rPr>
        <w:t xml:space="preserve"> Ganglioside complex containing GQ1b as target in Miller–Fisher and</w:t>
      </w:r>
      <w:r>
        <w:rPr>
          <w:color w:val="000000" w:themeColor="text1"/>
          <w:szCs w:val="24"/>
          <w:lang w:val="en-US"/>
        </w:rPr>
        <w:t>Guillain–Barré syndromes //</w:t>
      </w:r>
      <w:r w:rsidRPr="002D140A">
        <w:rPr>
          <w:color w:val="000000" w:themeColor="text1"/>
          <w:szCs w:val="24"/>
          <w:lang w:val="en-US"/>
        </w:rPr>
        <w:t xml:space="preserve"> J. Neurol. Neurosung. Psychiatry</w:t>
      </w:r>
      <w:r w:rsidRPr="002D140A">
        <w:rPr>
          <w:color w:val="000000" w:themeColor="text1"/>
          <w:szCs w:val="24"/>
        </w:rPr>
        <w:t>.2008</w:t>
      </w:r>
      <w:r>
        <w:rPr>
          <w:color w:val="000000" w:themeColor="text1"/>
          <w:szCs w:val="24"/>
        </w:rPr>
        <w:t>. Т</w:t>
      </w:r>
      <w:r w:rsidRPr="002D140A">
        <w:rPr>
          <w:color w:val="000000" w:themeColor="text1"/>
          <w:szCs w:val="24"/>
        </w:rPr>
        <w:t>79</w:t>
      </w:r>
      <w:r>
        <w:rPr>
          <w:color w:val="000000" w:themeColor="text1"/>
          <w:szCs w:val="24"/>
        </w:rPr>
        <w:t xml:space="preserve">, </w:t>
      </w:r>
      <w:r>
        <w:rPr>
          <w:color w:val="000000" w:themeColor="text1"/>
          <w:szCs w:val="24"/>
          <w:lang w:val="en-US"/>
        </w:rPr>
        <w:t>S</w:t>
      </w:r>
      <w:r>
        <w:rPr>
          <w:color w:val="000000" w:themeColor="text1"/>
          <w:szCs w:val="24"/>
        </w:rPr>
        <w:t>.</w:t>
      </w:r>
      <w:r w:rsidRPr="002D140A">
        <w:rPr>
          <w:color w:val="000000" w:themeColor="text1"/>
          <w:szCs w:val="24"/>
        </w:rPr>
        <w:t xml:space="preserve"> 1148–1152.</w:t>
      </w:r>
    </w:p>
    <w:p w:rsidR="002D140A" w:rsidRPr="002D140A" w:rsidRDefault="002D140A" w:rsidP="002D140A">
      <w:pPr>
        <w:numPr>
          <w:ilvl w:val="0"/>
          <w:numId w:val="2"/>
        </w:numPr>
        <w:spacing w:line="360" w:lineRule="auto"/>
        <w:ind w:right="464"/>
        <w:jc w:val="left"/>
        <w:rPr>
          <w:color w:val="000000" w:themeColor="text1"/>
          <w:szCs w:val="24"/>
        </w:rPr>
      </w:pPr>
      <w:r w:rsidRPr="002D140A">
        <w:rPr>
          <w:color w:val="000000" w:themeColor="text1"/>
          <w:szCs w:val="24"/>
        </w:rPr>
        <w:t>Хайбуллин Т.И., Хабиров Ф.А., Аверьянова Л.А.</w:t>
      </w:r>
      <w:r w:rsidR="00C93918">
        <w:rPr>
          <w:color w:val="000000" w:themeColor="text1"/>
          <w:szCs w:val="24"/>
        </w:rPr>
        <w:t xml:space="preserve"> </w:t>
      </w:r>
      <w:r w:rsidRPr="002D140A">
        <w:rPr>
          <w:color w:val="000000" w:themeColor="text1"/>
          <w:szCs w:val="24"/>
        </w:rPr>
        <w:t>Хроническая воспалительная демиелинизирующая полирадикулоневропатия и патогенетическиблизкие синдромы: диагностика и лечение</w:t>
      </w:r>
      <w:r w:rsidR="00C93918">
        <w:rPr>
          <w:color w:val="000000" w:themeColor="text1"/>
          <w:szCs w:val="24"/>
        </w:rPr>
        <w:t>.</w:t>
      </w:r>
    </w:p>
    <w:p w:rsidR="00196A9E" w:rsidRPr="00C93918" w:rsidRDefault="002D140A" w:rsidP="002D140A">
      <w:pPr>
        <w:numPr>
          <w:ilvl w:val="0"/>
          <w:numId w:val="2"/>
        </w:numPr>
        <w:spacing w:line="360" w:lineRule="auto"/>
        <w:ind w:right="464"/>
        <w:jc w:val="left"/>
        <w:rPr>
          <w:color w:val="000000" w:themeColor="text1"/>
          <w:szCs w:val="24"/>
        </w:rPr>
      </w:pPr>
      <w:r w:rsidRPr="002D140A">
        <w:rPr>
          <w:color w:val="000000" w:themeColor="text1"/>
          <w:szCs w:val="24"/>
        </w:rPr>
        <w:t>Супонева Н.А. Клиническая и диагностическаяроль аутоантител к гликозидам периферических нервов:обзор литературы и собств</w:t>
      </w:r>
      <w:r w:rsidR="00C93918">
        <w:rPr>
          <w:color w:val="000000" w:themeColor="text1"/>
          <w:szCs w:val="24"/>
        </w:rPr>
        <w:t xml:space="preserve">енные данные </w:t>
      </w:r>
      <w:r w:rsidR="00C93918" w:rsidRPr="00C93918">
        <w:rPr>
          <w:color w:val="000000" w:themeColor="text1"/>
          <w:szCs w:val="24"/>
        </w:rPr>
        <w:t>//</w:t>
      </w:r>
      <w:r w:rsidR="00C93918">
        <w:rPr>
          <w:color w:val="000000" w:themeColor="text1"/>
          <w:szCs w:val="24"/>
        </w:rPr>
        <w:t xml:space="preserve"> </w:t>
      </w:r>
      <w:r w:rsidRPr="002D140A">
        <w:rPr>
          <w:color w:val="000000" w:themeColor="text1"/>
          <w:szCs w:val="24"/>
        </w:rPr>
        <w:t>Нервно мышечн</w:t>
      </w:r>
      <w:r w:rsidRPr="00C93918">
        <w:rPr>
          <w:color w:val="000000" w:themeColor="text1"/>
          <w:szCs w:val="24"/>
        </w:rPr>
        <w:t xml:space="preserve">. </w:t>
      </w:r>
      <w:r w:rsidRPr="002D140A">
        <w:rPr>
          <w:color w:val="000000" w:themeColor="text1"/>
          <w:szCs w:val="24"/>
        </w:rPr>
        <w:t>болезни</w:t>
      </w:r>
      <w:r w:rsidRPr="00C93918">
        <w:rPr>
          <w:color w:val="000000" w:themeColor="text1"/>
          <w:szCs w:val="24"/>
        </w:rPr>
        <w:t xml:space="preserve">. </w:t>
      </w:r>
      <w:r w:rsidR="00C93918" w:rsidRPr="00C93918">
        <w:rPr>
          <w:color w:val="000000" w:themeColor="text1"/>
          <w:szCs w:val="24"/>
        </w:rPr>
        <w:t xml:space="preserve">2013. </w:t>
      </w:r>
      <w:r w:rsidR="00C93918">
        <w:rPr>
          <w:color w:val="000000" w:themeColor="text1"/>
          <w:szCs w:val="24"/>
        </w:rPr>
        <w:t>Т</w:t>
      </w:r>
      <w:r w:rsidR="00C93918" w:rsidRPr="00C93918">
        <w:rPr>
          <w:color w:val="000000" w:themeColor="text1"/>
          <w:szCs w:val="24"/>
        </w:rPr>
        <w:t>1</w:t>
      </w:r>
      <w:r w:rsidR="00C93918">
        <w:rPr>
          <w:color w:val="000000" w:themeColor="text1"/>
          <w:szCs w:val="24"/>
        </w:rPr>
        <w:t xml:space="preserve">, С. </w:t>
      </w:r>
      <w:r w:rsidRPr="00C93918">
        <w:rPr>
          <w:color w:val="000000" w:themeColor="text1"/>
          <w:szCs w:val="24"/>
        </w:rPr>
        <w:t>26–35</w:t>
      </w:r>
    </w:p>
    <w:p w:rsidR="002D140A" w:rsidRPr="002D140A" w:rsidRDefault="002D140A" w:rsidP="002D140A">
      <w:pPr>
        <w:numPr>
          <w:ilvl w:val="0"/>
          <w:numId w:val="2"/>
        </w:numPr>
        <w:spacing w:line="360" w:lineRule="auto"/>
        <w:ind w:right="464"/>
        <w:jc w:val="left"/>
        <w:rPr>
          <w:color w:val="000000" w:themeColor="text1"/>
          <w:szCs w:val="24"/>
        </w:rPr>
      </w:pPr>
      <w:r w:rsidRPr="002D140A">
        <w:rPr>
          <w:color w:val="000000" w:themeColor="text1"/>
          <w:szCs w:val="24"/>
        </w:rPr>
        <w:t>Никитин С.С., Супонева Н.А., Пирадов М.А. Синдром Гийена–Барре и хроническая воспалительная  демиелинизирующая полиневропатия с острым началом: проблем</w:t>
      </w:r>
      <w:r w:rsidR="00C93918">
        <w:rPr>
          <w:color w:val="000000" w:themeColor="text1"/>
          <w:szCs w:val="24"/>
        </w:rPr>
        <w:t>ы дифференциальной диагностики</w:t>
      </w:r>
      <w:r w:rsidR="00C93918" w:rsidRPr="00C93918">
        <w:rPr>
          <w:color w:val="000000" w:themeColor="text1"/>
          <w:szCs w:val="24"/>
        </w:rPr>
        <w:t xml:space="preserve"> //</w:t>
      </w:r>
      <w:r w:rsidR="00C93918">
        <w:rPr>
          <w:color w:val="000000" w:themeColor="text1"/>
          <w:szCs w:val="24"/>
        </w:rPr>
        <w:t xml:space="preserve"> </w:t>
      </w:r>
      <w:r w:rsidRPr="002D140A">
        <w:rPr>
          <w:color w:val="000000" w:themeColor="text1"/>
          <w:szCs w:val="24"/>
        </w:rPr>
        <w:t>Клин.</w:t>
      </w:r>
      <w:r w:rsidR="00C93918">
        <w:rPr>
          <w:color w:val="000000" w:themeColor="text1"/>
          <w:szCs w:val="24"/>
        </w:rPr>
        <w:t xml:space="preserve">неврол. 2009. Т2, С. </w:t>
      </w:r>
      <w:r w:rsidRPr="00C93918">
        <w:rPr>
          <w:color w:val="000000" w:themeColor="text1"/>
          <w:szCs w:val="24"/>
        </w:rPr>
        <w:t xml:space="preserve">30–35. </w:t>
      </w:r>
    </w:p>
    <w:p w:rsidR="00D82D60" w:rsidRPr="00C93918" w:rsidRDefault="00D82D60" w:rsidP="008C4E40">
      <w:pPr>
        <w:ind w:left="0" w:right="464" w:firstLine="0"/>
        <w:jc w:val="left"/>
        <w:rPr>
          <w:color w:val="000000" w:themeColor="text1"/>
          <w:szCs w:val="24"/>
        </w:rPr>
      </w:pPr>
    </w:p>
    <w:p w:rsidR="00A647A1" w:rsidRPr="00C93918" w:rsidRDefault="00A647A1" w:rsidP="008C4E40">
      <w:pPr>
        <w:spacing w:line="259" w:lineRule="auto"/>
        <w:ind w:left="-15" w:right="464" w:firstLine="0"/>
        <w:jc w:val="left"/>
        <w:rPr>
          <w:color w:val="000000" w:themeColor="text1"/>
          <w:szCs w:val="24"/>
        </w:rPr>
      </w:pPr>
    </w:p>
    <w:sectPr w:rsidR="00A647A1" w:rsidRPr="00C93918">
      <w:pgSz w:w="11904" w:h="16838"/>
      <w:pgMar w:top="1183" w:right="374" w:bottom="1254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36" w:rsidRDefault="00947136" w:rsidP="002A6622">
      <w:pPr>
        <w:spacing w:after="0" w:line="240" w:lineRule="auto"/>
      </w:pPr>
      <w:r>
        <w:separator/>
      </w:r>
    </w:p>
  </w:endnote>
  <w:endnote w:type="continuationSeparator" w:id="0">
    <w:p w:rsidR="00947136" w:rsidRDefault="00947136" w:rsidP="002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36" w:rsidRDefault="00947136" w:rsidP="002A6622">
      <w:pPr>
        <w:spacing w:after="0" w:line="240" w:lineRule="auto"/>
      </w:pPr>
      <w:r>
        <w:separator/>
      </w:r>
    </w:p>
  </w:footnote>
  <w:footnote w:type="continuationSeparator" w:id="0">
    <w:p w:rsidR="00947136" w:rsidRDefault="00947136" w:rsidP="002A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2E1"/>
    <w:multiLevelType w:val="multilevel"/>
    <w:tmpl w:val="2188A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62848"/>
    <w:multiLevelType w:val="multilevel"/>
    <w:tmpl w:val="0602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44BB8"/>
    <w:multiLevelType w:val="multilevel"/>
    <w:tmpl w:val="3F04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A0543"/>
    <w:multiLevelType w:val="hybridMultilevel"/>
    <w:tmpl w:val="0902FF3E"/>
    <w:lvl w:ilvl="0" w:tplc="9932B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0A5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866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7E2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029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A0C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306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08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C89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977D5D"/>
    <w:multiLevelType w:val="hybridMultilevel"/>
    <w:tmpl w:val="3A30A22C"/>
    <w:lvl w:ilvl="0" w:tplc="06F2D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49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A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725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41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ECB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63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CA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68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AD128BD"/>
    <w:multiLevelType w:val="multilevel"/>
    <w:tmpl w:val="1F36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627D86"/>
    <w:multiLevelType w:val="hybridMultilevel"/>
    <w:tmpl w:val="8E0E29FA"/>
    <w:lvl w:ilvl="0" w:tplc="BD969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547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06E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7E9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2C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A9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69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B67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0C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1E47CE8"/>
    <w:multiLevelType w:val="hybridMultilevel"/>
    <w:tmpl w:val="389623B2"/>
    <w:lvl w:ilvl="0" w:tplc="AD2A8FF4">
      <w:start w:val="1"/>
      <w:numFmt w:val="decimal"/>
      <w:lvlText w:val="%1."/>
      <w:lvlJc w:val="left"/>
      <w:pPr>
        <w:ind w:left="2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E948A">
      <w:start w:val="1"/>
      <w:numFmt w:val="lowerLetter"/>
      <w:lvlText w:val="%2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DE1EEC">
      <w:start w:val="1"/>
      <w:numFmt w:val="lowerRoman"/>
      <w:lvlText w:val="%3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C4658">
      <w:start w:val="1"/>
      <w:numFmt w:val="decimal"/>
      <w:lvlText w:val="%4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C7C6C">
      <w:start w:val="1"/>
      <w:numFmt w:val="lowerLetter"/>
      <w:lvlText w:val="%5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0AA18">
      <w:start w:val="1"/>
      <w:numFmt w:val="lowerRoman"/>
      <w:lvlText w:val="%6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03932">
      <w:start w:val="1"/>
      <w:numFmt w:val="decimal"/>
      <w:lvlText w:val="%7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2D42A">
      <w:start w:val="1"/>
      <w:numFmt w:val="lowerLetter"/>
      <w:lvlText w:val="%8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2C180">
      <w:start w:val="1"/>
      <w:numFmt w:val="lowerRoman"/>
      <w:lvlText w:val="%9"/>
      <w:lvlJc w:val="left"/>
      <w:pPr>
        <w:ind w:left="7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1A5B91"/>
    <w:multiLevelType w:val="multilevel"/>
    <w:tmpl w:val="2C6A2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D45E0B"/>
    <w:multiLevelType w:val="hybridMultilevel"/>
    <w:tmpl w:val="17126CC0"/>
    <w:lvl w:ilvl="0" w:tplc="6AEC81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86748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F042E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74862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864DD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6637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AB68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50923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8EC2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7605B9"/>
    <w:multiLevelType w:val="hybridMultilevel"/>
    <w:tmpl w:val="988234B8"/>
    <w:lvl w:ilvl="0" w:tplc="EABE2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507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04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941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E1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EE3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045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983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D25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A1"/>
    <w:rsid w:val="0005130E"/>
    <w:rsid w:val="00073C6D"/>
    <w:rsid w:val="000C0E9E"/>
    <w:rsid w:val="00196A9E"/>
    <w:rsid w:val="001C65E8"/>
    <w:rsid w:val="00200695"/>
    <w:rsid w:val="002612E9"/>
    <w:rsid w:val="002A0272"/>
    <w:rsid w:val="002A6622"/>
    <w:rsid w:val="002D140A"/>
    <w:rsid w:val="00572624"/>
    <w:rsid w:val="005A4B46"/>
    <w:rsid w:val="006511F8"/>
    <w:rsid w:val="0072509A"/>
    <w:rsid w:val="0081069D"/>
    <w:rsid w:val="008C4E40"/>
    <w:rsid w:val="00907543"/>
    <w:rsid w:val="0091745E"/>
    <w:rsid w:val="00947136"/>
    <w:rsid w:val="009C19D8"/>
    <w:rsid w:val="00A647A1"/>
    <w:rsid w:val="00AB17B7"/>
    <w:rsid w:val="00C604C0"/>
    <w:rsid w:val="00C93918"/>
    <w:rsid w:val="00CD58E0"/>
    <w:rsid w:val="00D82D60"/>
    <w:rsid w:val="00E03D6D"/>
    <w:rsid w:val="00E1373A"/>
    <w:rsid w:val="00E14D6A"/>
    <w:rsid w:val="00E4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7D8EB-DB4E-466E-9711-903DDA25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" w:line="367" w:lineRule="auto"/>
      <w:ind w:left="519" w:firstLine="70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6"/>
      <w:ind w:left="10" w:right="47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5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pPr>
      <w:spacing w:after="105"/>
      <w:ind w:left="25" w:right="479" w:hanging="10"/>
    </w:pPr>
    <w:rPr>
      <w:rFonts w:ascii="Calibri" w:eastAsia="Calibri" w:hAnsi="Calibri" w:cs="Calibri"/>
      <w:color w:val="000000"/>
      <w:sz w:val="24"/>
    </w:rPr>
  </w:style>
  <w:style w:type="character" w:styleId="a3">
    <w:name w:val="Hyperlink"/>
    <w:basedOn w:val="a0"/>
    <w:uiPriority w:val="99"/>
    <w:unhideWhenUsed/>
    <w:rsid w:val="0072509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A6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622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2A6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62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075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List Paragraph"/>
    <w:basedOn w:val="a"/>
    <w:uiPriority w:val="34"/>
    <w:qFormat/>
    <w:rsid w:val="00196A9E"/>
    <w:pPr>
      <w:ind w:left="720"/>
      <w:contextualSpacing/>
    </w:pPr>
  </w:style>
  <w:style w:type="character" w:styleId="a9">
    <w:name w:val="Strong"/>
    <w:basedOn w:val="a0"/>
    <w:uiPriority w:val="22"/>
    <w:qFormat/>
    <w:rsid w:val="0005130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391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3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3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7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5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1A49-A1E7-46E8-A555-F6DB1F01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5060</Words>
  <Characters>28844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User</cp:lastModifiedBy>
  <cp:revision>2</cp:revision>
  <cp:lastPrinted>2024-01-07T06:04:00Z</cp:lastPrinted>
  <dcterms:created xsi:type="dcterms:W3CDTF">2024-01-15T11:18:00Z</dcterms:created>
  <dcterms:modified xsi:type="dcterms:W3CDTF">2024-01-15T11:18:00Z</dcterms:modified>
</cp:coreProperties>
</file>