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58341" w14:textId="066830EC" w:rsidR="00335D82" w:rsidRPr="002F5BD6" w:rsidRDefault="00335D8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F5BD6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 № 3. Гомеопатические лекарственные препараты. Анализ ассортимента. Хранение. Реализация.</w:t>
      </w:r>
    </w:p>
    <w:p w14:paraId="0CE94D18" w14:textId="77777777" w:rsidR="007128E3" w:rsidRDefault="007128E3">
      <w:r w:rsidRPr="00F15D1E">
        <w:rPr>
          <w:b/>
          <w:bCs/>
        </w:rPr>
        <w:t>1.</w:t>
      </w:r>
      <w:r>
        <w:t xml:space="preserve">Гомеопатические лекарственные препараты – это вещества растительного, животного, минерального происхождения ( их комбинации), содержащие чрезвычайно малые дозы активных соединений , которые производятся по специальной технологии и разрешаются для широкого клинического применения после их регистрации по правилам, установленным МР РФ. </w:t>
      </w:r>
    </w:p>
    <w:p w14:paraId="6D3F4BA3" w14:textId="77777777" w:rsidR="007128E3" w:rsidRPr="00C20BFA" w:rsidRDefault="007128E3">
      <w:pPr>
        <w:rPr>
          <w:b/>
          <w:bCs/>
        </w:rPr>
      </w:pPr>
      <w:r w:rsidRPr="00C20BFA">
        <w:rPr>
          <w:b/>
          <w:bCs/>
        </w:rPr>
        <w:t xml:space="preserve">2.Анализ ассортимента. </w:t>
      </w:r>
    </w:p>
    <w:p w14:paraId="304595B7" w14:textId="77777777" w:rsidR="007128E3" w:rsidRDefault="007128E3">
      <w:r>
        <w:t xml:space="preserve">Согласно ФЗ №61-ФЗ « Об обращении ЛС», особенности маркировки гомеопатических ЛС осуществляется: </w:t>
      </w:r>
    </w:p>
    <w:p w14:paraId="788D5DBA" w14:textId="77777777" w:rsidR="007128E3" w:rsidRDefault="007128E3">
      <w:r>
        <w:t xml:space="preserve">1. На вторичную(потребительскую) упаковку гомеопатических лекарственных препаратов должна наносится надпись «Гомеопатический». </w:t>
      </w:r>
    </w:p>
    <w:p w14:paraId="62519703" w14:textId="77777777" w:rsidR="007128E3" w:rsidRDefault="007128E3">
      <w:r>
        <w:t xml:space="preserve">2. Указания степени разведения и название лекарственного сырья. </w:t>
      </w:r>
    </w:p>
    <w:p w14:paraId="6F1B4466" w14:textId="77777777" w:rsidR="007128E3" w:rsidRDefault="007128E3">
      <w:r>
        <w:t xml:space="preserve">3. Лекарственная форма. </w:t>
      </w:r>
    </w:p>
    <w:p w14:paraId="041BF5FE" w14:textId="77777777" w:rsidR="007128E3" w:rsidRDefault="007128E3">
      <w:r>
        <w:t xml:space="preserve">4. Способ применения. </w:t>
      </w:r>
    </w:p>
    <w:p w14:paraId="3FB8CB58" w14:textId="77777777" w:rsidR="007128E3" w:rsidRDefault="007128E3">
      <w:r>
        <w:t xml:space="preserve">5. Условия хранения. </w:t>
      </w:r>
    </w:p>
    <w:p w14:paraId="2F5DC00B" w14:textId="77777777" w:rsidR="007128E3" w:rsidRDefault="007128E3">
      <w:r>
        <w:t xml:space="preserve">6. Название и адрес производителя. </w:t>
      </w:r>
    </w:p>
    <w:p w14:paraId="3A9D2E01" w14:textId="77777777" w:rsidR="007128E3" w:rsidRDefault="007128E3">
      <w:r>
        <w:t xml:space="preserve">7. Регистрационный номер. </w:t>
      </w:r>
    </w:p>
    <w:p w14:paraId="3AFAA532" w14:textId="77777777" w:rsidR="007128E3" w:rsidRDefault="007128E3">
      <w:r>
        <w:t xml:space="preserve">8. Номер серии. </w:t>
      </w:r>
    </w:p>
    <w:p w14:paraId="3CA037EC" w14:textId="77777777" w:rsidR="007128E3" w:rsidRPr="00C20BFA" w:rsidRDefault="007128E3">
      <w:pPr>
        <w:rPr>
          <w:b/>
          <w:bCs/>
        </w:rPr>
      </w:pPr>
      <w:r w:rsidRPr="00C20BFA">
        <w:rPr>
          <w:b/>
          <w:bCs/>
        </w:rPr>
        <w:t xml:space="preserve">3.Хранение. </w:t>
      </w:r>
    </w:p>
    <w:p w14:paraId="698E1A85" w14:textId="77777777" w:rsidR="007128E3" w:rsidRDefault="007128E3">
      <w:r>
        <w:t xml:space="preserve">Гомеопатические ЛС не требуют отдельных мест хранения, поэтому их хранят в соответствии с общими требованиями, при этом учитывают необходимые свойства ( физические, химические и физико-химические) и воздействия различных факторов внешней среды. </w:t>
      </w:r>
    </w:p>
    <w:p w14:paraId="0B9C4C97" w14:textId="77777777" w:rsidR="007128E3" w:rsidRPr="00C20BFA" w:rsidRDefault="007128E3">
      <w:pPr>
        <w:rPr>
          <w:b/>
          <w:bCs/>
        </w:rPr>
      </w:pPr>
      <w:r w:rsidRPr="00C20BFA">
        <w:rPr>
          <w:b/>
          <w:bCs/>
        </w:rPr>
        <w:t xml:space="preserve">4.Реализация. </w:t>
      </w:r>
    </w:p>
    <w:p w14:paraId="06330265" w14:textId="77777777" w:rsidR="007128E3" w:rsidRDefault="007128E3">
      <w:r>
        <w:t xml:space="preserve">Отпуск из аптек осуществляется без рецепта, кроме парентеральных гомеопатических средств. </w:t>
      </w:r>
    </w:p>
    <w:p w14:paraId="6DEF7F61" w14:textId="77777777" w:rsidR="007128E3" w:rsidRDefault="007128E3">
      <w:r>
        <w:t xml:space="preserve">Анализ аптечсного ассортимента: </w:t>
      </w:r>
    </w:p>
    <w:p w14:paraId="17F6B044" w14:textId="77777777" w:rsidR="007128E3" w:rsidRPr="00C20BFA" w:rsidRDefault="007128E3">
      <w:pPr>
        <w:rPr>
          <w:b/>
          <w:bCs/>
        </w:rPr>
      </w:pPr>
      <w:r w:rsidRPr="00C20BFA">
        <w:rPr>
          <w:b/>
          <w:bCs/>
        </w:rPr>
        <w:t xml:space="preserve">Стодаль. </w:t>
      </w:r>
    </w:p>
    <w:p w14:paraId="6DD4D646" w14:textId="77777777" w:rsidR="007128E3" w:rsidRDefault="007128E3">
      <w:r>
        <w:t xml:space="preserve">1.На вторичной(потребительской) упаковке наносится надпись «Гомеопатический» </w:t>
      </w:r>
    </w:p>
    <w:p w14:paraId="192D36C4" w14:textId="77777777" w:rsidR="007128E3" w:rsidRDefault="007128E3">
      <w:r>
        <w:t xml:space="preserve">2.Сироп гомеопатический: флакон 200 мл с мерным колпачком </w:t>
      </w:r>
    </w:p>
    <w:p w14:paraId="769AB014" w14:textId="77777777" w:rsidR="007128E3" w:rsidRDefault="007128E3">
      <w:r>
        <w:t xml:space="preserve">3.Сироп гомеопатический светло-желтого c коричневатым оттенком цвета, прозрачный, с ароматным запахом. </w:t>
      </w:r>
    </w:p>
    <w:p w14:paraId="2761D5EB" w14:textId="77777777" w:rsidR="007128E3" w:rsidRDefault="007128E3">
      <w:r>
        <w:t xml:space="preserve">4.Симптоматическое лечение кашля различной этиологии. </w:t>
      </w:r>
    </w:p>
    <w:p w14:paraId="6F586C83" w14:textId="2B39D900" w:rsidR="007128E3" w:rsidRDefault="007128E3">
      <w:r>
        <w:t xml:space="preserve">5.Препарат следует хранить в недоступном для детей месте при температуре не выше 25°С. Срок годности – 5 лет. Не применять по истечении срока годности, указанного на упаковке. </w:t>
      </w:r>
    </w:p>
    <w:p w14:paraId="2E47DD1F" w14:textId="77777777" w:rsidR="007128E3" w:rsidRDefault="007128E3">
      <w:r>
        <w:t xml:space="preserve">6.BOIRON (Франция) </w:t>
      </w:r>
    </w:p>
    <w:p w14:paraId="15FAA7BC" w14:textId="77777777" w:rsidR="007128E3" w:rsidRDefault="007128E3">
      <w:r>
        <w:t xml:space="preserve">7.П N015706/01 </w:t>
      </w:r>
    </w:p>
    <w:p w14:paraId="4C0196FC" w14:textId="77777777" w:rsidR="007128E3" w:rsidRPr="00C20BFA" w:rsidRDefault="007128E3">
      <w:pPr>
        <w:rPr>
          <w:b/>
          <w:bCs/>
        </w:rPr>
      </w:pPr>
      <w:r w:rsidRPr="00C20BFA">
        <w:rPr>
          <w:b/>
          <w:bCs/>
        </w:rPr>
        <w:t xml:space="preserve">Оциллококцинум. </w:t>
      </w:r>
    </w:p>
    <w:p w14:paraId="740A2A85" w14:textId="77777777" w:rsidR="007128E3" w:rsidRDefault="007128E3">
      <w:r>
        <w:lastRenderedPageBreak/>
        <w:t xml:space="preserve">1.На вторичной(потребительской) упаковке наносится надпись «Гомеопатический» </w:t>
      </w:r>
    </w:p>
    <w:p w14:paraId="450E1C83" w14:textId="77777777" w:rsidR="007128E3" w:rsidRDefault="007128E3">
      <w:r>
        <w:t xml:space="preserve">2.Гранулы гомеопатические: тубы 1 г 6, 12 или 30 шт </w:t>
      </w:r>
    </w:p>
    <w:p w14:paraId="4968B285" w14:textId="77777777" w:rsidR="007128E3" w:rsidRDefault="007128E3">
      <w:r>
        <w:t xml:space="preserve">3.Гранулы гомеопатические белого цвета, почти сферической формы, без запаха, легко растворимые в воде. </w:t>
      </w:r>
    </w:p>
    <w:p w14:paraId="5095657E" w14:textId="77777777" w:rsidR="007128E3" w:rsidRDefault="007128E3">
      <w:r>
        <w:t xml:space="preserve">4.Грипп легкой и средней степени тяжести;острая респираторная вирусная инфекция (ОРВИ) </w:t>
      </w:r>
    </w:p>
    <w:p w14:paraId="0E637010" w14:textId="5FA08E76" w:rsidR="007128E3" w:rsidRDefault="007128E3">
      <w:r>
        <w:t xml:space="preserve">5.Препарат следует хранить в недоступном для детей месте при температуре не выше 25°С. Срок годности – 5 лет. Не применять по истечении срока годности, указанного на упаковке </w:t>
      </w:r>
    </w:p>
    <w:p w14:paraId="17CECEC3" w14:textId="77777777" w:rsidR="007128E3" w:rsidRDefault="007128E3">
      <w:r>
        <w:t xml:space="preserve">6.BOIRON (Франция) </w:t>
      </w:r>
    </w:p>
    <w:p w14:paraId="73DEC41C" w14:textId="0A89077B" w:rsidR="007128E3" w:rsidRDefault="007128E3">
      <w:r>
        <w:t>7.П N014236/01</w:t>
      </w:r>
    </w:p>
    <w:p w14:paraId="45F0B028" w14:textId="7284B6A5" w:rsidR="00CC51E8" w:rsidRPr="00CC51E8" w:rsidRDefault="00CC51E8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Оценка </w:t>
      </w:r>
      <w:r w:rsidR="007D0DE6">
        <w:rPr>
          <w:b/>
          <w:bCs/>
          <w:color w:val="FF0000"/>
          <w:sz w:val="28"/>
          <w:szCs w:val="28"/>
        </w:rPr>
        <w:t>5</w:t>
      </w:r>
    </w:p>
    <w:p w14:paraId="66298674" w14:textId="1BAB1249" w:rsidR="00335D82" w:rsidRPr="007128E3" w:rsidRDefault="00335D82"/>
    <w:sectPr w:rsidR="00335D82" w:rsidRPr="00712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B97"/>
    <w:rsid w:val="0009419F"/>
    <w:rsid w:val="000952C7"/>
    <w:rsid w:val="001C51BF"/>
    <w:rsid w:val="002F5BD6"/>
    <w:rsid w:val="00335D82"/>
    <w:rsid w:val="004923B9"/>
    <w:rsid w:val="005C3805"/>
    <w:rsid w:val="0060104A"/>
    <w:rsid w:val="007128E3"/>
    <w:rsid w:val="007D0DE6"/>
    <w:rsid w:val="00904BEE"/>
    <w:rsid w:val="00AF3B78"/>
    <w:rsid w:val="00C20BFA"/>
    <w:rsid w:val="00CC51E8"/>
    <w:rsid w:val="00D1704A"/>
    <w:rsid w:val="00D90475"/>
    <w:rsid w:val="00EE7B97"/>
    <w:rsid w:val="00F1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9BEFC8"/>
  <w15:chartTrackingRefBased/>
  <w15:docId w15:val="{F777F32A-3CE6-424B-B399-AE0E73666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Мещерякова</dc:creator>
  <cp:keywords/>
  <dc:description/>
  <cp:lastModifiedBy>Дарья Мещерякова</cp:lastModifiedBy>
  <cp:revision>2</cp:revision>
  <dcterms:created xsi:type="dcterms:W3CDTF">2020-06-12T08:30:00Z</dcterms:created>
  <dcterms:modified xsi:type="dcterms:W3CDTF">2020-06-12T08:30:00Z</dcterms:modified>
</cp:coreProperties>
</file>