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4F" w:rsidRPr="00091B4F" w:rsidRDefault="00091B4F" w:rsidP="00091B4F">
      <w:pPr>
        <w:spacing w:after="64" w:line="288" w:lineRule="atLeast"/>
        <w:ind w:left="-709" w:right="-1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91B4F">
        <w:rPr>
          <w:rFonts w:ascii="Arial" w:hAnsi="Arial" w:cs="Arial"/>
          <w:color w:val="000000"/>
          <w:sz w:val="40"/>
          <w:szCs w:val="40"/>
          <w:shd w:val="clear" w:color="auto" w:fill="FFFFFF"/>
        </w:rPr>
        <w:t>Патологии, связанные с нарушением фракций остаточного азота.</w:t>
      </w:r>
    </w:p>
    <w:p w:rsidR="001B4D5B" w:rsidRDefault="00091B4F" w:rsidP="00CC59ED">
      <w:pPr>
        <w:tabs>
          <w:tab w:val="left" w:pos="9355"/>
        </w:tabs>
        <w:spacing w:after="64" w:line="288" w:lineRule="atLeast"/>
        <w:ind w:left="-1134" w:right="84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елки занимают ведущее положение в организме, так как они составляют основу структурных, транспортных и функциональных единиц клеток и межклеточного вещества.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отличие от липидов и углеводов,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белки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депонируются в организме. В этой </w:t>
      </w:r>
      <w:proofErr w:type="gramStart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proofErr w:type="gramEnd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используемые для обеспечения жизнедеятельности организма белки в результате их распада должны постоянно пополняться из внешне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среды за счет соответствующих 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субстратов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связи с тем, что все белки содержат атомы азота, о состоянии белкового обмена обычно судят по такому результирующему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показателю как азотистый баланс.</w:t>
      </w:r>
      <w:r w:rsidR="00AA01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здорового человека имеется </w:t>
      </w:r>
      <w:r w:rsidRPr="00091B4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азотистое равновесие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количество азотистых веществ, выводимых из организма, равняется количеству азотистых </w:t>
      </w:r>
      <w:r w:rsidR="006234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веществ, потребляемых с пищей.</w:t>
      </w:r>
      <w:r w:rsidR="006234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активации анаболических процессов (или пре</w:t>
      </w:r>
      <w:r w:rsidR="00AC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обладании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над </w:t>
      </w:r>
      <w:proofErr w:type="spellStart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катаболическими</w:t>
      </w:r>
      <w:proofErr w:type="spellEnd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происходит накопление азота в организме, т.е. развивается </w:t>
      </w:r>
      <w:r w:rsidRPr="00091B4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положительный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91B4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азотистый баланс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1B4D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активизации </w:t>
      </w:r>
      <w:proofErr w:type="spellStart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катаболических</w:t>
      </w:r>
      <w:proofErr w:type="spellEnd"/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процессов (или пре</w:t>
      </w:r>
      <w:r w:rsidR="00AC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обладании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над анаболическими процессами) отмечается снижение количества азота в организме, т.е. развивается </w:t>
      </w:r>
      <w:r w:rsidRPr="00091B4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отрицательный азотистый баланс</w:t>
      </w:r>
      <w:r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AC5686" w:rsidRDefault="001B4D5B" w:rsidP="00091B4F">
      <w:pPr>
        <w:spacing w:after="64" w:line="288" w:lineRule="atLeast"/>
        <w:ind w:right="848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8.6pt;margin-top:25.3pt;width:.05pt;height:14.4pt;z-index:251658240" o:connectortype="straight">
            <v:stroke endarrow="block"/>
          </v:shape>
        </w:pict>
      </w:r>
      <w:r w:rsidR="00091B4F" w:rsidRPr="00091B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C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</w:t>
      </w:r>
      <w:r w:rsidR="0033018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АЗОТИСТОЕ РАВНОВЕСИЕ</w:t>
      </w:r>
    </w:p>
    <w:p w:rsidR="00AC5686" w:rsidRDefault="00AC5686" w:rsidP="00091B4F">
      <w:pPr>
        <w:spacing w:after="64" w:line="288" w:lineRule="atLeast"/>
        <w:ind w:right="848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w:pict>
          <v:shape id="_x0000_s1028" type="#_x0000_t32" style="position:absolute;margin-left:257.35pt;margin-top:11.7pt;width:21.6pt;height:40pt;z-index:251660288" o:connectortype="straight">
            <v:stroke endarrow="block"/>
          </v:shape>
        </w:pict>
      </w:r>
      <w:r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w:pict>
          <v:shape id="_x0000_s1027" type="#_x0000_t32" style="position:absolute;margin-left:106.95pt;margin-top:11.7pt;width:35.2pt;height:40pt;flip:x;z-index:251659264" o:connectortype="straight">
            <v:stroke endarrow="block"/>
          </v:shape>
        </w:pic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ab/>
      </w:r>
      <w:r w:rsidR="0033018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Активация </w:t>
      </w:r>
      <w:proofErr w:type="spellStart"/>
      <w:r w:rsidRPr="00AC5686"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>катаболических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или </w:t>
      </w:r>
      <w:r w:rsidRPr="00AC5686">
        <w:rPr>
          <w:rFonts w:ascii="Arial" w:eastAsia="Times New Roman" w:hAnsi="Arial" w:cs="Arial"/>
          <w:b/>
          <w:color w:val="943634" w:themeColor="accent2" w:themeShade="BF"/>
          <w:sz w:val="21"/>
          <w:szCs w:val="21"/>
          <w:lang w:eastAsia="ru-RU"/>
        </w:rPr>
        <w:t>анаболических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процессов</w:t>
      </w:r>
    </w:p>
    <w:p w:rsidR="00AC5686" w:rsidRDefault="00AC5686" w:rsidP="00091B4F">
      <w:pPr>
        <w:spacing w:after="64" w:line="288" w:lineRule="atLeast"/>
        <w:ind w:right="848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C5686" w:rsidRDefault="00AC5686" w:rsidP="00091B4F">
      <w:pPr>
        <w:spacing w:after="64" w:line="288" w:lineRule="atLeast"/>
        <w:ind w:right="848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C5686" w:rsidRPr="00AC5686" w:rsidRDefault="00AC5686" w:rsidP="00330184">
      <w:pPr>
        <w:spacing w:after="64" w:line="288" w:lineRule="atLeast"/>
        <w:ind w:left="-709" w:right="-1"/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</w:pPr>
      <w:r w:rsidRPr="00091B4F"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>отрицательный азотистый баланс</w:t>
      </w:r>
      <w:r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ab/>
      </w:r>
      <w:r w:rsidR="00330184"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 xml:space="preserve">                  </w:t>
      </w:r>
      <w:r w:rsidRPr="00091B4F">
        <w:rPr>
          <w:rFonts w:ascii="Arial" w:eastAsia="Times New Roman" w:hAnsi="Arial" w:cs="Arial"/>
          <w:b/>
          <w:color w:val="943634" w:themeColor="accent2" w:themeShade="BF"/>
          <w:sz w:val="21"/>
          <w:szCs w:val="21"/>
          <w:lang w:eastAsia="ru-RU"/>
        </w:rPr>
        <w:t>положительный</w:t>
      </w:r>
      <w:r w:rsidRPr="00091B4F">
        <w:rPr>
          <w:rFonts w:ascii="Arial" w:eastAsia="Times New Roman" w:hAnsi="Arial" w:cs="Arial"/>
          <w:color w:val="943634" w:themeColor="accent2" w:themeShade="BF"/>
          <w:sz w:val="21"/>
          <w:szCs w:val="21"/>
          <w:lang w:eastAsia="ru-RU"/>
        </w:rPr>
        <w:t xml:space="preserve"> </w:t>
      </w:r>
      <w:r w:rsidRPr="00091B4F">
        <w:rPr>
          <w:rFonts w:ascii="Arial" w:eastAsia="Times New Roman" w:hAnsi="Arial" w:cs="Arial"/>
          <w:b/>
          <w:color w:val="943634" w:themeColor="accent2" w:themeShade="BF"/>
          <w:sz w:val="21"/>
          <w:szCs w:val="21"/>
          <w:lang w:eastAsia="ru-RU"/>
        </w:rPr>
        <w:t>азотистый баланс</w:t>
      </w:r>
    </w:p>
    <w:tbl>
      <w:tblPr>
        <w:tblStyle w:val="a4"/>
        <w:tblpPr w:leftFromText="180" w:rightFromText="180" w:vertAnchor="text" w:horzAnchor="page" w:tblpX="613" w:tblpY="204"/>
        <w:tblW w:w="10173" w:type="dxa"/>
        <w:tblLook w:val="04A0"/>
      </w:tblPr>
      <w:tblGrid>
        <w:gridCol w:w="5070"/>
        <w:gridCol w:w="5103"/>
      </w:tblGrid>
      <w:tr w:rsidR="001B4D5B" w:rsidTr="001B4D5B">
        <w:tc>
          <w:tcPr>
            <w:tcW w:w="5070" w:type="dxa"/>
          </w:tcPr>
          <w:p w:rsidR="001B4D5B" w:rsidRPr="00D165F1" w:rsidRDefault="001B4D5B" w:rsidP="001B4D5B">
            <w:pPr>
              <w:spacing w:after="64" w:line="288" w:lineRule="atLeast"/>
              <w:ind w:right="848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lang w:eastAsia="ru-RU"/>
              </w:rPr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Интоксикации</w:t>
            </w:r>
            <w:r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lang w:eastAsia="ru-RU"/>
              </w:rPr>
              <w:t xml:space="preserve">, </w:t>
            </w:r>
            <w:r w:rsidRPr="00D165F1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инфекции, травмы</w:t>
            </w:r>
          </w:p>
        </w:tc>
        <w:tc>
          <w:tcPr>
            <w:tcW w:w="5103" w:type="dxa"/>
          </w:tcPr>
          <w:p w:rsidR="001B4D5B" w:rsidRPr="001B4D5B" w:rsidRDefault="001B4D5B" w:rsidP="001B4D5B">
            <w:pPr>
              <w:jc w:val="both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П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ри физиологических состояниях (при </w:t>
            </w:r>
            <w:proofErr w:type="spellStart"/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беременности</w:t>
            </w:r>
            <w:proofErr w:type="gramStart"/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,</w:t>
            </w: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растущем организме</w:t>
            </w: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детей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)</w:t>
            </w:r>
          </w:p>
        </w:tc>
      </w:tr>
      <w:tr w:rsidR="001B4D5B" w:rsidTr="001B4D5B">
        <w:tc>
          <w:tcPr>
            <w:tcW w:w="5070" w:type="dxa"/>
          </w:tcPr>
          <w:p w:rsidR="001B4D5B" w:rsidRDefault="001B4D5B" w:rsidP="001B4D5B">
            <w:pPr>
              <w:jc w:val="both"/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Интенсивный стресс                          </w:t>
            </w:r>
          </w:p>
        </w:tc>
        <w:tc>
          <w:tcPr>
            <w:tcW w:w="5103" w:type="dxa"/>
          </w:tcPr>
          <w:p w:rsidR="001B4D5B" w:rsidRPr="001B4D5B" w:rsidRDefault="001B4D5B" w:rsidP="001B4D5B">
            <w:pPr>
              <w:jc w:val="both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1B4D5B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При </w:t>
            </w: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или введении анаболических препаратов</w:t>
            </w:r>
          </w:p>
        </w:tc>
      </w:tr>
      <w:tr w:rsidR="001B4D5B" w:rsidTr="001B4D5B">
        <w:tc>
          <w:tcPr>
            <w:tcW w:w="5070" w:type="dxa"/>
          </w:tcPr>
          <w:p w:rsidR="001B4D5B" w:rsidRPr="00D165F1" w:rsidRDefault="001B4D5B" w:rsidP="001B4D5B">
            <w:pPr>
              <w:spacing w:after="64" w:line="288" w:lineRule="atLeast"/>
              <w:ind w:right="848"/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При полном или частичном голодании</w:t>
            </w:r>
          </w:p>
        </w:tc>
        <w:tc>
          <w:tcPr>
            <w:tcW w:w="5103" w:type="dxa"/>
          </w:tcPr>
          <w:p w:rsidR="001B4D5B" w:rsidRPr="001B4D5B" w:rsidRDefault="001B4D5B" w:rsidP="001B4D5B">
            <w:pPr>
              <w:jc w:val="both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1B4D5B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При </w:t>
            </w: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избыточной продукции андрогенов</w:t>
            </w:r>
            <w:r w:rsidRPr="001B4D5B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минералокортикоидов</w:t>
            </w:r>
            <w:proofErr w:type="spellEnd"/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, инсулина, гормона роста</w:t>
            </w:r>
          </w:p>
        </w:tc>
      </w:tr>
      <w:tr w:rsidR="001B4D5B" w:rsidTr="001B4D5B">
        <w:tc>
          <w:tcPr>
            <w:tcW w:w="5070" w:type="dxa"/>
          </w:tcPr>
          <w:p w:rsidR="001B4D5B" w:rsidRDefault="001B4D5B" w:rsidP="001B4D5B">
            <w:pPr>
              <w:jc w:val="both"/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При общем охлаждении и перегревании организма</w:t>
            </w:r>
          </w:p>
        </w:tc>
        <w:tc>
          <w:tcPr>
            <w:tcW w:w="5103" w:type="dxa"/>
          </w:tcPr>
          <w:p w:rsidR="001B4D5B" w:rsidRPr="001B4D5B" w:rsidRDefault="001B4D5B" w:rsidP="001B4D5B">
            <w:pPr>
              <w:jc w:val="both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1B4D5B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При</w:t>
            </w:r>
            <w:proofErr w:type="gramStart"/>
            <w:r w:rsidRPr="001B4D5B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</w:t>
            </w:r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>,</w:t>
            </w:r>
            <w:proofErr w:type="gramEnd"/>
            <w:r w:rsidRPr="00091B4F">
              <w:rPr>
                <w:rFonts w:ascii="Arial" w:eastAsia="Times New Roman" w:hAnsi="Arial" w:cs="Arial"/>
                <w:color w:val="943634" w:themeColor="accent2" w:themeShade="BF"/>
                <w:sz w:val="18"/>
                <w:szCs w:val="18"/>
                <w:lang w:eastAsia="ru-RU"/>
              </w:rPr>
              <w:t xml:space="preserve"> активизации парасимпатического отдела автономной нервной системы</w:t>
            </w:r>
          </w:p>
        </w:tc>
      </w:tr>
      <w:tr w:rsidR="001B4D5B" w:rsidTr="001B4D5B">
        <w:tc>
          <w:tcPr>
            <w:tcW w:w="5070" w:type="dxa"/>
          </w:tcPr>
          <w:p w:rsidR="001B4D5B" w:rsidRPr="00D165F1" w:rsidRDefault="001B4D5B" w:rsidP="001B4D5B">
            <w:pPr>
              <w:spacing w:after="64" w:line="288" w:lineRule="atLeast"/>
              <w:ind w:right="848"/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</w:pPr>
            <w:proofErr w:type="spellStart"/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Генерализованно</w:t>
            </w:r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м</w:t>
            </w:r>
            <w:proofErr w:type="spellEnd"/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 возбуждении </w:t>
            </w:r>
            <w:proofErr w:type="gramStart"/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соматического</w:t>
            </w:r>
            <w:proofErr w:type="gramEnd"/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 или </w:t>
            </w: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симпатического отделов нервной системы</w:t>
            </w:r>
          </w:p>
        </w:tc>
        <w:tc>
          <w:tcPr>
            <w:tcW w:w="5103" w:type="dxa"/>
          </w:tcPr>
          <w:p w:rsidR="001B4D5B" w:rsidRPr="001B4D5B" w:rsidRDefault="001B4D5B" w:rsidP="001B4D5B">
            <w:pPr>
              <w:jc w:val="both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1B4D5B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Многие др. патологические процессы</w:t>
            </w:r>
          </w:p>
        </w:tc>
      </w:tr>
      <w:tr w:rsidR="001B4D5B" w:rsidTr="001B4D5B">
        <w:tc>
          <w:tcPr>
            <w:tcW w:w="5070" w:type="dxa"/>
          </w:tcPr>
          <w:p w:rsidR="001B4D5B" w:rsidRPr="00D165F1" w:rsidRDefault="001B4D5B" w:rsidP="001B4D5B">
            <w:pPr>
              <w:spacing w:after="64" w:line="288" w:lineRule="atLeast"/>
              <w:ind w:right="848"/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Активации симпатоадреналовой системы (САС) и</w:t>
            </w:r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гипоталамо-гипофизарно-адренокортикальной</w:t>
            </w:r>
            <w:proofErr w:type="spellEnd"/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 системы (ГГАС)</w:t>
            </w:r>
          </w:p>
        </w:tc>
        <w:tc>
          <w:tcPr>
            <w:tcW w:w="5103" w:type="dxa"/>
          </w:tcPr>
          <w:p w:rsidR="001B4D5B" w:rsidRDefault="001B4D5B" w:rsidP="001B4D5B">
            <w:pPr>
              <w:jc w:val="both"/>
            </w:pPr>
          </w:p>
        </w:tc>
      </w:tr>
      <w:tr w:rsidR="001B4D5B" w:rsidTr="001B4D5B">
        <w:tc>
          <w:tcPr>
            <w:tcW w:w="5070" w:type="dxa"/>
          </w:tcPr>
          <w:p w:rsidR="001B4D5B" w:rsidRDefault="001B4D5B" w:rsidP="001B4D5B">
            <w:pPr>
              <w:jc w:val="both"/>
            </w:pPr>
            <w:r w:rsidRPr="00D165F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При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>работе щитовидной железы</w:t>
            </w:r>
          </w:p>
        </w:tc>
        <w:tc>
          <w:tcPr>
            <w:tcW w:w="5103" w:type="dxa"/>
          </w:tcPr>
          <w:p w:rsidR="001B4D5B" w:rsidRDefault="001B4D5B" w:rsidP="001B4D5B">
            <w:pPr>
              <w:jc w:val="both"/>
            </w:pPr>
          </w:p>
        </w:tc>
      </w:tr>
      <w:tr w:rsidR="001B4D5B" w:rsidTr="001B4D5B">
        <w:tc>
          <w:tcPr>
            <w:tcW w:w="5070" w:type="dxa"/>
          </w:tcPr>
          <w:p w:rsidR="001B4D5B" w:rsidRDefault="001B4D5B" w:rsidP="001B4D5B">
            <w:pPr>
              <w:jc w:val="both"/>
            </w:pPr>
            <w:r w:rsidRPr="00330184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Интенсивный стресс                                      </w:t>
            </w:r>
          </w:p>
        </w:tc>
        <w:tc>
          <w:tcPr>
            <w:tcW w:w="5103" w:type="dxa"/>
          </w:tcPr>
          <w:p w:rsidR="001B4D5B" w:rsidRDefault="001B4D5B" w:rsidP="001B4D5B">
            <w:pPr>
              <w:jc w:val="both"/>
            </w:pPr>
          </w:p>
        </w:tc>
      </w:tr>
    </w:tbl>
    <w:p w:rsidR="00D81A06" w:rsidRPr="001B4D5B" w:rsidRDefault="00D81A06" w:rsidP="001B4D5B">
      <w:pPr>
        <w:spacing w:after="64" w:line="288" w:lineRule="atLeast"/>
        <w:ind w:right="84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D5B" w:rsidRDefault="001B4D5B" w:rsidP="00CC59ED">
      <w:pPr>
        <w:spacing w:after="64" w:line="288" w:lineRule="atLeast"/>
        <w:ind w:left="-1276" w:right="-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Нарушения белкового обмена</w:t>
      </w:r>
      <w:r w:rsidRPr="00CC59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могут</w:t>
      </w:r>
      <w:r w:rsidRPr="00CC59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возникать вследствие раздельного</w:t>
      </w:r>
      <w:r w:rsidRPr="00CC59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сочетанного расстройства следующих основных его этапо</w:t>
      </w:r>
      <w:proofErr w:type="gramStart"/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в(</w:t>
      </w:r>
      <w:proofErr w:type="gramEnd"/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связанных с основными этапами пищеварения):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снижения поступления с пищей как общего количества белков,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нарушения механического размельчения белковых пищевых продуктов в ротовой</w:t>
      </w:r>
      <w:r w:rsidR="00CC59ED" w:rsidRPr="00CC59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полости</w:t>
      </w:r>
      <w:r w:rsidRPr="00091B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нарушения формирования полноценного пищевого комка и его гл</w:t>
      </w:r>
      <w:r w:rsidR="00CC59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отания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нарушения всасывания продуктов распада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нарушения транспорта продуктов распада белков (главным образом, аминокислот)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нарушения промежуточного обмена в слизистой кишок и разных тканей организма.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нарушения синтеза белков в организме.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нарушения конечного этапа белкового обмена, т.е. расстройства образования конечных азотсодержащих веществ (NH3, NH4, мочевины, мочевой кислоты, глютамина, креатина,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креатинина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индикана), а также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азотнесодержащих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веществ (СО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Н2О).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 нарушениях конечного этапа белкового обмена обычно судят по усредненному показателю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уровню </w:t>
      </w:r>
      <w:r w:rsidRPr="00CC59E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остаточного (небелкового) азота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крови, содержание которого в норме составляет 0,2 - 0,4 г/л).</w:t>
      </w:r>
    </w:p>
    <w:p w:rsidR="00CC59ED" w:rsidRDefault="00CC59ED" w:rsidP="00CC59ED">
      <w:pPr>
        <w:spacing w:after="64" w:line="288" w:lineRule="atLeast"/>
        <w:ind w:left="-1276" w:right="-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C59ED" w:rsidRDefault="00CC59ED" w:rsidP="00CC59ED">
      <w:pPr>
        <w:spacing w:after="64" w:line="288" w:lineRule="atLeast"/>
        <w:ind w:left="140" w:right="-426" w:firstLine="127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Pr="00CC59ED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такое остаточный азот?</w:t>
      </w:r>
    </w:p>
    <w:p w:rsidR="00CC59ED" w:rsidRDefault="00CC59ED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осадить белки плазмы крови, то прозрачном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безбелковом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фильтрате будет находиться некоторое количество азотсодержащих веществ – это и будет остаточный азот(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RN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C59ED" w:rsidRDefault="00CC59ED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 есть, остаточный азот(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RN</w:t>
      </w:r>
      <w:r w:rsidRPr="00CC59ED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общий азот плазмы минус азот белков. В норме </w:t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RN</w:t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плазме крови 15-30 </w:t>
      </w:r>
      <w:proofErr w:type="spellStart"/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ммоль</w:t>
      </w:r>
      <w:proofErr w:type="spellEnd"/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/л. В состав </w:t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RN</w:t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входят промежуточные и конечные продукты обмена белков.</w:t>
      </w:r>
    </w:p>
    <w:p w:rsidR="00AE55D7" w:rsidRDefault="00AE55D7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E55D7" w:rsidRDefault="00AE55D7" w:rsidP="00CC59ED">
      <w:pPr>
        <w:spacing w:after="64" w:line="288" w:lineRule="atLeast"/>
        <w:ind w:left="-709" w:right="-426" w:firstLine="2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AE55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AE55D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Клиническое значение остаточного азота</w:t>
      </w:r>
      <w:r w:rsidRPr="00AE55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AE55D7" w:rsidRDefault="00AE55D7" w:rsidP="00CC59ED">
      <w:pPr>
        <w:spacing w:after="64" w:line="288" w:lineRule="atLeast"/>
        <w:ind w:left="-709" w:right="-426" w:firstLine="2"/>
        <w:rPr>
          <w:rFonts w:ascii="Arial" w:hAnsi="Arial" w:cs="Arial"/>
          <w:color w:val="8064A2" w:themeColor="accent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Уменьшение RN не имеет диагностического значения, а увеличение носит название </w:t>
      </w:r>
      <w:proofErr w:type="spellStart"/>
      <w:r w:rsidRPr="00AE55D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гиперазотемия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подразделяется на </w:t>
      </w:r>
      <w:proofErr w:type="spellStart"/>
      <w:r w:rsidRPr="00623462">
        <w:rPr>
          <w:rFonts w:ascii="Arial" w:hAnsi="Arial" w:cs="Arial"/>
          <w:b/>
          <w:color w:val="4BACC6" w:themeColor="accent5"/>
          <w:sz w:val="21"/>
          <w:szCs w:val="21"/>
          <w:shd w:val="clear" w:color="auto" w:fill="FFFFFF"/>
        </w:rPr>
        <w:t>ретенционную</w:t>
      </w:r>
      <w:proofErr w:type="spellEnd"/>
      <w:r w:rsidRPr="0062346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623462"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 w:rsidRPr="0062346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623462">
        <w:rPr>
          <w:rFonts w:ascii="Arial" w:hAnsi="Arial" w:cs="Arial"/>
          <w:b/>
          <w:color w:val="8064A2" w:themeColor="accent4"/>
          <w:sz w:val="21"/>
          <w:szCs w:val="21"/>
          <w:shd w:val="clear" w:color="auto" w:fill="FFFFFF"/>
        </w:rPr>
        <w:t>продукционную</w:t>
      </w:r>
      <w:r>
        <w:rPr>
          <w:rFonts w:ascii="Arial" w:hAnsi="Arial" w:cs="Arial"/>
          <w:color w:val="8064A2" w:themeColor="accent4"/>
          <w:sz w:val="21"/>
          <w:szCs w:val="21"/>
          <w:shd w:val="clear" w:color="auto" w:fill="FFFFFF"/>
        </w:rPr>
        <w:t>.</w:t>
      </w:r>
    </w:p>
    <w:p w:rsidR="00AA01D9" w:rsidRDefault="00AA01D9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Увеличение остаточного азота в крови </w:t>
      </w:r>
      <w:r w:rsidRPr="00AA01D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</w:t>
      </w:r>
      <w:proofErr w:type="spellStart"/>
      <w:r w:rsidRPr="00AA01D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гиперазотемия</w:t>
      </w:r>
      <w:proofErr w:type="spellEnd"/>
      <w:r w:rsidRPr="00AA01D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может происходить как за счет возрастания количества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немочевинного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азота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нпаример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 печеночной недостаточности), так и за счет мочевинного азота, что отмечается при нарушении выделительной функции почек. </w:t>
      </w:r>
      <w:proofErr w:type="spellStart"/>
      <w:r w:rsidRPr="00AA01D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Гиперазотемия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часто возникает при гипоксии, травмах, интоксикациях, инфекциях.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условиях патологии может наблюдаться увеличение содержания в крови токсичного аммиака (NH3). Это, в частности, возникает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</w:p>
    <w:p w:rsidR="00AA01D9" w:rsidRDefault="00AA01D9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снижении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мочевыделительной функции почек и мочевыводящих путей,</w:t>
      </w:r>
    </w:p>
    <w:p w:rsidR="00AA01D9" w:rsidRDefault="00AA01D9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уменьшении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NH4-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мочевинообразовательной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функций и печени, и почек</w:t>
      </w:r>
    </w:p>
    <w:p w:rsidR="00AA01D9" w:rsidRDefault="00AA01D9" w:rsidP="00CC59ED">
      <w:pPr>
        <w:spacing w:after="64" w:line="288" w:lineRule="atLeast"/>
        <w:ind w:left="-709" w:right="-426" w:firstLine="2"/>
        <w:rPr>
          <w:rFonts w:ascii="Arial" w:hAnsi="Arial" w:cs="Arial"/>
          <w:color w:val="8064A2" w:themeColor="accent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угнетении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глютаминообразовательной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функции различных органов.</w:t>
      </w:r>
    </w:p>
    <w:p w:rsidR="00AA01D9" w:rsidRDefault="00AA01D9" w:rsidP="00AE55D7">
      <w:pPr>
        <w:spacing w:after="64" w:line="288" w:lineRule="atLeast"/>
        <w:ind w:left="-347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---</w:t>
      </w:r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Возникновение </w:t>
      </w:r>
      <w:proofErr w:type="spellStart"/>
      <w:r w:rsidR="00AE55D7" w:rsidRPr="00AE55D7">
        <w:rPr>
          <w:rFonts w:ascii="Arial" w:hAnsi="Arial" w:cs="Arial"/>
          <w:b/>
          <w:color w:val="4BACC6" w:themeColor="accent5"/>
          <w:sz w:val="21"/>
          <w:szCs w:val="21"/>
          <w:shd w:val="clear" w:color="auto" w:fill="FFFFFF"/>
        </w:rPr>
        <w:t>ретенционной</w:t>
      </w:r>
      <w:proofErr w:type="spellEnd"/>
      <w:r w:rsidR="00AE55D7" w:rsidRPr="00AE55D7">
        <w:rPr>
          <w:rFonts w:ascii="Arial" w:hAnsi="Arial" w:cs="Arial"/>
          <w:b/>
          <w:color w:val="4BACC6" w:themeColor="accent5"/>
          <w:sz w:val="21"/>
          <w:szCs w:val="21"/>
          <w:shd w:val="clear" w:color="auto" w:fill="FFFFFF"/>
        </w:rPr>
        <w:t xml:space="preserve"> </w:t>
      </w:r>
      <w:proofErr w:type="spellStart"/>
      <w:r w:rsidR="00AE55D7" w:rsidRPr="00AE55D7">
        <w:rPr>
          <w:rFonts w:ascii="Arial" w:hAnsi="Arial" w:cs="Arial"/>
          <w:b/>
          <w:color w:val="4BACC6" w:themeColor="accent5"/>
          <w:sz w:val="21"/>
          <w:szCs w:val="21"/>
          <w:shd w:val="clear" w:color="auto" w:fill="FFFFFF"/>
        </w:rPr>
        <w:t>гиперазотемии</w:t>
      </w:r>
      <w:proofErr w:type="spellEnd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является результатом недостаточного выделения азотсодержащих веществ с мочой при нормальном поступлении их в кровяное русло. Она бывает почечной и </w:t>
      </w:r>
      <w:proofErr w:type="spellStart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внепочечной</w:t>
      </w:r>
      <w:proofErr w:type="spellEnd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AE55D7" w:rsidRPr="00AE55D7">
        <w:rPr>
          <w:rFonts w:ascii="Arial" w:hAnsi="Arial" w:cs="Arial"/>
          <w:color w:val="000000"/>
          <w:sz w:val="21"/>
          <w:szCs w:val="21"/>
        </w:rPr>
        <w:br/>
      </w:r>
      <w:r w:rsidR="00AE55D7" w:rsidRPr="00AE55D7">
        <w:rPr>
          <w:rFonts w:ascii="Arial" w:hAnsi="Arial" w:cs="Arial"/>
          <w:color w:val="000000"/>
          <w:sz w:val="21"/>
          <w:szCs w:val="21"/>
        </w:rPr>
        <w:br/>
      </w:r>
      <w:r w:rsid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---</w:t>
      </w:r>
      <w:proofErr w:type="gramStart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Почечная</w:t>
      </w:r>
      <w:proofErr w:type="gramEnd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ретенционная</w:t>
      </w:r>
      <w:proofErr w:type="spellEnd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гипер</w:t>
      </w:r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азотемия</w:t>
      </w:r>
      <w:proofErr w:type="spellEnd"/>
      <w:r w:rsidR="00AE55D7"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наблюдается при нарушении экскреторной функции почек.</w:t>
      </w:r>
    </w:p>
    <w:p w:rsidR="00AE55D7" w:rsidRDefault="00AE55D7" w:rsidP="00AE55D7">
      <w:pPr>
        <w:spacing w:after="64" w:line="288" w:lineRule="atLeast"/>
        <w:ind w:left="-347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A01D9">
        <w:rPr>
          <w:rFonts w:ascii="Arial" w:hAnsi="Arial" w:cs="Arial"/>
          <w:color w:val="000000"/>
          <w:sz w:val="21"/>
          <w:szCs w:val="21"/>
          <w:shd w:val="clear" w:color="auto" w:fill="FFFFFF"/>
        </w:rPr>
        <w:t>---</w:t>
      </w:r>
      <w:proofErr w:type="spellStart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Внепочечная</w:t>
      </w:r>
      <w:proofErr w:type="spellEnd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ретенционная</w:t>
      </w:r>
      <w:proofErr w:type="spellEnd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гиперазотемия</w:t>
      </w:r>
      <w:proofErr w:type="spellEnd"/>
      <w:r w:rsidRPr="00AE5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отмечается при недостаточности кровообращения, снижения артериального давления, уменьшении почечного кровотока, при закупорке мочевыводящих путей (камни, опухоли)</w:t>
      </w:r>
      <w:r w:rsidR="00AA01D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A01D9" w:rsidRDefault="00AA01D9" w:rsidP="00AE55D7">
      <w:pPr>
        <w:spacing w:after="64" w:line="288" w:lineRule="atLeast"/>
        <w:ind w:left="-347" w:right="-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---</w:t>
      </w:r>
      <w:r w:rsidRPr="00623462">
        <w:rPr>
          <w:rFonts w:ascii="Arial" w:hAnsi="Arial" w:cs="Arial"/>
          <w:b/>
          <w:color w:val="8064A2" w:themeColor="accent4"/>
          <w:sz w:val="21"/>
          <w:szCs w:val="21"/>
          <w:shd w:val="clear" w:color="auto" w:fill="FFFFFF"/>
        </w:rPr>
        <w:t xml:space="preserve">Продукционная </w:t>
      </w:r>
      <w:proofErr w:type="spellStart"/>
      <w:r w:rsidRPr="00623462">
        <w:rPr>
          <w:rFonts w:ascii="Arial" w:hAnsi="Arial" w:cs="Arial"/>
          <w:b/>
          <w:color w:val="8064A2" w:themeColor="accent4"/>
          <w:sz w:val="21"/>
          <w:szCs w:val="21"/>
          <w:shd w:val="clear" w:color="auto" w:fill="FFFFFF"/>
        </w:rPr>
        <w:t>гиперазотемия</w:t>
      </w:r>
      <w:proofErr w:type="spellEnd"/>
      <w:r w:rsidRPr="00623462">
        <w:rPr>
          <w:rFonts w:ascii="Arial" w:hAnsi="Arial" w:cs="Arial"/>
          <w:color w:val="8064A2" w:themeColor="accent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возникает при избыточном поступлении азотсодержащих веществ в кровь и наблюдается при усиленном распаде белков тканей (при длительном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сдавлении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размозжении органов и тканей, при ожогах, опухолях, лихорадке).</w:t>
      </w:r>
      <w:proofErr w:type="gramEnd"/>
    </w:p>
    <w:p w:rsidR="00CC59ED" w:rsidRPr="00CC59ED" w:rsidRDefault="00CC59ED" w:rsidP="00CC59ED">
      <w:pPr>
        <w:spacing w:after="64" w:line="288" w:lineRule="atLeast"/>
        <w:ind w:left="-709" w:right="-426" w:firstLine="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59ED" w:rsidRPr="00091B4F" w:rsidRDefault="00CC59ED" w:rsidP="00CC59ED">
      <w:pPr>
        <w:spacing w:after="64" w:line="288" w:lineRule="atLeast"/>
        <w:ind w:left="-1276" w:right="-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4D5B" w:rsidRDefault="001B4D5B" w:rsidP="00091B4F">
      <w:pPr>
        <w:jc w:val="both"/>
      </w:pPr>
    </w:p>
    <w:sectPr w:rsidR="001B4D5B" w:rsidSect="00AA01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C95"/>
    <w:multiLevelType w:val="hybridMultilevel"/>
    <w:tmpl w:val="FAEAA71C"/>
    <w:lvl w:ilvl="0" w:tplc="0419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1">
    <w:nsid w:val="38C63250"/>
    <w:multiLevelType w:val="multilevel"/>
    <w:tmpl w:val="223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D58E5"/>
    <w:multiLevelType w:val="hybridMultilevel"/>
    <w:tmpl w:val="27AC4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916A8"/>
    <w:multiLevelType w:val="hybridMultilevel"/>
    <w:tmpl w:val="D460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91B4F"/>
    <w:rsid w:val="00091B4F"/>
    <w:rsid w:val="001B4D5B"/>
    <w:rsid w:val="00330184"/>
    <w:rsid w:val="00623462"/>
    <w:rsid w:val="00837D88"/>
    <w:rsid w:val="00AA01D9"/>
    <w:rsid w:val="00AC5686"/>
    <w:rsid w:val="00AE55D7"/>
    <w:rsid w:val="00CC59ED"/>
    <w:rsid w:val="00D165F1"/>
    <w:rsid w:val="00D8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86"/>
    <w:pPr>
      <w:ind w:left="720"/>
      <w:contextualSpacing/>
    </w:pPr>
  </w:style>
  <w:style w:type="table" w:styleId="a4">
    <w:name w:val="Table Grid"/>
    <w:basedOn w:val="a1"/>
    <w:uiPriority w:val="59"/>
    <w:rsid w:val="00D1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764">
                  <w:marLeft w:val="1248"/>
                  <w:marRight w:val="7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 Дима</dc:creator>
  <cp:lastModifiedBy>Ра Дима</cp:lastModifiedBy>
  <cp:revision>1</cp:revision>
  <dcterms:created xsi:type="dcterms:W3CDTF">2020-03-24T00:26:00Z</dcterms:created>
  <dcterms:modified xsi:type="dcterms:W3CDTF">2020-03-24T01:52:00Z</dcterms:modified>
</cp:coreProperties>
</file>