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КрасГМУ им. проф. В.Ф. Войно-Ясенецкого Минздрава России </w:t>
      </w:r>
      <w:r/>
    </w:p>
    <w:p>
      <w:pPr>
        <w:pStyle w:val="61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438150</wp:posOffset>
                </wp:positionV>
                <wp:extent cx="1905635" cy="2239010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05120" cy="2238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Заведующий кафедры туберкулеза с курсом ПО</w:t>
                            </w:r>
                            <w:r/>
                          </w:p>
                          <w:p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доцент, к.м.н. Омельчук Данил Евгеньевич </w:t>
                            </w:r>
                            <w:r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;o:allowoverlap:true;o:allowincell:false;mso-position-horizontal-relative:text;margin-left:371.8pt;mso-position-horizontal:absolute;mso-position-vertical-relative:text;margin-top:34.5pt;mso-position-vertical:absolute;width:150.0pt;height:176.3pt;mso-wrap-distance-left:0.0pt;mso-wrap-distance-top:0.0pt;mso-wrap-distance-right:0.0pt;mso-wrap-distance-bottom:0.0pt;visibility:visible;" filled="f" stroked="f" strokeweight="0.00pt">
                <v:textbox inset="0,0,0,0">
                  <w:txbxContent>
                    <w:p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Заведующий кафедры туберкулеза с курсом ПО</w:t>
                      </w:r>
                      <w:r/>
                    </w:p>
                    <w:p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доцент, к.м.н. Омельчук Данил Евгеньевич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1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8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40"/>
          <w:szCs w:val="40"/>
        </w:rPr>
        <w:t xml:space="preserve">Реферат на тему: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6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44"/>
          <w:szCs w:val="44"/>
          <w:highlight w:val="none"/>
        </w:rPr>
        <w:t xml:space="preserve">«Молекулярно-генетические методы в диагностике и дифференциальной диагностике туберкулеза»</w:t>
      </w:r>
      <w:r>
        <w:rPr>
          <w:rFonts w:ascii="Times New Roman" w:hAnsi="Times New Roman"/>
          <w:b/>
          <w:bCs/>
          <w:sz w:val="44"/>
          <w:szCs w:val="44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14"/>
        <w:jc w:val="left"/>
        <w:spacing w:before="0" w:after="140" w:line="276" w:lineRule="auto"/>
      </w:pPr>
      <w:r>
        <w:br/>
      </w:r>
      <w:r/>
    </w:p>
    <w:p>
      <w:pPr>
        <w:pStyle w:val="614"/>
        <w:jc w:val="left"/>
        <w:spacing w:before="0" w:after="140" w:line="276" w:lineRule="auto"/>
      </w:pPr>
      <w:r/>
      <w:r/>
    </w:p>
    <w:p>
      <w:pPr>
        <w:pStyle w:val="614"/>
        <w:jc w:val="left"/>
        <w:spacing w:before="0" w:after="140"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2968625</wp:posOffset>
                </wp:positionV>
                <wp:extent cx="6791960" cy="1782445"/>
                <wp:effectExtent l="0" t="0" r="0" b="0"/>
                <wp:wrapNone/>
                <wp:docPr id="2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791400" cy="1781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Выполнил: ординатор специальности«Фтизиатрия»</w:t>
                            </w:r>
                            <w:r/>
                          </w:p>
                          <w:p>
                            <w:pPr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Деревянкин Егор Андрееевич</w:t>
                            </w:r>
                            <w:r/>
                          </w:p>
                          <w:p>
                            <w:pPr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Проверил: Заведущий кафедры туберкулеза с курсом ПО </w:t>
                            </w:r>
                            <w:r/>
                          </w:p>
                          <w:p>
                            <w:pPr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Омельчук Данил Евгеньевич</w:t>
                            </w:r>
                            <w:r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3;o:allowoverlap:true;o:allowincell:false;mso-position-horizontal-relative:text;margin-left:-4.7pt;mso-position-horizontal:absolute;mso-position-vertical-relative:text;margin-top:233.8pt;mso-position-vertical:absolute;width:534.8pt;height:140.3pt;mso-wrap-distance-left:0.0pt;mso-wrap-distance-top:0.0pt;mso-wrap-distance-right:0.0pt;mso-wrap-distance-bottom:0.0pt;visibility:visible;" filled="f" stroked="f" strokeweight="0.00pt">
                <v:textbox inset="0,0,0,0">
                  <w:txbxContent>
                    <w:p>
                      <w:pPr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 Выполнил: ординатор специальности«Фтизиатрия»</w:t>
                      </w:r>
                      <w:r/>
                    </w:p>
                    <w:p>
                      <w:pPr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 Деревянкин Егор Андрееевич</w:t>
                      </w:r>
                      <w:r/>
                    </w:p>
                    <w:p>
                      <w:pPr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Проверил: Заведущий кафедры туберкулеза с курсом ПО </w:t>
                      </w:r>
                      <w:r/>
                    </w:p>
                    <w:p>
                      <w:pPr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Омельчук Данил Евгеньевич</w:t>
                      </w:r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5093335</wp:posOffset>
                </wp:positionV>
                <wp:extent cx="1353185" cy="400685"/>
                <wp:effectExtent l="0" t="0" r="0" b="0"/>
                <wp:wrapNone/>
                <wp:docPr id="3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352520" cy="399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sz w:val="28"/>
                                <w:szCs w:val="28"/>
                              </w:rPr>
                              <w:t xml:space="preserve">Красноярск 2022</w:t>
                            </w:r>
                            <w:r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4;o:allowoverlap:true;o:allowincell:false;mso-position-horizontal-relative:text;margin-left:207.5pt;mso-position-horizontal:absolute;mso-position-vertical-relative:text;margin-top:401.0pt;mso-position-vertical:absolute;width:106.5pt;height:31.5pt;mso-wrap-distance-left:0.0pt;mso-wrap-distance-top:0.0pt;mso-wrap-distance-right:0.0pt;mso-wrap-distance-bottom:0.0pt;visibility:visible;" filled="f" stroked="f" strokeweight="0.00pt">
                <v:textbox inset="0,0,0,0">
                  <w:txbxContent>
                    <w:p>
                      <w:r>
                        <w:rPr>
                          <w:sz w:val="28"/>
                          <w:szCs w:val="28"/>
                        </w:rPr>
                        <w:t xml:space="preserve">Красноярск 2022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14"/>
        <w:jc w:val="left"/>
        <w:spacing w:before="0" w:after="140" w:line="276" w:lineRule="auto"/>
      </w:pPr>
      <w:r/>
      <w:r/>
    </w:p>
    <w:p>
      <w:pPr>
        <w:pStyle w:val="614"/>
        <w:jc w:val="left"/>
        <w:spacing w:before="0" w:after="140" w:line="276" w:lineRule="auto"/>
      </w:pPr>
      <w:r/>
      <w:r/>
    </w:p>
    <w:p>
      <w:pPr>
        <w:pStyle w:val="614"/>
        <w:jc w:val="left"/>
        <w:spacing w:before="0" w:after="140" w:line="276" w:lineRule="auto"/>
      </w:pPr>
      <w:r/>
      <w:r/>
    </w:p>
    <w:p>
      <w:pPr>
        <w:pStyle w:val="614"/>
        <w:jc w:val="left"/>
        <w:spacing w:before="0" w:after="140" w:line="276" w:lineRule="auto"/>
      </w:pPr>
      <w:r/>
      <w:r/>
    </w:p>
    <w:p>
      <w:pPr>
        <w:pStyle w:val="614"/>
        <w:jc w:val="left"/>
        <w:spacing w:before="0" w:after="140" w:line="276" w:lineRule="auto"/>
      </w:pPr>
      <w:r/>
      <w:r/>
    </w:p>
    <w:p>
      <w:pPr>
        <w:pStyle w:val="614"/>
        <w:jc w:val="left"/>
        <w:spacing w:before="0" w:after="140" w:line="276" w:lineRule="auto"/>
      </w:pPr>
      <w:r/>
      <w:r/>
    </w:p>
    <w:p>
      <w:pPr>
        <w:pStyle w:val="614"/>
        <w:jc w:val="left"/>
        <w:spacing w:before="0" w:after="140" w:line="276" w:lineRule="auto"/>
      </w:pPr>
      <w:r/>
      <w:r/>
    </w:p>
    <w:p>
      <w:pPr>
        <w:pStyle w:val="614"/>
        <w:jc w:val="left"/>
        <w:spacing w:before="0" w:after="140" w:line="276" w:lineRule="auto"/>
      </w:pPr>
      <w:r/>
      <w:r/>
    </w:p>
    <w:p>
      <w:pPr>
        <w:pStyle w:val="614"/>
        <w:jc w:val="left"/>
        <w:spacing w:before="0" w:after="140" w:line="276" w:lineRule="auto"/>
      </w:pPr>
      <w:r/>
      <w:r/>
    </w:p>
    <w:p>
      <w:pPr>
        <w:pStyle w:val="614"/>
        <w:jc w:val="left"/>
        <w:spacing w:before="0" w:after="140" w:line="276" w:lineRule="auto"/>
      </w:pPr>
      <w:r/>
      <w:r/>
    </w:p>
    <w:p>
      <w:pPr>
        <w:pStyle w:val="614"/>
        <w:jc w:val="left"/>
        <w:spacing w:before="0" w:after="140" w:line="276" w:lineRule="auto"/>
      </w:pPr>
      <w:r/>
      <w:r/>
    </w:p>
    <w:p>
      <w:pPr>
        <w:pStyle w:val="614"/>
        <w:jc w:val="left"/>
        <w:spacing w:before="0" w:after="140" w:line="276" w:lineRule="auto"/>
      </w:pPr>
      <w:r/>
      <w:r/>
    </w:p>
    <w:p>
      <w:pPr>
        <w:pStyle w:val="614"/>
        <w:jc w:val="left"/>
        <w:spacing w:before="0" w:after="140" w:line="276" w:lineRule="auto"/>
      </w:pPr>
      <w:r/>
      <w:r/>
    </w:p>
    <w:p>
      <w:pPr>
        <w:pStyle w:val="614"/>
        <w:jc w:val="left"/>
        <w:spacing w:before="0" w:after="140" w:line="276" w:lineRule="auto"/>
      </w:pPr>
      <w:r/>
      <w:r/>
    </w:p>
    <w:p>
      <w:pPr>
        <w:pStyle w:val="614"/>
        <w:jc w:val="left"/>
        <w:spacing w:before="0" w:after="140" w:line="276" w:lineRule="auto"/>
      </w:pPr>
      <w:r/>
      <w:r/>
    </w:p>
    <w:p>
      <w:pPr>
        <w:pStyle w:val="614"/>
        <w:jc w:val="left"/>
        <w:spacing w:before="0" w:after="140" w:line="276" w:lineRule="auto"/>
      </w:pPr>
      <w:r/>
      <w:r/>
    </w:p>
    <w:p>
      <w:pPr>
        <w:pStyle w:val="614"/>
        <w:jc w:val="right"/>
      </w:pPr>
      <w:r/>
      <w:r/>
    </w:p>
    <w:p>
      <w:pPr>
        <w:pStyle w:val="61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Введение……………………………………….</w:t>
      </w:r>
      <w:r>
        <w:rPr>
          <w:rFonts w:ascii="Times New Roman" w:hAnsi="Times New Roman"/>
          <w:sz w:val="28"/>
          <w:szCs w:val="28"/>
        </w:rPr>
        <w:t xml:space="preserve">…………………………………..</w:t>
      </w:r>
      <w:r>
        <w:rPr>
          <w:rFonts w:ascii="Times New Roman" w:hAnsi="Times New Roman"/>
          <w:sz w:val="28"/>
          <w:szCs w:val="28"/>
        </w:rPr>
        <w:t xml:space="preserve">3</w:t>
      </w:r>
      <w:r/>
    </w:p>
    <w:p>
      <w:pPr>
        <w:pStyle w:val="61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Основы проведения метода ПЦР</w:t>
      </w:r>
      <w:r>
        <w:rPr>
          <w:rFonts w:ascii="Times New Roman" w:hAnsi="Times New Roman"/>
          <w:sz w:val="28"/>
          <w:szCs w:val="28"/>
        </w:rPr>
        <w:t xml:space="preserve"> …………...…………………….....…………..4</w:t>
      </w:r>
      <w:r/>
    </w:p>
    <w:p>
      <w:pPr>
        <w:pStyle w:val="61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Осуществление рутинных методик ПЦР</w:t>
      </w:r>
      <w:r>
        <w:rPr>
          <w:rFonts w:ascii="Times New Roman" w:hAnsi="Times New Roman"/>
          <w:sz w:val="28"/>
          <w:szCs w:val="28"/>
        </w:rPr>
        <w:t xml:space="preserve">………</w:t>
      </w:r>
      <w:r>
        <w:rPr>
          <w:rFonts w:ascii="Times New Roman" w:hAnsi="Times New Roman"/>
          <w:sz w:val="28"/>
          <w:szCs w:val="28"/>
        </w:rPr>
        <w:t xml:space="preserve">…………………...…………...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61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ПЦР диагностика туберкулеза легких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...........................…………………………9</w:t>
      </w:r>
      <w:r>
        <w:rPr>
          <w:rFonts w:ascii="Times New Roman" w:hAnsi="Times New Roman"/>
          <w:color w:val="000000"/>
          <w:spacing w:val="0"/>
          <w:sz w:val="28"/>
          <w:szCs w:val="28"/>
        </w:rPr>
      </w:r>
      <w:r/>
    </w:p>
    <w:p>
      <w:pPr>
        <w:pStyle w:val="614"/>
        <w:jc w:val="left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Забор материала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....................……………………………………………………..10</w:t>
      </w:r>
      <w:r>
        <w:rPr>
          <w:rFonts w:ascii="Times New Roman" w:hAnsi="Times New Roman"/>
          <w:color w:val="000000"/>
          <w:spacing w:val="0"/>
          <w:sz w:val="28"/>
          <w:szCs w:val="28"/>
        </w:rPr>
      </w:r>
      <w:r/>
    </w:p>
    <w:p>
      <w:pPr>
        <w:pStyle w:val="614"/>
        <w:jc w:val="left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Предобработка проб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…………..…………………………………………………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.10</w:t>
      </w:r>
      <w:r>
        <w:rPr>
          <w:rFonts w:ascii="Times New Roman" w:hAnsi="Times New Roman"/>
          <w:color w:val="000000"/>
          <w:spacing w:val="0"/>
          <w:sz w:val="28"/>
          <w:szCs w:val="28"/>
        </w:rPr>
      </w:r>
      <w:r>
        <w:rPr>
          <w:rFonts w:ascii="Times New Roman" w:hAnsi="Times New Roman"/>
          <w:color w:val="000000"/>
          <w:spacing w:val="0"/>
          <w:sz w:val="28"/>
          <w:szCs w:val="28"/>
        </w:rPr>
      </w:r>
      <w:r>
        <w:rPr>
          <w:highlight w:val="none"/>
        </w:rPr>
      </w:r>
    </w:p>
    <w:p>
      <w:pPr>
        <w:pStyle w:val="614"/>
        <w:jc w:val="left"/>
        <w:rPr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Условия хранения материала и предварительно обработанных проб</w:t>
      </w:r>
      <w:r>
        <w:rPr>
          <w:highlight w:val="none"/>
        </w:rPr>
        <w:t xml:space="preserve">.................</w:t>
      </w:r>
      <w:r>
        <w:rPr>
          <w:sz w:val="28"/>
          <w:szCs w:val="28"/>
          <w:highlight w:val="none"/>
        </w:rPr>
        <w:t xml:space="preserve">10</w:t>
      </w:r>
      <w:r>
        <w:rPr>
          <w:sz w:val="28"/>
          <w:szCs w:val="28"/>
        </w:rPr>
      </w:r>
    </w:p>
    <w:p>
      <w:pPr>
        <w:pStyle w:val="614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Условия транспортирования материала</w:t>
      </w:r>
      <w:r/>
      <w:r>
        <w:rPr>
          <w:sz w:val="28"/>
          <w:szCs w:val="28"/>
          <w:highlight w:val="none"/>
        </w:rPr>
        <w:t xml:space="preserve">...............................................................11</w:t>
      </w:r>
      <w:r>
        <w:rPr>
          <w:sz w:val="28"/>
          <w:szCs w:val="28"/>
          <w:highlight w:val="none"/>
        </w:rPr>
      </w:r>
    </w:p>
    <w:p>
      <w:pPr>
        <w:pStyle w:val="614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Аналитический этап</w:t>
      </w:r>
      <w:r>
        <w:rPr>
          <w:sz w:val="28"/>
          <w:szCs w:val="28"/>
          <w:highlight w:val="none"/>
        </w:rPr>
        <w:t xml:space="preserve">...............................................................................................11</w:t>
      </w:r>
      <w:r>
        <w:rPr>
          <w:sz w:val="28"/>
          <w:szCs w:val="28"/>
          <w:highlight w:val="none"/>
        </w:rPr>
      </w:r>
    </w:p>
    <w:p>
      <w:pPr>
        <w:pStyle w:val="61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литературы ……………………………………………………………...</w:t>
      </w:r>
      <w:r>
        <w:rPr>
          <w:rFonts w:ascii="Times New Roman" w:hAnsi="Times New Roman"/>
          <w:sz w:val="28"/>
          <w:szCs w:val="28"/>
        </w:rPr>
        <w:t xml:space="preserve">12</w:t>
      </w:r>
      <w:r/>
    </w:p>
    <w:p>
      <w:pPr>
        <w:pStyle w:val="614"/>
        <w:jc w:val="left"/>
      </w:pPr>
      <w:r/>
      <w:r/>
    </w:p>
    <w:p>
      <w:pPr>
        <w:pStyle w:val="614"/>
        <w:jc w:val="left"/>
      </w:pPr>
      <w:r/>
      <w:r/>
    </w:p>
    <w:p>
      <w:pPr>
        <w:pStyle w:val="614"/>
        <w:jc w:val="left"/>
      </w:pPr>
      <w:r/>
      <w:r/>
    </w:p>
    <w:p>
      <w:pPr>
        <w:pStyle w:val="614"/>
        <w:jc w:val="left"/>
      </w:pPr>
      <w:r/>
      <w:r/>
    </w:p>
    <w:p>
      <w:pPr>
        <w:pStyle w:val="614"/>
        <w:jc w:val="left"/>
      </w:pPr>
      <w:r/>
      <w:r/>
    </w:p>
    <w:p>
      <w:pPr>
        <w:pStyle w:val="614"/>
        <w:jc w:val="left"/>
      </w:pPr>
      <w:r/>
      <w:r/>
    </w:p>
    <w:p>
      <w:pPr>
        <w:pStyle w:val="614"/>
        <w:jc w:val="left"/>
      </w:pPr>
      <w:r/>
      <w:r/>
    </w:p>
    <w:p>
      <w:pPr>
        <w:pStyle w:val="614"/>
        <w:jc w:val="left"/>
      </w:pPr>
      <w:r/>
      <w:r/>
    </w:p>
    <w:p>
      <w:pPr>
        <w:pStyle w:val="614"/>
        <w:jc w:val="left"/>
      </w:pPr>
      <w:r/>
      <w:r/>
    </w:p>
    <w:p>
      <w:pPr>
        <w:pStyle w:val="614"/>
        <w:jc w:val="left"/>
      </w:pPr>
      <w:r/>
      <w:r/>
    </w:p>
    <w:p>
      <w:pPr>
        <w:pStyle w:val="614"/>
        <w:jc w:val="left"/>
      </w:pPr>
      <w:r/>
      <w:r/>
    </w:p>
    <w:p>
      <w:pPr>
        <w:pStyle w:val="614"/>
        <w:jc w:val="left"/>
      </w:pPr>
      <w:r/>
      <w:r/>
    </w:p>
    <w:p>
      <w:pPr>
        <w:pStyle w:val="614"/>
        <w:jc w:val="left"/>
      </w:pPr>
      <w:r/>
      <w:r/>
    </w:p>
    <w:p>
      <w:pPr>
        <w:pStyle w:val="614"/>
        <w:jc w:val="left"/>
      </w:pPr>
      <w:r/>
      <w:r/>
    </w:p>
    <w:p>
      <w:pPr>
        <w:pStyle w:val="614"/>
        <w:jc w:val="left"/>
      </w:pPr>
      <w:r/>
      <w:r/>
    </w:p>
    <w:p>
      <w:pPr>
        <w:pStyle w:val="614"/>
        <w:jc w:val="left"/>
      </w:pPr>
      <w:r/>
      <w:r/>
    </w:p>
    <w:p>
      <w:pPr>
        <w:pStyle w:val="614"/>
        <w:jc w:val="left"/>
      </w:pPr>
      <w:r/>
      <w:r/>
    </w:p>
    <w:p>
      <w:pPr>
        <w:pStyle w:val="614"/>
        <w:jc w:val="left"/>
      </w:pPr>
      <w:r/>
      <w:r/>
    </w:p>
    <w:p>
      <w:pPr>
        <w:pStyle w:val="614"/>
        <w:jc w:val="left"/>
        <w:rPr>
          <w:rFonts w:ascii="Times New Roman" w:hAnsi="Times New Roman"/>
          <w:sz w:val="36"/>
          <w:szCs w:val="36"/>
        </w:rPr>
      </w:pPr>
      <w:r>
        <w:rPr>
          <w:rFonts w:ascii="Tahoma" w:hAnsi="Tahoma" w:eastAsia="Tahoma" w:cs="Tahoma"/>
          <w:color w:val="333333"/>
          <w:sz w:val="20"/>
          <w:highlight w:val="white"/>
        </w:rPr>
      </w:r>
      <w:r/>
    </w:p>
    <w:p>
      <w:pPr>
        <w:pStyle w:val="614"/>
        <w:jc w:val="center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 ВВЕДЕНИЕ</w:t>
      </w:r>
      <w:r>
        <w:rPr>
          <w:rFonts w:ascii="Times New Roman" w:hAnsi="Times New Roman"/>
          <w:sz w:val="28"/>
          <w:szCs w:val="28"/>
        </w:rPr>
      </w:r>
    </w:p>
    <w:p>
      <w:pPr>
        <w:pStyle w:val="614"/>
        <w:ind w:left="0" w:right="0" w:firstLine="0"/>
        <w:jc w:val="both"/>
        <w:spacing w:before="150" w:after="0"/>
        <w:widowControl/>
        <w:rPr>
          <w:rFonts w:ascii="Times New Roman" w:hAnsi="Times New Roman"/>
          <w:color w:val="000000"/>
          <w:spacing w:val="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pacing w:val="0"/>
          <w:sz w:val="28"/>
          <w:szCs w:val="28"/>
          <w:highlight w:val="none"/>
        </w:rPr>
        <w:t xml:space="preserve">ДНК-диагностика - это один из наиболее современных высокотехнологичных методов исследования. ДНК-анализы широко применяются в диагностике инфекционных заболеваний, позволяя обнаруживать даже единичные микроорганизмы в организме человека.</w:t>
      </w:r>
      <w:r/>
    </w:p>
    <w:p>
      <w:pPr>
        <w:pStyle w:val="614"/>
        <w:ind w:left="0" w:right="0" w:firstLine="0"/>
        <w:jc w:val="both"/>
        <w:spacing w:before="150" w:after="0"/>
        <w:widowControl/>
        <w:rPr>
          <w:rFonts w:ascii="Times New Roman" w:hAnsi="Times New Roman"/>
          <w:color w:val="000000"/>
          <w:spacing w:val="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pacing w:val="0"/>
          <w:sz w:val="28"/>
          <w:szCs w:val="28"/>
          <w:highlight w:val="none"/>
        </w:rPr>
        <w:t xml:space="preserve">ДНК-диагностика объединяет несколько методов исследования, самый распространенный из них - метод ПЦР (полимеразной цепной реакции, Polymerase chain reaction, PCR diagnostics) . На сегодняшний день ПЦР -анализ является одной из наиболее распространенных и ди</w:t>
      </w:r>
      <w:r>
        <w:rPr>
          <w:rFonts w:ascii="Times New Roman" w:hAnsi="Times New Roman"/>
          <w:color w:val="000000"/>
          <w:spacing w:val="0"/>
          <w:sz w:val="28"/>
          <w:szCs w:val="28"/>
          <w:highlight w:val="none"/>
        </w:rPr>
        <w:t xml:space="preserve">намично развивающихся технологий лабораторной диагностики. Ежегодно на рынке появляется все больше тест-систем, предназначенных для выявления как возбудителей различных заболеваний, так и мутаций генов человека, животных и растений. Количество ПЦР-лаборатор</w:t>
      </w:r>
      <w:r>
        <w:rPr>
          <w:rFonts w:ascii="Times New Roman" w:hAnsi="Times New Roman"/>
          <w:color w:val="000000"/>
          <w:spacing w:val="0"/>
          <w:sz w:val="28"/>
          <w:szCs w:val="28"/>
          <w:highlight w:val="none"/>
        </w:rPr>
        <w:t xml:space="preserve">ий неуклонно увеличивается, а ПЦР-анализ становится все более востребованным среди специалистов и пациентов. Первоначально сам принцип метода полимеразной цепной реакции (ПЦР) был разработан Кэри Мюллисом в 1983г. Открытие ПЦР стало одним из наиболее выдающ</w:t>
      </w:r>
      <w:r>
        <w:rPr>
          <w:rFonts w:ascii="Times New Roman" w:hAnsi="Times New Roman"/>
          <w:color w:val="000000"/>
          <w:spacing w:val="0"/>
          <w:sz w:val="28"/>
          <w:szCs w:val="28"/>
          <w:highlight w:val="none"/>
        </w:rPr>
        <w:t xml:space="preserve">ихся событий в области молекулярной биологии за последние 20 лет, и за разработку ПЦР-анализа Кэрри Мюллис уже в 1993 г. был удостоен Нобелевской премии в области химии . Особое место метод ПЦР нашел в диагностике туберкулеза. Традиционные микробиологиче</w:t>
      </w:r>
      <w:r>
        <w:rPr>
          <w:rFonts w:ascii="Times New Roman" w:hAnsi="Times New Roman"/>
          <w:color w:val="000000"/>
          <w:spacing w:val="0"/>
          <w:sz w:val="28"/>
          <w:szCs w:val="28"/>
          <w:highlight w:val="none"/>
        </w:rPr>
        <w:t xml:space="preserve">ские методы выявления возбудителя не всегда позволяют подтвердить диагноз туберкулез. Метод люминесцентной бактериоскопии и посева на питательные среды обладают низкой чувствительностью и обнаруживают М.tuberculosis в среднем лишь у 50-60% больных активным </w:t>
      </w:r>
      <w:r>
        <w:rPr>
          <w:rFonts w:ascii="Times New Roman" w:hAnsi="Times New Roman"/>
          <w:color w:val="000000"/>
          <w:spacing w:val="0"/>
          <w:sz w:val="28"/>
          <w:szCs w:val="28"/>
          <w:highlight w:val="none"/>
        </w:rPr>
        <w:t xml:space="preserve">туберкулезом легких. В связи с этим внедрение в практику новых молекулярно-генетических методов исследования способствует проведению диагностики туберкулеза в максимально короткие сроки и с наибольшей чувствительностью.</w:t>
      </w:r>
      <w:r/>
      <w:r>
        <w:rPr>
          <w:rFonts w:ascii="Times New Roman" w:hAnsi="Times New Roman"/>
          <w:color w:val="000000"/>
          <w:spacing w:val="0"/>
          <w:sz w:val="28"/>
          <w:szCs w:val="28"/>
          <w:highlight w:val="none"/>
        </w:rPr>
      </w:r>
      <w:r/>
    </w:p>
    <w:p>
      <w:pPr>
        <w:pStyle w:val="614"/>
        <w:ind w:left="0" w:right="0" w:firstLine="0"/>
        <w:jc w:val="both"/>
        <w:spacing w:before="150" w:after="0"/>
        <w:widowControl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</w:r>
      <w:r>
        <w:rPr>
          <w:rFonts w:ascii="Times New Roman" w:hAnsi="Times New Roman"/>
          <w:color w:val="000000"/>
          <w:spacing w:val="0"/>
          <w:sz w:val="28"/>
          <w:szCs w:val="28"/>
        </w:rPr>
      </w:r>
    </w:p>
    <w:p>
      <w:pPr>
        <w:pStyle w:val="614"/>
        <w:ind w:left="0" w:right="0" w:firstLine="0"/>
        <w:jc w:val="both"/>
        <w:spacing w:before="150" w:after="0"/>
        <w:widowControl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</w:r>
      <w:r>
        <w:rPr>
          <w:rFonts w:ascii="Times New Roman" w:hAnsi="Times New Roman"/>
          <w:color w:val="000000"/>
          <w:spacing w:val="0"/>
          <w:sz w:val="28"/>
          <w:szCs w:val="28"/>
        </w:rPr>
      </w:r>
    </w:p>
    <w:p>
      <w:pPr>
        <w:pStyle w:val="614"/>
        <w:ind w:left="0" w:right="0" w:firstLine="0"/>
        <w:jc w:val="both"/>
        <w:spacing w:before="150" w:after="0"/>
        <w:widowControl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</w:r>
      <w:r>
        <w:rPr>
          <w:rFonts w:ascii="Times New Roman" w:hAnsi="Times New Roman"/>
          <w:color w:val="000000"/>
          <w:spacing w:val="0"/>
          <w:sz w:val="28"/>
          <w:szCs w:val="28"/>
        </w:rPr>
      </w:r>
    </w:p>
    <w:p>
      <w:pPr>
        <w:pStyle w:val="614"/>
        <w:ind w:left="0" w:right="0" w:firstLine="0"/>
        <w:jc w:val="both"/>
        <w:spacing w:before="150" w:after="0"/>
        <w:widowControl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</w:r>
      <w:r>
        <w:rPr>
          <w:rFonts w:ascii="Times New Roman" w:hAnsi="Times New Roman"/>
          <w:color w:val="000000"/>
          <w:spacing w:val="0"/>
          <w:sz w:val="28"/>
          <w:szCs w:val="28"/>
        </w:rPr>
      </w:r>
    </w:p>
    <w:p>
      <w:pPr>
        <w:pStyle w:val="614"/>
        <w:ind w:left="0" w:right="0" w:firstLine="0"/>
        <w:jc w:val="both"/>
        <w:spacing w:before="150" w:after="0"/>
        <w:widowControl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</w:r>
      <w:r>
        <w:rPr>
          <w:rFonts w:ascii="Times New Roman" w:hAnsi="Times New Roman"/>
          <w:color w:val="000000"/>
          <w:spacing w:val="0"/>
          <w:sz w:val="28"/>
          <w:szCs w:val="28"/>
        </w:rPr>
      </w:r>
    </w:p>
    <w:p>
      <w:pPr>
        <w:pStyle w:val="614"/>
        <w:ind w:left="0" w:right="0" w:firstLine="0"/>
        <w:jc w:val="both"/>
        <w:spacing w:before="150" w:after="0"/>
        <w:widowControl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</w:r>
      <w:r>
        <w:rPr>
          <w:rFonts w:ascii="Times New Roman" w:hAnsi="Times New Roman"/>
          <w:color w:val="000000"/>
          <w:spacing w:val="0"/>
          <w:sz w:val="28"/>
          <w:szCs w:val="28"/>
        </w:rPr>
      </w:r>
    </w:p>
    <w:p>
      <w:pPr>
        <w:pStyle w:val="614"/>
        <w:ind w:left="0" w:right="0" w:firstLine="0"/>
        <w:jc w:val="both"/>
        <w:spacing w:before="150" w:after="0"/>
        <w:widowControl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</w:r>
      <w:r>
        <w:rPr>
          <w:rFonts w:ascii="Times New Roman" w:hAnsi="Times New Roman"/>
          <w:color w:val="000000"/>
          <w:spacing w:val="0"/>
          <w:sz w:val="28"/>
          <w:szCs w:val="28"/>
        </w:rPr>
      </w:r>
    </w:p>
    <w:p>
      <w:pPr>
        <w:pStyle w:val="614"/>
        <w:ind w:left="0" w:right="0" w:firstLine="0"/>
        <w:jc w:val="both"/>
        <w:spacing w:before="150" w:after="0"/>
        <w:widowControl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</w:r>
      <w:r>
        <w:rPr>
          <w:rFonts w:ascii="Times New Roman" w:hAnsi="Times New Roman"/>
          <w:color w:val="000000"/>
          <w:spacing w:val="0"/>
          <w:sz w:val="28"/>
          <w:szCs w:val="28"/>
        </w:rPr>
      </w:r>
    </w:p>
    <w:p>
      <w:pPr>
        <w:pStyle w:val="614"/>
        <w:ind w:left="0" w:right="0" w:firstLine="0"/>
        <w:jc w:val="both"/>
        <w:spacing w:before="150" w:after="0"/>
        <w:widowControl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pacing w:val="0"/>
          <w:sz w:val="28"/>
          <w:szCs w:val="28"/>
          <w:highlight w:val="none"/>
        </w:rPr>
      </w:r>
    </w:p>
    <w:p>
      <w:pPr>
        <w:pStyle w:val="614"/>
        <w:ind w:left="0" w:right="0" w:firstLine="0"/>
        <w:jc w:val="center"/>
        <w:spacing w:before="150" w:after="0"/>
        <w:widowControl/>
        <w:rPr>
          <w:rFonts w:ascii="Times New Roman" w:hAnsi="Times New Roman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color w:val="000000"/>
          <w:spacing w:val="0"/>
          <w:sz w:val="36"/>
          <w:szCs w:val="36"/>
        </w:rPr>
      </w:r>
      <w:r>
        <w:rPr>
          <w:rFonts w:ascii="Times New Roman" w:hAnsi="Times New Roman"/>
          <w:color w:val="000000"/>
          <w:spacing w:val="0"/>
          <w:sz w:val="36"/>
          <w:szCs w:val="36"/>
        </w:rPr>
        <w:t xml:space="preserve">Основы проведения метода ПЦР</w:t>
      </w:r>
      <w:r>
        <w:rPr>
          <w:rFonts w:ascii="Times New Roman" w:hAnsi="Times New Roman"/>
          <w:color w:val="000000"/>
          <w:spacing w:val="0"/>
          <w:sz w:val="36"/>
          <w:szCs w:val="36"/>
        </w:rPr>
      </w:r>
      <w:r/>
    </w:p>
    <w:p>
      <w:pPr>
        <w:pStyle w:val="614"/>
        <w:ind w:left="0" w:right="0" w:firstLine="0"/>
        <w:jc w:val="both"/>
        <w:spacing w:before="150" w:after="0"/>
        <w:widowControl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</w:r>
      <w:r/>
    </w:p>
    <w:p>
      <w:pPr>
        <w:pStyle w:val="61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Любой метод ДНК-диагностики основан на специфической гибридизации двух нитей ДНК, комплементарных (структурно дополняющих) одна другой. Примерной (хотя и весьма приблизительной) аналогией может служить серологическая реакция, основанная на специфической реа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кции белка-антитела с соответствующим антигеном. Специфичность связывания нитей в спирали ДНК основана на связях А-Т и Г-Ц. Праймеры комплементарны искомым участкам ДНК, и поэтому они способны связываться с конкретными участками гена. Достройка нитей ДНК, н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ачиная с добавленных праймеров, требует наличия в реакционной смеси пурин-и пиримидинтрифосфатов (АТФ, ТТФ, ГТФ и ЦТФ), а также присутствия ДНК-полимеразы, которая соединяет их в цепочку согласно последовательности второй нити ДНК</w:t>
      </w:r>
      <w:r>
        <w:rPr>
          <w:rFonts w:ascii="Times New Roman" w:hAnsi="Times New Roman"/>
          <w:sz w:val="28"/>
          <w:szCs w:val="28"/>
        </w:rPr>
        <w:br/>
        <w:br/>
        <w:t xml:space="preserve">                                        </w:t>
      </w:r>
      <w:r>
        <w:rPr>
          <w:b/>
          <w:bCs/>
        </w:rPr>
      </w:r>
    </w:p>
    <w:p>
      <w:pPr>
        <w:pStyle w:val="614"/>
        <w:jc w:val="center"/>
        <w:rPr>
          <w:sz w:val="32"/>
          <w:szCs w:val="32"/>
          <w:highlight w:val="none"/>
        </w:rPr>
      </w:pPr>
      <w:r>
        <w:rPr>
          <w:sz w:val="32"/>
          <w:szCs w:val="32"/>
        </w:rPr>
      </w:r>
      <w:r>
        <w:rPr>
          <w:sz w:val="32"/>
          <w:szCs w:val="32"/>
        </w:rPr>
        <w:t xml:space="preserve">Осуществление рутинных методик ПЦР</w:t>
      </w:r>
      <w:r>
        <w:rPr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Исследуемым материалом для ПЦР могут служить соскобы эпителиальных клеток, кровь, плазма, сыворотка, плевральная и спинномозговая жидкости, околоплодная, суставная жидкость, бронхоальвеолярный лаваж, сок простаты, слюна, моча, мокрота, слизь и другие биолог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ические выделения, биоптаты.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Забор материала производится в условиях процедурного кабинета соответствующего профиля. После забора пробы как можно скорее должны быть доставлены в ПЦР-диагностическую лабораторию.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Забор образцов необходимо производить при помощи стерильного, желательно одноразового, инструментария только в одноразовые стерильные пластиковые пробирки или в стеклянные пробирки, предварительно обработанные в течение часа хромовой смесью, тщательно промы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тые дистиллированной водой и прокаленные в сушильном шкафу при температуре 150 °С в течение 1 часа.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1. Выделение ДНК из клинического образца производится любым способом. Основное требование - достаточно стандартный выход продукта и интактность, сохранение двухнитевой структуры.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Проведению ПЦР предшествует стадия выделения и преципитации ДНК из исследуемого материала. Это обеспечивает концентрирование обнаруживаемой ДНК инфекционного агента в минимальном объеме жидкости, используемой в ПЦР. В случаях, когда не требуется достижения 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высокой чувствительности анализа, например, при идентификации МБТ после первичного культивирования, достаточна их обработка, позволяющая лишь разрушить микробную стенку: нагревание в лизирующем буфере, ультразвуковая обработка или использование ферментов (л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изоцим) без последующего выделения ДНК.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При отсутствии в пробе ингибиторов Taq-полимеразы (гемоглобина или других) и наличия десятка копий ДНК-матрицы в объеме, вносимом в пробирку со смесью всех реагентов ПЦР, подготовка пробы может быть полностью исключена. Например, вирус гепатита В в сыворотк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е крови и многие возбудители инфекционных менингитов в спинномозговой жидкости можно детектировать методом ПЦР без всякой подготовки, без предварительного выделения из них ДНК. В большинстве случаев из исследуемой пробы крови, сыворотки, лейкоцитов, биоптат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ов, мочи, мокроты для исключения ложноотрицательного результата следует выделить ДНК тем или иным способом [1]. Благодаря этому происходит концентрирование исследуемой ДНК-матрицы в малом объеме и удаление ингибиторов Taq-полимеразы.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В настоящее время используется несколько способов подготовки образца для проведения ПЦР. Процедура подготовки пробы включает лизис микроорганизма и экстракцию нуклеиновой кислоты. С целью разрушения клетки используют простое кипячение, замораживание-оттаива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ние в присутствии лизоцима, а также специальные лизирующие буферы, содержащие детергенты и протеиназу. Выбор метода диктуется природой микроорганизма, а точнее - природой его клеточной стенки.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Для экстракции ДНК используют два основных метода. Во-первых, применяют классическую процедуру фенольно-хлороформной экстракции. При этом достигается хорошая очистка ДНК и, в первую очередь, от ингибиторов Taq-полимеразы, но неизбежны большие потери нуклеин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овой кислоты, особенно заметные при работе с образцами небольшого объема с низкой концентрацией инфекционного агента. Другой способ, применяемый для очистки нуклеиновой кислоты, основан на использовании сорбентов. Подготовка материала с его использованием з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анимает меньше времени и более проста в исполнении, хотя не всегда может быть применена, так как не гарантирует удаление возможных ингибиторов.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2. Амплификация. Полимеразная цепная реакция ДНК проводится в специальном приборе (термоциклере или амплификаторе), который, согласно введенной программе, изменяет температуру в рабочих ячейках, держит ее в течение заданного времени и переходит к следующему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 этапу.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Каждый цикл ПЦР обычно состоит из трех температурных режимов.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а) Нагрев до 95 °С в течение 30-40 сек. При этом выделенные молекулы ДНК подвергаются денатурации, т. е. происходит разделение ДНК на две нити. полимеразный туберкулез микобактерия легкие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б) Охлаждение до оптимальной температуры (обычно 48-66 °С). При этом разделенные нити ДНК могут обратно воссоединиться по комплементарным участкам. Однако, при наличии в образце целевых участков ДНК, синтетические ДНК-зонды (праймеры, длиной 15-30 п.н.) спе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цифически связываются (гибридизуются) с комплементарными участками ДНК, например хламидии или герпесвируса. Тем самым ограничиваются искомые участки генов, определяя точки начала и окончания предполагаемого продукта ПЦР. Время отжига 20-60 сек.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в) После завершения гибридизации праймеров с искомыми участками ДНК, температуру смеси повышают до 72 °С. Эта температура оптимальна для фермента Таq ДНК-полимеразы, которая начинает быстро достраивать одну и другую цепочку ПЦР-продукта, начиная с места фик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сации, соответственно, одного и второго ДНК-зонда. Этот процесс называется элонгацией (т. е. удлинением) ПЦР-продукта, сами же продукты ПЦР именуют ампликонами. Время протекания синтеза - 20-40 сек.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При первом цикле ПЦР получается некоторое число ампликонов различной длины, которые служат субстратом во втором цикле реакции, где количество специфических продуктов удваивается еще раз. В каждом из последующих циклов (всего до 35-40) происходит двукратное 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возрастание числа целевых продуктов ПЦР-ампликонов.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Специфичность ПЦР и количество амплифицируемой ДНК, которое определяет чувствительность, могут значительно варьировать в зависимости от концентрации и качества 5 основных компонентов реакционной смеси (ДНК-матрицы, Taq-полимеразы, праймеров, дезоксинуклеози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дтрифосфатов (dNTP) и ионов Mg) и температурного режима ПЦР.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Даже при оптимальных концентрациях фермента, ионов Mg, праймеров и dNTP специфичность и чувствительность ПЦР очень сильно зависит от температуры отжига праймеров (2-я стадия цикла ПЦР): неспецифичность ПЦР-амплификации повышается при снижении температуры от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жига ниже оптимальной и при повышении концентраций праймеров и dNTP выше оптимальных, а при повышении температуры отжига выше оптимальной снижается выход специфической амплифицируемой ДНК вплоть до ее полного исчезновения.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. Детекция.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Способы учета результатов ПЦР: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Качественная оценка (электрофоретический метод)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Во многих случаях при ПЦР-диагностике достаточно получить ответ "да" или "нет", как, например, при первичном выявлении инфекционных возбудителей, судебно-медицинских исследованиях, определении генных мутаций, специфических онкогенов и др. Обычным способом р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азделения продуктов ПЦР и идентификации специфического гена является электрофорез в агарозном или (реже) полиакриламидном геле. Методики электрофоретического разделения достаточно стандартизированы и дают вполне воспроизводимые результаты. Результат должен 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быть безусловно отрицательным в контроле без изучаемой ДНК и положительным - в пробе с ДНК, содержащей искомый участок гена. Положительный контроль может представлять собой целевую ДНК или участок гена, клонированный в плазмиде или амплифицированный с помощ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ью ПЦР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Для учета результатов качественной ПЦР может быть использован и метод флуоресцентной детекции. Для этого по окончании ПЦР определяют наличие или отсутствие специфического сигнала с помощью специальных флуориметров (так называемый flash-метод). Поскольку зде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сь нет необходимости и в электрофоретическом оборудовании, то очевидна существенная экономия рабочих зон и реагентов для лаборатории.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Методы учета результатов ПЦР без применения электрофореза наиболее уместны и выгодны для многопрофильных лабораторий, где ПЦР-методы составляют лишь некоторую часть общего производственного процесса.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В таких крупных лабораториях часто определяется лишь ограниченный круг наиболее востребованных микроорганизмов. На медицинских рынках предлагается целый ряд flash-наборов для диагностики заболеваний, передающихся половым путем, и ряда вирусных инфекций. Это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т ассортимент патогенов вполне достаточен для многих больничных лабораторий, и они могут с начала своей деятельности сделать акцент на подобных методах анализа.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Количественная оценка результатов ПЦР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В ряде клинических ситуаций возникает вопрос о динамике патологического процесса и/или эффективности проводимой терапии. Эти вопросы наиболее актуальны при обследовании пациентов с хроническими инфекциями (гепатиты В и С, МБТ, вирус иммунодефицита человека 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и др.). При диагностике исходят из того, что накопление продуктов ПЦР (ампликонов) пропорционально содержанию копий искомого гена в исследуемой пробе.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Естественно, учет результатов количественной ПЦР можно проводить и с помощью гель-электрофореза с анализом интенсивности специфических сигналов ПЦР. Обязательным условием правильной количественной оценки результатов ПЦР являются надежные положительные контр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ольные пробы с известным содержанием копий искомого гена (например, 1000 копий гена МБТ на одну ПЦР-реакцию). Ряд последовательных разведений количественного контроля дает возможность построить калибровочные кривые, по которым можно оценивать содержание ген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окопий в клинических образцах 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Ключевым достижением в проведении количественной ПЦР стала разработка флуоресцентных ДНК-зондов, которые добавляются в реакционную смесь наряду с "обычными" праимерами и дают возможность отслеживания хода ПЦР во времени (так называемая real-timе-ПЦР), котор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ая в 1993-1994 гг. была внедрена в соответствующих приборах и диагностических системах (принцип ТаqМаn). Существует еще несколько методов конструирования ДНК-зондов для количественной ПЦР.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Методология ТаqМаn предусматривает синтез флуоресцентных ДНК-зондов, специфичных к средней части ампликона (между праймерами) и имеющих на концах две метки. Одна из них - флуоресцентная молекула, другая - молекула-гаситель этой флуоресценции. Таq-полимераза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 в ходе ПЦР не только достраивает нуклеотидную цепочку, но и разрушает связанный флуоресцентный зонд. При этом флуоресцирующая метка выходит в свободное состояние, освобождаясь от влияния гасителя. Поэтому интенсивность флуоресценции по мере амплификации пр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одуктов ПЦР возрастает пропорционально числу ампликонов и, соответственно, числу копий исходной ДНК. Специальный прибор, являющийся гибридом термоблока-амплификатора и флуориметра, осуществляет регулярные замеры флуоресценции в каждой пробирке (принцип real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-time-ПЦР). В результате после 20-40 циклов ПЦР для каждого образца получают индивидуальные кривые. По калибровочным кривым с контрольными образцами возможно вычислить, сколько копий искомого гена содержится в изучаемом образце.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Важная особенность проведения ПЦР флуоресцентным методом состоит в том, что пробирки с ПЦР-смесью не нужно открывать при учете результатов. Благодаря этому уменьшается вероятность загрязнения помещений продуктами амплификации и отпадает необходимость в выде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лении специальных рабочих зон для проведения электрофореза.</w:t>
      </w:r>
      <w:r>
        <w:rPr>
          <w:rFonts w:ascii="Times New Roman" w:hAnsi="Times New Roman"/>
          <w:color w:val="000000"/>
          <w:spacing w:val="0"/>
          <w:sz w:val="28"/>
          <w:szCs w:val="28"/>
        </w:rPr>
      </w:r>
      <w:r/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color w:val="000000"/>
          <w:spacing w:val="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pacing w:val="0"/>
          <w:sz w:val="28"/>
          <w:szCs w:val="28"/>
          <w:highlight w:val="none"/>
        </w:rPr>
      </w:r>
    </w:p>
    <w:p>
      <w:pPr>
        <w:pStyle w:val="614"/>
        <w:jc w:val="center"/>
      </w:pPr>
      <w:r>
        <w:rPr>
          <w:rFonts w:ascii="Times New Roman" w:hAnsi="Times New Roman"/>
          <w:color w:val="000000"/>
          <w:spacing w:val="0"/>
          <w:sz w:val="36"/>
          <w:szCs w:val="36"/>
        </w:rPr>
        <w:t xml:space="preserve">ПЦР диагностика туберкулеза легких</w:t>
      </w:r>
      <w:r>
        <w:rPr>
          <w:rFonts w:ascii="Times New Roman" w:hAnsi="Times New Roman"/>
          <w:color w:val="000000"/>
          <w:spacing w:val="0"/>
          <w:sz w:val="36"/>
          <w:szCs w:val="36"/>
        </w:rPr>
      </w:r>
      <w:r/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36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Особенности метода</w:t>
      </w:r>
      <w:r/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36"/>
        </w:rPr>
      </w:pP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Высокая специфичность</w:t>
      </w:r>
      <w:r/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36"/>
        </w:rPr>
      </w:pP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Высокая специфичность метода ПЦР обусловлена тем, что в исследуемом материале выявляется уникальный, характерный только для данного возбудителя фрагмент ДНК. Специфичность задается нуклеотидной последовательностью праймеров, что исключает возможность получе</w:t>
      </w: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ния ложных результатов в отличие от метода иммуноферментного анализа, где нередки ошибки в связи с перекрестно-реагирующими антигенами. ПЦР аналогична росту бактерий на искусственных питательных средах (процессу биологической амплификации), при которой одна</w:t>
      </w: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 микробная клетка, образуя видимую колонию, амплифицируется в 105-106 раз, давая возможность определить свойства бактерии, манипулируя уже с целой колонией. Как и питательные среды, которые могут быть селективными, поддерживающими рост только одного микроор</w:t>
      </w: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ганизма, или обогатительными, дающими возможность размножаться широкому кругу микроорганизмов, так и праймеры, определяющие специфичность ПЦР, могут быть строго видоспецифичными или с их помощью можно выявить целые рода или семейства микроорганизмов.</w:t>
      </w:r>
      <w:r/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36"/>
        </w:rPr>
      </w:pP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Высокая чувствительность.</w:t>
      </w:r>
      <w:r/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36"/>
        </w:rPr>
      </w:pP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Метод ПЦР обладает высокой чувствительностью, дающей возможность обнаружить единичные бактериальные клетки. Но это преимущество ПЦР уместно рассматривать при сравнении с другими молекулярно-генетическими или иммунологическими методами диагностики. Использов</w:t>
      </w: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ание ПЦР позволяет определять инфекционный агент непосредственно в биологическом материале с исключительно высокой чувствительностью - порядка 1-10 микроорганизмов при высокой специфичности, обеспечиваемой последовательностью нуклеотидов синтезируемого фраг</w:t>
      </w: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мента ДНК.</w:t>
      </w:r>
      <w:r/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36"/>
        </w:rPr>
      </w:pP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Однако высочайшая чувствительность ПЦР обычно достигается при работе с чистой культурой микроорганизма или, что еще лучше, с очищенной нуклеиновой кислотой. Эта чувствительность автоматически не трансформируется в чувствительность метода при работе с клинич</w:t>
      </w: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еским материалом. На успех определения при работе с этим материалам влияют такие факторы, как методика приготовления образца, возможное присутствие ингибитора фермента, осуществляющего амплификацию, объем образца при низких концентрациях тестируемых молекул</w:t>
      </w: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.</w:t>
      </w:r>
      <w:r/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28"/>
          <w:szCs w:val="36"/>
        </w:rPr>
      </w:pP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Высокая скорость получения результата анализа</w:t>
      </w:r>
      <w:r/>
    </w:p>
    <w:p>
      <w:pPr>
        <w:pStyle w:val="6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Для проведения ПЦР-анализа не требуется выделение и выращивание культуры возбудителя, занимающее большое количество времени. Унифицированный метод обработки материала и детекции продуктов реакции, автоматизация процесса амплификации дают возможность провест</w:t>
      </w: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и полный анализ за 4-4,5 часа. Этим он выгодно отличается от других лабораторных методов, которые дают замедленные результаты</w:t>
      </w:r>
      <w:r/>
      <w:r>
        <w:rPr>
          <w:rFonts w:ascii="Times New Roman" w:hAnsi="Times New Roman"/>
          <w:color w:val="000000"/>
          <w:spacing w:val="0"/>
          <w:sz w:val="28"/>
          <w:szCs w:val="36"/>
        </w:rPr>
      </w:r>
      <w:r/>
      <w:r/>
    </w:p>
    <w:p>
      <w:pPr>
        <w:pStyle w:val="614"/>
        <w:jc w:val="center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  <w:t xml:space="preserve">Забор материала</w:t>
      </w:r>
      <w:r>
        <w:rPr>
          <w:sz w:val="36"/>
          <w:szCs w:val="36"/>
        </w:rPr>
      </w:r>
    </w:p>
    <w:p>
      <w:pPr>
        <w:pStyle w:val="614"/>
        <w:jc w:val="both"/>
      </w:pPr>
      <w:r/>
      <w:r/>
    </w:p>
    <w:p>
      <w:pPr>
        <w:pStyle w:val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Забор материала осуществляют в количестве не менее 0,5 мл в одноразовые градуированные стерильные флаконы (пробирки) с широким горлом и завинчивающимися крышками объемом не менее 50 мл. Для предотвращения попадания пищи в мокроту, перед сбором мокроты нужно</w:t>
      </w:r>
      <w:r>
        <w:rPr>
          <w:sz w:val="28"/>
          <w:szCs w:val="28"/>
        </w:rPr>
        <w:t xml:space="preserve"> прополоскать рот.</w:t>
      </w:r>
      <w:r>
        <w:rPr>
          <w:sz w:val="28"/>
          <w:szCs w:val="28"/>
        </w:rPr>
      </w:r>
    </w:p>
    <w:p>
      <w:pPr>
        <w:pStyle w:val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Мокроту желательно собирать до приема пищи. Собирают мокроту, отделяющуюся при кашле, а не при отхаркивании.</w:t>
      </w:r>
      <w:r>
        <w:rPr>
          <w:sz w:val="28"/>
          <w:szCs w:val="28"/>
        </w:rPr>
      </w:r>
    </w:p>
    <w:p>
      <w:pPr>
        <w:pStyle w:val="614"/>
        <w:jc w:val="both"/>
      </w:pPr>
      <w:r/>
      <w:r/>
    </w:p>
    <w:p>
      <w:pPr>
        <w:pStyle w:val="614"/>
        <w:jc w:val="center"/>
        <w:rPr>
          <w:sz w:val="36"/>
          <w:szCs w:val="36"/>
        </w:rPr>
      </w:pPr>
      <w:r>
        <w:rPr>
          <w:sz w:val="36"/>
          <w:szCs w:val="36"/>
          <w:highlight w:val="none"/>
        </w:rPr>
      </w:r>
      <w:r>
        <w:rPr>
          <w:sz w:val="36"/>
          <w:szCs w:val="36"/>
          <w:highlight w:val="none"/>
        </w:rPr>
      </w:r>
    </w:p>
    <w:p>
      <w:pPr>
        <w:pStyle w:val="614"/>
        <w:jc w:val="center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</w:r>
      <w:r>
        <w:rPr>
          <w:sz w:val="36"/>
          <w:szCs w:val="36"/>
          <w:highlight w:val="none"/>
        </w:rPr>
      </w:r>
    </w:p>
    <w:p>
      <w:pPr>
        <w:pStyle w:val="614"/>
        <w:jc w:val="center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</w:r>
      <w:r>
        <w:rPr>
          <w:sz w:val="36"/>
          <w:szCs w:val="36"/>
          <w:highlight w:val="none"/>
        </w:rPr>
      </w:r>
    </w:p>
    <w:p>
      <w:pPr>
        <w:pStyle w:val="614"/>
        <w:jc w:val="center"/>
        <w:rPr>
          <w:sz w:val="36"/>
          <w:szCs w:val="36"/>
          <w:highlight w:val="none"/>
        </w:rPr>
      </w:pPr>
      <w:r>
        <w:rPr>
          <w:sz w:val="36"/>
          <w:szCs w:val="36"/>
        </w:rPr>
        <w:t xml:space="preserve">Предобработка проб</w:t>
      </w:r>
      <w:r>
        <w:rPr>
          <w:sz w:val="36"/>
          <w:szCs w:val="36"/>
        </w:rPr>
      </w:r>
    </w:p>
    <w:p>
      <w:pPr>
        <w:pStyle w:val="614"/>
        <w:jc w:val="both"/>
      </w:pPr>
      <w:r/>
      <w:r/>
    </w:p>
    <w:p>
      <w:pPr>
        <w:pStyle w:val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выделением нуклеиновых кислот необходимо провести разжижение мокроты, используя раствор «Муколизин». В емкость с мокротой добавляют «Муколизин» в соотношении 5:1 (5 частей «Муколизина» к 1 части мокроты), ориентируясь по градуировке емкости. В процесс</w:t>
      </w:r>
      <w:r>
        <w:rPr>
          <w:sz w:val="28"/>
          <w:szCs w:val="28"/>
        </w:rPr>
        <w:t xml:space="preserve">е разжижения мокроты (20-30 мин) емкость периодически встряхивают. Затем автоматической пипеткой, используя наконечник с фильтром, отбирают 1 мл разжиженной мокроты, помещают в пробирку с завинчивающейся крышкой или в микроцентрифужную пробирку с защелкой н</w:t>
      </w:r>
      <w:r>
        <w:rPr>
          <w:sz w:val="28"/>
          <w:szCs w:val="28"/>
        </w:rPr>
        <w:t xml:space="preserve">а 1,5 мл и центрифугируют при 5-7 тыс. g (8-10 тыс об./мин. на центрифуге) в течение 10 мин. В случае исследования на бактериальные агенты полностью удаляют надосадочную жидкость с помощью вакуумного отсасывателя с колбой-ловушкой, осадок ресуспендируют в P</w:t>
      </w:r>
      <w:r>
        <w:rPr>
          <w:sz w:val="28"/>
          <w:szCs w:val="28"/>
        </w:rPr>
        <w:t xml:space="preserve">BS-буфере, доведя общий объем пробы до 0,1 мл.</w:t>
      </w:r>
      <w:r>
        <w:rPr>
          <w:sz w:val="28"/>
          <w:szCs w:val="28"/>
        </w:rPr>
      </w:r>
    </w:p>
    <w:p>
      <w:pPr>
        <w:pStyle w:val="614"/>
        <w:jc w:val="both"/>
      </w:pPr>
      <w:r/>
      <w:r/>
    </w:p>
    <w:p>
      <w:pPr>
        <w:pStyle w:val="61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Условия хранения материала и предварительно обработанных проб</w:t>
      </w:r>
      <w:r>
        <w:rPr>
          <w:sz w:val="36"/>
          <w:szCs w:val="36"/>
        </w:rPr>
      </w:r>
    </w:p>
    <w:p>
      <w:pPr>
        <w:pStyle w:val="614"/>
        <w:jc w:val="both"/>
      </w:pPr>
      <w:r/>
      <w:r/>
    </w:p>
    <w:p>
      <w:pPr>
        <w:pStyle w:val="61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• при температуре 2-8°С - в течение 1 суток;</w:t>
      </w:r>
      <w:r>
        <w:rPr>
          <w:sz w:val="28"/>
          <w:szCs w:val="28"/>
        </w:rPr>
      </w:r>
    </w:p>
    <w:p>
      <w:pPr>
        <w:pStyle w:val="61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• при температуре минус 20°С - в течение 1 недели;</w:t>
      </w:r>
      <w:r>
        <w:rPr>
          <w:sz w:val="28"/>
          <w:szCs w:val="28"/>
        </w:rPr>
      </w:r>
    </w:p>
    <w:p>
      <w:pPr>
        <w:pStyle w:val="61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• при температуре минус 70°С - длительно.</w:t>
      </w:r>
      <w:r>
        <w:rPr>
          <w:sz w:val="28"/>
          <w:szCs w:val="28"/>
        </w:rPr>
      </w:r>
    </w:p>
    <w:p>
      <w:pPr>
        <w:pStyle w:val="614"/>
        <w:jc w:val="left"/>
      </w:pPr>
      <w:r>
        <w:rPr>
          <w:sz w:val="28"/>
          <w:szCs w:val="28"/>
        </w:rPr>
        <w:t xml:space="preserve">Допускается только однократное замораживание-оттаивание материала.</w:t>
      </w:r>
      <w:r/>
    </w:p>
    <w:p>
      <w:pPr>
        <w:pStyle w:val="614"/>
        <w:jc w:val="both"/>
      </w:pPr>
      <w:r/>
      <w:r/>
    </w:p>
    <w:p>
      <w:pPr>
        <w:pStyle w:val="61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Условия транспортирования материала</w:t>
      </w:r>
      <w:r>
        <w:rPr>
          <w:sz w:val="36"/>
          <w:szCs w:val="36"/>
        </w:rPr>
      </w:r>
    </w:p>
    <w:p>
      <w:pPr>
        <w:pStyle w:val="614"/>
        <w:jc w:val="both"/>
      </w:pPr>
      <w:r/>
      <w:r/>
    </w:p>
    <w:p>
      <w:pPr>
        <w:pStyle w:val="614"/>
        <w:jc w:val="both"/>
        <w:rPr>
          <w:sz w:val="28"/>
          <w:szCs w:val="28"/>
        </w:rPr>
      </w:pPr>
      <w:r>
        <w:t xml:space="preserve">Т</w:t>
      </w:r>
      <w:r>
        <w:rPr>
          <w:sz w:val="28"/>
          <w:szCs w:val="28"/>
        </w:rPr>
        <w:t xml:space="preserve">ранспортирование клинического материала осуществляют в специальном термоконтейнере с охлаждающими элементами или в термосе со льдом:</w:t>
      </w:r>
      <w:r>
        <w:rPr>
          <w:sz w:val="28"/>
          <w:szCs w:val="28"/>
        </w:rPr>
      </w:r>
    </w:p>
    <w:p>
      <w:pPr>
        <w:pStyle w:val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 температуре 2-8°С - в течение 6 часов;</w:t>
      </w:r>
      <w:r>
        <w:rPr>
          <w:sz w:val="28"/>
          <w:szCs w:val="28"/>
        </w:rPr>
      </w:r>
    </w:p>
    <w:p>
      <w:pPr>
        <w:pStyle w:val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замороженном виде - в течение 1 суток.</w:t>
      </w:r>
      <w:r>
        <w:rPr>
          <w:sz w:val="28"/>
          <w:szCs w:val="28"/>
        </w:rPr>
      </w:r>
    </w:p>
    <w:p>
      <w:pPr>
        <w:pStyle w:val="614"/>
        <w:jc w:val="both"/>
      </w:pPr>
      <w:r/>
      <w:r/>
    </w:p>
    <w:p>
      <w:pPr>
        <w:pStyle w:val="614"/>
        <w:jc w:val="center"/>
        <w:rPr>
          <w:sz w:val="36"/>
          <w:szCs w:val="36"/>
        </w:rPr>
      </w:pPr>
      <w:r>
        <w:rPr>
          <w:sz w:val="36"/>
          <w:szCs w:val="36"/>
          <w:highlight w:val="none"/>
        </w:rPr>
      </w:r>
      <w:r>
        <w:rPr>
          <w:sz w:val="36"/>
          <w:szCs w:val="36"/>
          <w:highlight w:val="none"/>
        </w:rPr>
      </w:r>
    </w:p>
    <w:p>
      <w:pPr>
        <w:pStyle w:val="614"/>
        <w:jc w:val="center"/>
        <w:rPr>
          <w:sz w:val="36"/>
          <w:szCs w:val="36"/>
          <w:highlight w:val="none"/>
        </w:rPr>
      </w:pPr>
      <w:r>
        <w:rPr>
          <w:sz w:val="36"/>
          <w:szCs w:val="36"/>
        </w:rPr>
        <w:t xml:space="preserve">Аналитический этап</w:t>
      </w:r>
      <w:r>
        <w:rPr>
          <w:sz w:val="36"/>
          <w:szCs w:val="36"/>
        </w:rPr>
      </w:r>
    </w:p>
    <w:p>
      <w:pPr>
        <w:pStyle w:val="614"/>
        <w:jc w:val="both"/>
      </w:pPr>
      <w:r/>
      <w:r/>
    </w:p>
    <w:p>
      <w:pPr>
        <w:pStyle w:val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ПЦР - диагностика туберкулеза как правило строится на использовании последовательностей ДНК специфичных для всех 4 видов группы туберкулеза. Часто для этих целей используют праймеры для выявления последовательностей IS-элементов, например, IS-986 или IS-611</w:t>
      </w:r>
      <w:r>
        <w:rPr>
          <w:sz w:val="28"/>
          <w:szCs w:val="28"/>
        </w:rPr>
        <w:t xml:space="preserve">0, поскольку данные мигрирующие элементы характерны только для видов микобактерий группы туберкулеза и присутствуют в геноме микобактерий в числе нескольких копий. Выделение ДНК из чистых культур и клинических образцов (мокроты больных) возможно осуществлят</w:t>
      </w:r>
      <w:r>
        <w:rPr>
          <w:sz w:val="28"/>
          <w:szCs w:val="28"/>
        </w:rPr>
        <w:t xml:space="preserve">ь любым приемлемым методом, например, методом Boom с использованием лизирующего буфера на основе гуанидина тиоционата и двуокиси кремния в качестве носителя ДНК.</w:t>
      </w:r>
      <w:r>
        <w:rPr>
          <w:sz w:val="28"/>
          <w:szCs w:val="28"/>
        </w:rPr>
      </w:r>
    </w:p>
    <w:p>
      <w:pPr>
        <w:pStyle w:val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примера праймеров для идентификации микобактерий группы туберкулеза можно привести праймеры, фланкирующие фрагмент размером 245 нп мигрирующего элемента IS-986, содержащегося в геноме M.tuberculosis в числе 2-8- копий. Последовательность праймеро</w:t>
      </w:r>
      <w:r>
        <w:rPr>
          <w:sz w:val="28"/>
          <w:szCs w:val="28"/>
        </w:rPr>
        <w:t xml:space="preserve">в:</w:t>
      </w:r>
      <w:r>
        <w:rPr>
          <w:sz w:val="28"/>
          <w:szCs w:val="28"/>
        </w:rPr>
      </w:r>
    </w:p>
    <w:p>
      <w:pPr>
        <w:pStyle w:val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INS1 5' - CGT GAG GGC ATC GAG GTG GC - 3'5' - GCG TAG GCG TCG GTG ACA AA - 3'</w:t>
      </w:r>
      <w:r>
        <w:rPr>
          <w:sz w:val="28"/>
          <w:szCs w:val="28"/>
        </w:rPr>
      </w:r>
    </w:p>
    <w:p>
      <w:pPr>
        <w:pStyle w:val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Амплифицированный фрагмент выявляют электрофорезом в 1,6 % агарозном геле.</w:t>
      </w:r>
      <w:r>
        <w:rPr>
          <w:sz w:val="28"/>
          <w:szCs w:val="28"/>
        </w:rPr>
      </w:r>
    </w:p>
    <w:p>
      <w:pPr>
        <w:pStyle w:val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пара праймеров была проверена на специфичность с использованием в качестве контроля 100 нг/проба ДНК близкородственных микроорганизмов; ДНК возбудителей легочных, заболеваний; ДНК микроорганизмов, входящих в нормальную микрофлору человека (например, </w:t>
      </w:r>
      <w:r>
        <w:rPr>
          <w:sz w:val="28"/>
          <w:szCs w:val="28"/>
        </w:rPr>
        <w:t xml:space="preserve">E.coli, S.aureus и др.); образцов ДНК человека.</w:t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Испытания данной пары праймеров с параллельным бактериоскопическим и культуральным обследоваванием были проведены на клинических образцах мокроты, полученных от больных с различными клиническими формами туберкулеза. Методом ПЦР возбудитель был выявлен у 90,</w:t>
      </w:r>
      <w:r>
        <w:rPr>
          <w:sz w:val="28"/>
          <w:szCs w:val="28"/>
        </w:rPr>
        <w:t xml:space="preserve">6% больных туберкулезом, в то время как значительно более длительными по времени микробиологическими методами микобактерии были выявлены только у 21 (39,6%) больного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36"/>
          <w:szCs w:val="36"/>
          <w:highlight w:val="none"/>
        </w:rPr>
      </w:r>
      <w:r>
        <w:rPr>
          <w:rFonts w:ascii="Times New Roman" w:hAnsi="Times New Roman"/>
          <w:color w:val="000000"/>
          <w:spacing w:val="0"/>
          <w:sz w:val="36"/>
          <w:szCs w:val="36"/>
          <w:highlight w:val="none"/>
        </w:rPr>
      </w:r>
    </w:p>
    <w:p>
      <w:pPr>
        <w:pStyle w:val="609"/>
        <w:jc w:val="left"/>
        <w:rPr>
          <w:rFonts w:ascii="Times New Roman" w:hAnsi="Times New Roman"/>
          <w:color w:val="000000"/>
          <w:spacing w:val="0"/>
          <w:sz w:val="28"/>
          <w:szCs w:val="36"/>
        </w:rPr>
      </w:pPr>
      <w:r/>
      <w:bookmarkStart w:id="0" w:name="Список_литературы"/>
      <w:r/>
      <w:bookmarkEnd w:id="0"/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Список литературы</w:t>
      </w:r>
      <w:r>
        <w:rPr>
          <w:rFonts w:ascii="Times New Roman" w:hAnsi="Times New Roman"/>
          <w:color w:val="000000"/>
          <w:spacing w:val="0"/>
          <w:sz w:val="36"/>
          <w:szCs w:val="36"/>
        </w:rPr>
        <w:br/>
        <w:br/>
      </w: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1. Методические рекомендации по проведению работ в диагностических лабораториях, использующих метод полимеразной цепной реакции от 22.06 1995.</w:t>
      </w:r>
      <w:r/>
    </w:p>
    <w:p>
      <w:pPr>
        <w:pStyle w:val="609"/>
        <w:jc w:val="left"/>
        <w:rPr>
          <w:rFonts w:ascii="Times New Roman" w:hAnsi="Times New Roman"/>
          <w:color w:val="000000"/>
          <w:spacing w:val="0"/>
          <w:sz w:val="28"/>
          <w:szCs w:val="36"/>
        </w:rPr>
      </w:pP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2. Щербо С.Н. ПЦР в клинической лабораторной диагностике: реальности и перспективы //Справочник заведующего КДЛ 2006. №10 с. 45-48</w:t>
      </w:r>
      <w:r/>
    </w:p>
    <w:p>
      <w:pPr>
        <w:pStyle w:val="609"/>
        <w:jc w:val="left"/>
        <w:rPr>
          <w:rFonts w:ascii="Times New Roman" w:hAnsi="Times New Roman"/>
          <w:color w:val="000000"/>
          <w:spacing w:val="0"/>
          <w:sz w:val="28"/>
          <w:szCs w:val="36"/>
        </w:rPr>
      </w:pP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3. Тарасенко И.М. Правила организации работы КДЛ с патогенными биологическими агентами // Справочник заведующего КДЛ 2007. №6 с.37-40.</w:t>
      </w:r>
      <w:r/>
    </w:p>
    <w:p>
      <w:pPr>
        <w:pStyle w:val="609"/>
        <w:jc w:val="left"/>
        <w:rPr>
          <w:rFonts w:ascii="Times New Roman" w:hAnsi="Times New Roman"/>
          <w:color w:val="000000"/>
          <w:spacing w:val="0"/>
          <w:sz w:val="28"/>
          <w:szCs w:val="36"/>
        </w:rPr>
      </w:pP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4. Херсонская А.М. Современные методы клинической диагностики: ПЦР в режиме реального времени // Справочник заведующего КДЛ 2007. №11 с.31-36</w:t>
      </w:r>
      <w:r/>
    </w:p>
    <w:p>
      <w:pPr>
        <w:pStyle w:val="609"/>
        <w:jc w:val="left"/>
        <w:rPr>
          <w:rFonts w:ascii="Times New Roman" w:hAnsi="Times New Roman"/>
          <w:color w:val="000000"/>
          <w:spacing w:val="0"/>
          <w:sz w:val="28"/>
          <w:szCs w:val="36"/>
        </w:rPr>
      </w:pP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5. Чухловин.А.Б. Метод ПЦР в клинической лабораторной диагностике // Справочник заведующего КДЛ. 2008. №4 с.46-50</w:t>
      </w:r>
      <w:r/>
    </w:p>
    <w:p>
      <w:pPr>
        <w:jc w:val="left"/>
        <w:rPr>
          <w:rFonts w:ascii="Times New Roman" w:hAnsi="Times New Roman"/>
          <w:color w:val="000000"/>
          <w:spacing w:val="0"/>
          <w:sz w:val="36"/>
          <w:szCs w:val="36"/>
          <w:highlight w:val="none"/>
        </w:rPr>
      </w:pPr>
      <w:r>
        <w:rPr>
          <w:rFonts w:ascii="Times New Roman" w:hAnsi="Times New Roman"/>
          <w:color w:val="000000"/>
          <w:spacing w:val="0"/>
          <w:sz w:val="28"/>
          <w:szCs w:val="36"/>
        </w:rPr>
        <w:t xml:space="preserve">6. Херсонская А.М., Амон Е.П. Типовые ошибки при диагностике методом ПЦР // Справочник заведующего КДЛ 2008. №5 с.30-36</w:t>
      </w:r>
      <w:r/>
      <w:r>
        <w:rPr>
          <w:rFonts w:ascii="Times New Roman" w:hAnsi="Times New Roman"/>
          <w:color w:val="000000"/>
          <w:spacing w:val="0"/>
          <w:sz w:val="28"/>
          <w:szCs w:val="36"/>
        </w:rPr>
      </w:r>
      <w:r>
        <w:rPr>
          <w:rFonts w:ascii="Times New Roman" w:hAnsi="Times New Roman"/>
          <w:color w:val="000000"/>
          <w:spacing w:val="0"/>
          <w:sz w:val="36"/>
          <w:szCs w:val="36"/>
        </w:rPr>
        <w:br/>
      </w:r>
      <w:r/>
      <w:r/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4"/>
        <w:jc w:val="both"/>
        <w:rPr>
          <w:rFonts w:ascii="Times New Roman" w:hAnsi="Times New Roman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4"/>
        <w:jc w:val="both"/>
        <w:spacing w:before="0" w:after="140"/>
        <w:rPr>
          <w:rFonts w:ascii="Times New Roman" w:hAnsi="Times New Roman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693" w:right="1134" w:bottom="1134" w:left="1134" w:header="1134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Liberation Mono">
    <w:panose1 w:val="02070409020205020404"/>
  </w:font>
  <w:font w:name="Times New Roman">
    <w:panose1 w:val="02020603050405020304"/>
  </w:font>
  <w:font w:name="Microsoft YaHei">
    <w:panose1 w:val="020F0502020204030204"/>
  </w:font>
  <w:font w:name="Arial">
    <w:panose1 w:val="020B0604020202020204"/>
  </w:font>
  <w:font w:name="NSimSun">
    <w:panose1 w:val="02020603020101020101"/>
  </w:font>
  <w:font w:name="Liberation Sans">
    <w:panose1 w:val="020B0604020202020204"/>
  </w:font>
  <w:font w:name="Lucida Sans">
    <w:panose1 w:val="020B0603030804020204"/>
  </w:font>
  <w:font w:name="Liberation Serif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0"/>
      <w:jc w:val="left"/>
      <w:suppressLineNumbers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10"/>
    <w:link w:val="610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10"/>
    <w:link w:val="611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9"/>
    <w:next w:val="60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9"/>
    <w:next w:val="60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9"/>
    <w:next w:val="60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9"/>
    <w:next w:val="60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9"/>
    <w:next w:val="60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9"/>
    <w:next w:val="60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9"/>
    <w:next w:val="60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9"/>
    <w:next w:val="60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9"/>
    <w:next w:val="60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9"/>
    <w:next w:val="60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9"/>
    <w:next w:val="60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10"/>
    <w:link w:val="620"/>
    <w:uiPriority w:val="99"/>
  </w:style>
  <w:style w:type="paragraph" w:styleId="43">
    <w:name w:val="Footer"/>
    <w:basedOn w:val="60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16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9"/>
    <w:next w:val="60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9"/>
    <w:next w:val="60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9"/>
    <w:next w:val="60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9"/>
    <w:next w:val="60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9"/>
    <w:next w:val="60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9"/>
    <w:next w:val="60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9"/>
    <w:next w:val="60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9"/>
    <w:next w:val="60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9"/>
    <w:next w:val="60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9"/>
    <w:next w:val="609"/>
    <w:uiPriority w:val="99"/>
    <w:unhideWhenUsed/>
    <w:pPr>
      <w:spacing w:after="0" w:afterAutospacing="0"/>
    </w:pPr>
  </w:style>
  <w:style w:type="paragraph" w:styleId="609" w:default="1">
    <w:name w:val="Normal"/>
    <w:qFormat/>
    <w:pPr>
      <w:widowControl w:val="off"/>
    </w:pPr>
    <w:rPr>
      <w:rFonts w:ascii="Liberation Serif" w:hAnsi="Liberation Serif" w:eastAsia="NSimSun" w:cs="Lucida Sans"/>
      <w:color w:val="auto"/>
      <w:sz w:val="24"/>
      <w:szCs w:val="24"/>
      <w:lang w:val="ru-RU" w:eastAsia="zh-CN" w:bidi="hi-IN"/>
    </w:rPr>
  </w:style>
  <w:style w:type="paragraph" w:styleId="610">
    <w:name w:val="Heading 1"/>
    <w:basedOn w:val="613"/>
    <w:next w:val="614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611">
    <w:name w:val="Heading 2"/>
    <w:basedOn w:val="613"/>
    <w:next w:val="6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612">
    <w:name w:val="Интернет-ссылка"/>
    <w:rPr>
      <w:color w:val="000080"/>
      <w:u w:val="single"/>
    </w:rPr>
  </w:style>
  <w:style w:type="paragraph" w:styleId="613">
    <w:name w:val="Заголовок"/>
    <w:basedOn w:val="609"/>
    <w:next w:val="61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614">
    <w:name w:val="Body Text"/>
    <w:basedOn w:val="609"/>
    <w:pPr>
      <w:spacing w:before="0" w:after="140" w:line="276" w:lineRule="auto"/>
    </w:pPr>
  </w:style>
  <w:style w:type="paragraph" w:styleId="615">
    <w:name w:val="List"/>
    <w:basedOn w:val="614"/>
    <w:rPr>
      <w:rFonts w:cs="Lucida Sans"/>
    </w:rPr>
  </w:style>
  <w:style w:type="paragraph" w:styleId="616">
    <w:name w:val="Caption"/>
    <w:basedOn w:val="609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617">
    <w:name w:val="Указатель"/>
    <w:basedOn w:val="609"/>
    <w:qFormat/>
    <w:pPr>
      <w:suppressLineNumbers/>
    </w:pPr>
    <w:rPr>
      <w:rFonts w:cs="Lucida Sans"/>
    </w:rPr>
  </w:style>
  <w:style w:type="paragraph" w:styleId="618">
    <w:name w:val="Текст в заданном формате"/>
    <w:basedOn w:val="609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619">
    <w:name w:val="Верхний и нижний колонтитулы"/>
    <w:basedOn w:val="60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20">
    <w:name w:val="Header"/>
    <w:basedOn w:val="619"/>
    <w:pPr>
      <w:suppressLineNumbers/>
    </w:pPr>
  </w:style>
  <w:style w:type="character" w:styleId="1214" w:default="1">
    <w:name w:val="Default Paragraph Font"/>
    <w:uiPriority w:val="1"/>
    <w:semiHidden/>
    <w:unhideWhenUsed/>
  </w:style>
  <w:style w:type="numbering" w:styleId="1215" w:default="1">
    <w:name w:val="No List"/>
    <w:uiPriority w:val="99"/>
    <w:semiHidden/>
    <w:unhideWhenUsed/>
  </w:style>
  <w:style w:type="table" w:styleId="121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пат анатом</cp:lastModifiedBy>
  <cp:revision>4</cp:revision>
  <dcterms:modified xsi:type="dcterms:W3CDTF">2022-10-30T12:07:05Z</dcterms:modified>
</cp:coreProperties>
</file>