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C" w:rsidRPr="00BD61B1" w:rsidRDefault="001543FC" w:rsidP="00C139C6">
      <w:pPr>
        <w:pStyle w:val="a3"/>
        <w:jc w:val="center"/>
        <w:rPr>
          <w:sz w:val="24"/>
          <w:szCs w:val="24"/>
        </w:rPr>
      </w:pPr>
      <w:r w:rsidRPr="00BD61B1"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BD61B1">
        <w:rPr>
          <w:sz w:val="24"/>
          <w:szCs w:val="24"/>
        </w:rPr>
        <w:t>Войно-Ясенецкого</w:t>
      </w:r>
      <w:proofErr w:type="spellEnd"/>
      <w:r w:rsidRPr="00BD61B1">
        <w:rPr>
          <w:sz w:val="24"/>
          <w:szCs w:val="24"/>
        </w:rPr>
        <w:t xml:space="preserve">» Министерства Российской Федерации </w:t>
      </w:r>
    </w:p>
    <w:p w:rsidR="009303B9" w:rsidRPr="00BD61B1" w:rsidRDefault="009303B9" w:rsidP="00C139C6">
      <w:pPr>
        <w:pStyle w:val="a5"/>
        <w:spacing w:after="0"/>
        <w:ind w:firstLine="709"/>
        <w:jc w:val="center"/>
      </w:pPr>
    </w:p>
    <w:p w:rsidR="001543FC" w:rsidRPr="00BD61B1" w:rsidRDefault="001543FC" w:rsidP="00C139C6">
      <w:pPr>
        <w:pStyle w:val="a5"/>
        <w:spacing w:after="0"/>
        <w:ind w:firstLine="709"/>
        <w:jc w:val="center"/>
      </w:pPr>
      <w:r w:rsidRPr="00BD61B1">
        <w:t xml:space="preserve">ГБОУ ВПО </w:t>
      </w:r>
      <w:proofErr w:type="spellStart"/>
      <w:r w:rsidRPr="00BD61B1">
        <w:t>КрасГМУ</w:t>
      </w:r>
      <w:proofErr w:type="spellEnd"/>
      <w:r w:rsidRPr="00BD61B1">
        <w:t xml:space="preserve"> им. проф. В.Ф. </w:t>
      </w:r>
      <w:proofErr w:type="spellStart"/>
      <w:r w:rsidRPr="00BD61B1">
        <w:t>Войно-Ясенецкого</w:t>
      </w:r>
      <w:proofErr w:type="spellEnd"/>
      <w:r w:rsidRPr="00BD61B1">
        <w:t xml:space="preserve"> Минздрава России</w:t>
      </w:r>
    </w:p>
    <w:p w:rsidR="001543FC" w:rsidRPr="00BD61B1" w:rsidRDefault="001543FC" w:rsidP="00C139C6">
      <w:pPr>
        <w:pStyle w:val="a5"/>
        <w:spacing w:after="0"/>
        <w:ind w:firstLine="709"/>
        <w:jc w:val="center"/>
      </w:pPr>
    </w:p>
    <w:p w:rsidR="001543FC" w:rsidRPr="00BD61B1" w:rsidRDefault="001543FC" w:rsidP="00C139C6">
      <w:pPr>
        <w:pStyle w:val="a5"/>
        <w:spacing w:after="0"/>
        <w:ind w:firstLine="709"/>
        <w:jc w:val="center"/>
      </w:pPr>
    </w:p>
    <w:p w:rsidR="001543FC" w:rsidRPr="00BD61B1" w:rsidRDefault="001543FC" w:rsidP="00C139C6">
      <w:pPr>
        <w:pStyle w:val="a5"/>
        <w:spacing w:after="0"/>
        <w:ind w:firstLine="709"/>
        <w:jc w:val="center"/>
        <w:rPr>
          <w:b/>
          <w:bCs/>
        </w:rPr>
      </w:pPr>
      <w:r w:rsidRPr="00BD61B1">
        <w:t xml:space="preserve">Кафедра </w:t>
      </w:r>
      <w:r w:rsidRPr="00BD61B1">
        <w:rPr>
          <w:shd w:val="clear" w:color="auto" w:fill="FFFFFF"/>
        </w:rPr>
        <w:t xml:space="preserve">нервных болезней с курсом медицинской реабилитации </w:t>
      </w:r>
      <w:proofErr w:type="gramStart"/>
      <w:r w:rsidRPr="00BD61B1">
        <w:rPr>
          <w:shd w:val="clear" w:color="auto" w:fill="FFFFFF"/>
        </w:rPr>
        <w:t>ПО</w:t>
      </w:r>
      <w:proofErr w:type="gramEnd"/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3B9" w:rsidRPr="00BD61B1" w:rsidRDefault="009303B9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3B9" w:rsidRPr="00BD61B1" w:rsidRDefault="009303B9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FC" w:rsidRPr="00BD61B1" w:rsidRDefault="00002B3E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</w:t>
      </w:r>
      <w:bookmarkStart w:id="0" w:name="_GoBack"/>
      <w:bookmarkEnd w:id="0"/>
      <w:r w:rsidR="001543FC" w:rsidRPr="00BD61B1">
        <w:rPr>
          <w:rFonts w:ascii="Times New Roman" w:hAnsi="Times New Roman" w:cs="Times New Roman"/>
          <w:b/>
          <w:sz w:val="24"/>
          <w:szCs w:val="24"/>
        </w:rPr>
        <w:t xml:space="preserve"> ЛЕКЦИЯ</w:t>
      </w: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ED" w:rsidRPr="00BD61B1" w:rsidRDefault="001543FC" w:rsidP="00BF07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BF07ED" w:rsidRPr="00BD61B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F07ED" w:rsidRPr="00BD61B1">
        <w:rPr>
          <w:rFonts w:ascii="Times New Roman" w:hAnsi="Times New Roman" w:cs="Times New Roman"/>
          <w:b/>
          <w:sz w:val="24"/>
          <w:szCs w:val="24"/>
        </w:rPr>
        <w:t>Спецпрактикум</w:t>
      </w:r>
      <w:proofErr w:type="spellEnd"/>
      <w:r w:rsidR="00BF07ED" w:rsidRPr="00BD61B1">
        <w:rPr>
          <w:rFonts w:ascii="Times New Roman" w:hAnsi="Times New Roman" w:cs="Times New Roman"/>
          <w:b/>
          <w:sz w:val="24"/>
          <w:szCs w:val="24"/>
        </w:rPr>
        <w:t xml:space="preserve"> по восстановительному обучению с </w:t>
      </w:r>
      <w:proofErr w:type="spellStart"/>
      <w:r w:rsidR="00BF07ED" w:rsidRPr="00BD61B1">
        <w:rPr>
          <w:rFonts w:ascii="Times New Roman" w:hAnsi="Times New Roman" w:cs="Times New Roman"/>
          <w:b/>
          <w:sz w:val="24"/>
          <w:szCs w:val="24"/>
        </w:rPr>
        <w:t>супервизией</w:t>
      </w:r>
      <w:proofErr w:type="spellEnd"/>
      <w:r w:rsidR="00BF07ED" w:rsidRPr="00BD61B1">
        <w:rPr>
          <w:rFonts w:ascii="Times New Roman" w:hAnsi="Times New Roman" w:cs="Times New Roman"/>
          <w:b/>
          <w:sz w:val="24"/>
          <w:szCs w:val="24"/>
        </w:rPr>
        <w:t>»</w:t>
      </w:r>
    </w:p>
    <w:p w:rsidR="009303B9" w:rsidRPr="00BD61B1" w:rsidRDefault="001543FC" w:rsidP="00BF07ED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BD6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7ED" w:rsidRPr="00BD61B1">
        <w:rPr>
          <w:rFonts w:ascii="Times New Roman" w:hAnsi="Times New Roman" w:cs="Times New Roman"/>
          <w:bCs/>
          <w:sz w:val="24"/>
          <w:szCs w:val="24"/>
        </w:rPr>
        <w:t>030401</w:t>
      </w:r>
      <w:r w:rsidRPr="00BD61B1">
        <w:rPr>
          <w:rFonts w:ascii="Times New Roman" w:hAnsi="Times New Roman" w:cs="Times New Roman"/>
          <w:bCs/>
          <w:sz w:val="24"/>
          <w:szCs w:val="24"/>
        </w:rPr>
        <w:t xml:space="preserve"> – Клиническая психология</w:t>
      </w:r>
    </w:p>
    <w:p w:rsidR="001543FC" w:rsidRPr="00BD61B1" w:rsidRDefault="009303B9" w:rsidP="009303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(</w:t>
      </w:r>
      <w:r w:rsidR="001543FC" w:rsidRPr="00BD61B1">
        <w:rPr>
          <w:rFonts w:ascii="Times New Roman" w:hAnsi="Times New Roman" w:cs="Times New Roman"/>
          <w:sz w:val="24"/>
          <w:szCs w:val="24"/>
        </w:rPr>
        <w:t>очная форма обучения)</w:t>
      </w: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1B1" w:rsidRPr="00BD61B1" w:rsidRDefault="00BD61B1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1B1" w:rsidRPr="00BD61B1" w:rsidRDefault="00BD61B1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BD61B1">
        <w:rPr>
          <w:rFonts w:ascii="Times New Roman" w:hAnsi="Times New Roman" w:cs="Times New Roman"/>
          <w:sz w:val="24"/>
          <w:szCs w:val="24"/>
        </w:rPr>
        <w:t xml:space="preserve"> </w:t>
      </w:r>
      <w:r w:rsidRPr="00BD61B1">
        <w:rPr>
          <w:rFonts w:ascii="Times New Roman" w:hAnsi="Times New Roman" w:cs="Times New Roman"/>
          <w:b/>
          <w:sz w:val="24"/>
          <w:szCs w:val="24"/>
        </w:rPr>
        <w:t>«</w:t>
      </w:r>
      <w:r w:rsidR="00BD61B1" w:rsidRPr="00BD61B1">
        <w:rPr>
          <w:rFonts w:ascii="Times New Roman" w:hAnsi="Times New Roman" w:cs="Times New Roman"/>
          <w:b/>
          <w:bCs/>
          <w:sz w:val="24"/>
          <w:szCs w:val="24"/>
        </w:rPr>
        <w:t>Болезнь Паркинсона. Итоговая лекция</w:t>
      </w:r>
      <w:r w:rsidRPr="00BD61B1">
        <w:rPr>
          <w:rFonts w:ascii="Times New Roman" w:hAnsi="Times New Roman" w:cs="Times New Roman"/>
          <w:b/>
          <w:sz w:val="24"/>
          <w:szCs w:val="24"/>
        </w:rPr>
        <w:t>»</w:t>
      </w: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д.м.н., профессор ___</w:t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  <w:t>_____________ Прокопенко С.В.</w:t>
      </w: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ассистент </w:t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</w:r>
      <w:r w:rsidRPr="00BD61B1">
        <w:rPr>
          <w:rFonts w:ascii="Times New Roman" w:hAnsi="Times New Roman" w:cs="Times New Roman"/>
          <w:sz w:val="24"/>
          <w:szCs w:val="24"/>
        </w:rPr>
        <w:softHyphen/>
        <w:t>_______________________</w:t>
      </w:r>
      <w:proofErr w:type="gramStart"/>
      <w:r w:rsidRPr="00BD61B1">
        <w:rPr>
          <w:rFonts w:ascii="Times New Roman" w:hAnsi="Times New Roman" w:cs="Times New Roman"/>
          <w:sz w:val="24"/>
          <w:szCs w:val="24"/>
        </w:rPr>
        <w:t>Безденежных</w:t>
      </w:r>
      <w:proofErr w:type="gramEnd"/>
      <w:r w:rsidRPr="00BD61B1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Красноярск </w:t>
      </w: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2013</w:t>
      </w:r>
    </w:p>
    <w:p w:rsidR="001543FC" w:rsidRPr="00BD61B1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3FC" w:rsidRPr="00BD61B1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3FC" w:rsidRPr="00BD61B1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Тема: «</w:t>
      </w:r>
      <w:r w:rsidR="00BD61B1" w:rsidRPr="00BD61B1">
        <w:rPr>
          <w:rFonts w:ascii="Times New Roman" w:hAnsi="Times New Roman" w:cs="Times New Roman"/>
          <w:b/>
          <w:bCs/>
          <w:sz w:val="24"/>
          <w:szCs w:val="24"/>
        </w:rPr>
        <w:t>Болезнь Паркинсона. Итоговая лекция</w:t>
      </w:r>
      <w:proofErr w:type="gramStart"/>
      <w:r w:rsidR="00BD61B1" w:rsidRPr="00BD61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61B1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1543FC" w:rsidRPr="00BD61B1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 xml:space="preserve">Разновидность лекции: </w:t>
      </w:r>
      <w:r w:rsidRPr="00BD61B1">
        <w:rPr>
          <w:rFonts w:ascii="Times New Roman" w:hAnsi="Times New Roman" w:cs="Times New Roman"/>
          <w:sz w:val="24"/>
          <w:szCs w:val="24"/>
        </w:rPr>
        <w:t>в интерактивной форме (проблемная лекция) Методы обучения: метод проблемного изложения.</w:t>
      </w:r>
    </w:p>
    <w:p w:rsidR="001543FC" w:rsidRPr="00BD61B1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Время:</w:t>
      </w:r>
      <w:r w:rsidRPr="00BD61B1">
        <w:rPr>
          <w:rFonts w:ascii="Times New Roman" w:hAnsi="Times New Roman" w:cs="Times New Roman"/>
          <w:sz w:val="24"/>
          <w:szCs w:val="24"/>
        </w:rPr>
        <w:t xml:space="preserve"> 2 (час.)</w:t>
      </w:r>
    </w:p>
    <w:p w:rsidR="00BD61B1" w:rsidRPr="00BD61B1" w:rsidRDefault="001543FC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Значение темы лекции</w:t>
      </w:r>
      <w:r w:rsidRPr="00BD61B1">
        <w:rPr>
          <w:rFonts w:ascii="Times New Roman" w:hAnsi="Times New Roman" w:cs="Times New Roman"/>
          <w:sz w:val="24"/>
          <w:szCs w:val="24"/>
        </w:rPr>
        <w:t xml:space="preserve"> </w:t>
      </w:r>
      <w:r w:rsidR="00BD61B1" w:rsidRPr="00BD61B1">
        <w:rPr>
          <w:rFonts w:ascii="Times New Roman" w:hAnsi="Times New Roman" w:cs="Times New Roman"/>
          <w:sz w:val="24"/>
          <w:szCs w:val="24"/>
        </w:rPr>
        <w:t xml:space="preserve">Болезнь Паркинсона (БП) – одно из самых распространенных неврологических заболеваний, которое характеризуется дегенерацией </w:t>
      </w:r>
      <w:proofErr w:type="spellStart"/>
      <w:r w:rsidR="00BD61B1" w:rsidRPr="00BD61B1">
        <w:rPr>
          <w:rFonts w:ascii="Times New Roman" w:hAnsi="Times New Roman" w:cs="Times New Roman"/>
          <w:sz w:val="24"/>
          <w:szCs w:val="24"/>
        </w:rPr>
        <w:t>дофаминосодержащих</w:t>
      </w:r>
      <w:proofErr w:type="spellEnd"/>
      <w:r w:rsidR="00BD61B1" w:rsidRPr="00BD61B1">
        <w:rPr>
          <w:rFonts w:ascii="Times New Roman" w:hAnsi="Times New Roman" w:cs="Times New Roman"/>
          <w:sz w:val="24"/>
          <w:szCs w:val="24"/>
        </w:rPr>
        <w:t xml:space="preserve"> нейронов черной субстанции и проявляется такими симптомами как гипокинезия, мышечная ригидность, тремор покоя, нарушение постуральных реакций и </w:t>
      </w:r>
      <w:proofErr w:type="spellStart"/>
      <w:r w:rsidR="00BD61B1" w:rsidRPr="00BD61B1">
        <w:rPr>
          <w:rFonts w:ascii="Times New Roman" w:hAnsi="Times New Roman" w:cs="Times New Roman"/>
          <w:sz w:val="24"/>
          <w:szCs w:val="24"/>
        </w:rPr>
        <w:t>ходьбы</w:t>
      </w:r>
      <w:proofErr w:type="gramStart"/>
      <w:r w:rsidR="00BD61B1" w:rsidRPr="00BD61B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BD61B1" w:rsidRPr="00BD61B1">
        <w:rPr>
          <w:rFonts w:ascii="Times New Roman" w:hAnsi="Times New Roman" w:cs="Times New Roman"/>
          <w:sz w:val="24"/>
          <w:szCs w:val="24"/>
        </w:rPr>
        <w:t xml:space="preserve"> связи с последними достижениями в изучении патогенеза и </w:t>
      </w:r>
      <w:proofErr w:type="spellStart"/>
      <w:r w:rsidR="00BD61B1" w:rsidRPr="00BD61B1">
        <w:rPr>
          <w:rFonts w:ascii="Times New Roman" w:hAnsi="Times New Roman" w:cs="Times New Roman"/>
          <w:sz w:val="24"/>
          <w:szCs w:val="24"/>
        </w:rPr>
        <w:t>нейрофармакологии</w:t>
      </w:r>
      <w:proofErr w:type="spellEnd"/>
      <w:r w:rsidR="00BD61B1" w:rsidRPr="00BD61B1">
        <w:rPr>
          <w:rFonts w:ascii="Times New Roman" w:hAnsi="Times New Roman" w:cs="Times New Roman"/>
          <w:sz w:val="24"/>
          <w:szCs w:val="24"/>
        </w:rPr>
        <w:t xml:space="preserve"> в настоящее время БП является </w:t>
      </w:r>
      <w:proofErr w:type="spellStart"/>
      <w:r w:rsidR="00BD61B1" w:rsidRPr="00BD61B1">
        <w:rPr>
          <w:rFonts w:ascii="Times New Roman" w:hAnsi="Times New Roman" w:cs="Times New Roman"/>
          <w:sz w:val="24"/>
          <w:szCs w:val="24"/>
        </w:rPr>
        <w:t>курабельным</w:t>
      </w:r>
      <w:proofErr w:type="spellEnd"/>
      <w:r w:rsidR="00BD61B1" w:rsidRPr="00BD61B1">
        <w:rPr>
          <w:rFonts w:ascii="Times New Roman" w:hAnsi="Times New Roman" w:cs="Times New Roman"/>
          <w:sz w:val="24"/>
          <w:szCs w:val="24"/>
        </w:rPr>
        <w:t xml:space="preserve"> заболеванием, то есть при правильной диагностике и адекватной терапии пациенты могут длительное время сохранять трудоспособность и быть социально адаптированными.</w:t>
      </w:r>
    </w:p>
    <w:p w:rsidR="001543FC" w:rsidRPr="00BD61B1" w:rsidRDefault="001543FC" w:rsidP="00BD6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Цели обучения:</w:t>
      </w:r>
      <w:r w:rsidRPr="00BD6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3FC" w:rsidRPr="00BD61B1" w:rsidRDefault="001543FC" w:rsidP="00C139C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общая (обучающийся должен обладать ОК</w:t>
      </w:r>
      <w:proofErr w:type="gramStart"/>
      <w:r w:rsidRPr="00BD61B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61B1">
        <w:rPr>
          <w:rFonts w:ascii="Times New Roman" w:hAnsi="Times New Roman" w:cs="Times New Roman"/>
          <w:sz w:val="24"/>
          <w:szCs w:val="24"/>
        </w:rPr>
        <w:t xml:space="preserve">,ОК4 и ПК5, ПК6, ПК7; </w:t>
      </w:r>
    </w:p>
    <w:p w:rsidR="001543FC" w:rsidRPr="00BD61B1" w:rsidRDefault="001543FC" w:rsidP="00C139C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учебная:</w:t>
      </w:r>
    </w:p>
    <w:p w:rsidR="001543FC" w:rsidRPr="00BD61B1" w:rsidRDefault="001543FC" w:rsidP="00C139C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современное представление об этиологии и патогенезе БП;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клиническую картину БП: стадии, формы, варианты течения заболевания;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- дифференциальный диагноз БП и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эссенциального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тремора (ЭТ);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дифференциальный диагноз БП и вторичного паркинсонизма;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- дифференциальный диагноз БП от более тяжелых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нейродегенеративных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заболеваний и «паркинсонизма плюс»;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диагностику и лечение БП;</w:t>
      </w:r>
    </w:p>
    <w:p w:rsidR="001543FC" w:rsidRPr="00BD61B1" w:rsidRDefault="001543FC" w:rsidP="00C139C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собрать анамнез у больного БП и МД;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провести исследование неврологического статуса на наличие органической симптоматики;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- исследовать 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61B1">
        <w:rPr>
          <w:rFonts w:ascii="Times New Roman" w:hAnsi="Times New Roman" w:cs="Times New Roman"/>
          <w:sz w:val="24"/>
          <w:szCs w:val="24"/>
        </w:rPr>
        <w:t xml:space="preserve"> пару ЧМН и выявить наличие: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нормосмии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гипосмии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гиперосмии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и аносмии;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- исследовать 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D61B1">
        <w:rPr>
          <w:rFonts w:ascii="Times New Roman" w:hAnsi="Times New Roman" w:cs="Times New Roman"/>
          <w:sz w:val="24"/>
          <w:szCs w:val="24"/>
        </w:rPr>
        <w:t>-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61B1">
        <w:rPr>
          <w:rFonts w:ascii="Times New Roman" w:hAnsi="Times New Roman" w:cs="Times New Roman"/>
          <w:sz w:val="24"/>
          <w:szCs w:val="24"/>
        </w:rPr>
        <w:t>-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D61B1">
        <w:rPr>
          <w:rFonts w:ascii="Times New Roman" w:hAnsi="Times New Roman" w:cs="Times New Roman"/>
          <w:sz w:val="24"/>
          <w:szCs w:val="24"/>
        </w:rPr>
        <w:t xml:space="preserve"> пару ЧМН и выявить ограничение движений глазных яблок, замедление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саккадических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движений глаз, учащенное моргание, наличие спазма 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D61B1">
        <w:rPr>
          <w:rFonts w:ascii="Times New Roman" w:hAnsi="Times New Roman" w:cs="Times New Roman"/>
          <w:sz w:val="24"/>
          <w:szCs w:val="24"/>
        </w:rPr>
        <w:t xml:space="preserve">. 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orbicularis</w:t>
      </w:r>
      <w:r w:rsidRPr="00BD61B1">
        <w:rPr>
          <w:rFonts w:ascii="Times New Roman" w:hAnsi="Times New Roman" w:cs="Times New Roman"/>
          <w:sz w:val="24"/>
          <w:szCs w:val="24"/>
        </w:rPr>
        <w:t xml:space="preserve"> 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oculi</w:t>
      </w:r>
      <w:r w:rsidRPr="00BD61B1">
        <w:rPr>
          <w:rFonts w:ascii="Times New Roman" w:hAnsi="Times New Roman" w:cs="Times New Roman"/>
          <w:sz w:val="24"/>
          <w:szCs w:val="24"/>
        </w:rPr>
        <w:t>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- исследовать 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D61B1">
        <w:rPr>
          <w:rFonts w:ascii="Times New Roman" w:hAnsi="Times New Roman" w:cs="Times New Roman"/>
          <w:sz w:val="24"/>
          <w:szCs w:val="24"/>
        </w:rPr>
        <w:t xml:space="preserve"> пару ЧМН и выявить наличие асимметрии лица, стационарной либо пароксизмальной (дистонической);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исследовать мышечный тонус, выявить его повышение по пластическому типу, наличие патологических поз (кривошея, деформирующая установка стопы);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- исследовать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координаторную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сферу и выявить наличие тремора рук или головы; определить его характер (тремор покоя, постуральный (позиционный), кинетический,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интенционный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>);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исследовать постуральную устойчивость;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lastRenderedPageBreak/>
        <w:t xml:space="preserve">- исследовать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орто-клиностатическую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пробу;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- выявить ведущие неврологические синдромы: паркинсонизма, мозжечковой атаксии, глазодвигательных нарушений, деменции, тремора, фокальной или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генерализованной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дистонии, нарушений ходьбы, периферической вегетативной недостаточности;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провести дифференциальный диагноз БП, вторичного паркинсонизма, «паркинсонизма плюс»;</w:t>
      </w:r>
    </w:p>
    <w:p w:rsidR="001543FC" w:rsidRPr="00BD61B1" w:rsidRDefault="001543FC" w:rsidP="00C139C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Студент должен владеть: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- сбора жалоб и анамнеза у больных с БП, с синдромом паркинсонизма и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эссенциальным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тремором;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сбора жалоб и анамнеза у больных с МД;</w:t>
      </w:r>
    </w:p>
    <w:p w:rsidR="00BD61B1" w:rsidRPr="00BD61B1" w:rsidRDefault="00BD61B1" w:rsidP="00BD6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проведения неврологического осмотра у больных данного профиля;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постановки топического диагноза у больных с БП и МД;</w:t>
      </w:r>
    </w:p>
    <w:p w:rsidR="00BD61B1" w:rsidRPr="00BD61B1" w:rsidRDefault="00BD61B1" w:rsidP="00BD61B1">
      <w:pPr>
        <w:spacing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>- постановки клинического диагноза БП и МД.</w:t>
      </w:r>
    </w:p>
    <w:p w:rsidR="001543FC" w:rsidRPr="00BD61B1" w:rsidRDefault="001543FC" w:rsidP="00C139C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 xml:space="preserve">Место проведения лекции: </w:t>
      </w:r>
      <w:r w:rsidRPr="00BD61B1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Нейрореабилитации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ФМБА России, ул. К. Маркса 34б, конференц-зал 3 этаж.</w:t>
      </w:r>
    </w:p>
    <w:p w:rsidR="001543FC" w:rsidRPr="00BD61B1" w:rsidRDefault="001543FC" w:rsidP="00C139C6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 xml:space="preserve">Оснащение лекции: </w:t>
      </w:r>
      <w:r w:rsidRPr="00BD61B1">
        <w:rPr>
          <w:rFonts w:ascii="Times New Roman" w:hAnsi="Times New Roman" w:cs="Times New Roman"/>
          <w:sz w:val="24"/>
          <w:szCs w:val="24"/>
        </w:rPr>
        <w:t xml:space="preserve">персональный компьютер, видеопроектор, таблицы-схемы (анатомия головного мозга, </w:t>
      </w:r>
      <w:r w:rsidR="00BD61B1" w:rsidRPr="00BD61B1">
        <w:rPr>
          <w:rFonts w:ascii="Times New Roman" w:hAnsi="Times New Roman" w:cs="Times New Roman"/>
          <w:sz w:val="24"/>
          <w:szCs w:val="24"/>
        </w:rPr>
        <w:t>схемы патогенеза болезни Паркинсона</w:t>
      </w:r>
      <w:r w:rsidRPr="00BD61B1">
        <w:rPr>
          <w:rFonts w:ascii="Times New Roman" w:hAnsi="Times New Roman" w:cs="Times New Roman"/>
          <w:sz w:val="24"/>
          <w:szCs w:val="24"/>
        </w:rPr>
        <w:t>).</w:t>
      </w: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1B1">
        <w:rPr>
          <w:rFonts w:ascii="Times New Roman" w:hAnsi="Times New Roman" w:cs="Times New Roman"/>
          <w:b/>
          <w:sz w:val="24"/>
          <w:szCs w:val="24"/>
        </w:rPr>
        <w:t>Хронокарта</w:t>
      </w:r>
      <w:proofErr w:type="spellEnd"/>
      <w:r w:rsidRPr="00BD61B1">
        <w:rPr>
          <w:rFonts w:ascii="Times New Roman" w:hAnsi="Times New Roman" w:cs="Times New Roman"/>
          <w:b/>
          <w:sz w:val="24"/>
          <w:szCs w:val="24"/>
        </w:rPr>
        <w:t xml:space="preserve"> лекции</w:t>
      </w:r>
      <w:r w:rsidRPr="00BD61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530"/>
        <w:gridCol w:w="3828"/>
      </w:tblGrid>
      <w:tr w:rsidR="00E45A94" w:rsidRPr="00BD61B1" w:rsidTr="001543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D61B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D61B1">
              <w:rPr>
                <w:b/>
                <w:sz w:val="24"/>
                <w:szCs w:val="24"/>
              </w:rPr>
              <w:t>п</w:t>
            </w:r>
            <w:proofErr w:type="gramEnd"/>
            <w:r w:rsidRPr="00BD61B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126"/>
              </w:tabs>
              <w:ind w:hanging="157"/>
              <w:jc w:val="center"/>
              <w:rPr>
                <w:b/>
                <w:sz w:val="24"/>
                <w:szCs w:val="24"/>
              </w:rPr>
            </w:pPr>
            <w:r w:rsidRPr="00BD61B1">
              <w:rPr>
                <w:b/>
                <w:sz w:val="24"/>
                <w:szCs w:val="24"/>
              </w:rPr>
              <w:t>Этапы</w:t>
            </w:r>
          </w:p>
          <w:p w:rsidR="001543FC" w:rsidRPr="00BD61B1" w:rsidRDefault="001543FC" w:rsidP="00C139C6">
            <w:pPr>
              <w:pStyle w:val="a7"/>
              <w:tabs>
                <w:tab w:val="left" w:pos="126"/>
              </w:tabs>
              <w:ind w:hanging="157"/>
              <w:jc w:val="center"/>
              <w:rPr>
                <w:b/>
                <w:sz w:val="24"/>
                <w:szCs w:val="24"/>
              </w:rPr>
            </w:pPr>
            <w:r w:rsidRPr="00BD61B1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126"/>
              </w:tabs>
              <w:ind w:hanging="157"/>
              <w:jc w:val="center"/>
              <w:rPr>
                <w:b/>
                <w:sz w:val="24"/>
                <w:szCs w:val="24"/>
              </w:rPr>
            </w:pPr>
            <w:r w:rsidRPr="00BD61B1">
              <w:rPr>
                <w:b/>
                <w:sz w:val="24"/>
                <w:szCs w:val="24"/>
              </w:rPr>
              <w:t>Продолжительность (мин)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126"/>
              </w:tabs>
              <w:ind w:hanging="157"/>
              <w:jc w:val="center"/>
              <w:rPr>
                <w:b/>
                <w:sz w:val="24"/>
                <w:szCs w:val="24"/>
              </w:rPr>
            </w:pPr>
            <w:r w:rsidRPr="00BD61B1">
              <w:rPr>
                <w:b/>
                <w:sz w:val="24"/>
                <w:szCs w:val="24"/>
              </w:rPr>
              <w:t>Содержание этапа</w:t>
            </w:r>
          </w:p>
        </w:tc>
      </w:tr>
      <w:tr w:rsidR="00E45A94" w:rsidRPr="00BD61B1" w:rsidTr="001543F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Организация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 xml:space="preserve">Проверка посещаемости и внешнего вида </w:t>
            </w:r>
            <w:proofErr w:type="gramStart"/>
            <w:r w:rsidRPr="00BD61B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45A94" w:rsidRPr="00BD61B1" w:rsidTr="001543FC">
        <w:trPr>
          <w:trHeight w:val="2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Формулировка темы и целей</w:t>
            </w:r>
          </w:p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Озвучивание преподавателем темы и ее актуальности, целей лекции</w:t>
            </w:r>
          </w:p>
        </w:tc>
      </w:tr>
      <w:tr w:rsidR="00E45A94" w:rsidRPr="00BD61B1" w:rsidTr="001543FC">
        <w:trPr>
          <w:trHeight w:val="2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Представление плана лекции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Максимально – 5-6 пунктов плана</w:t>
            </w:r>
          </w:p>
        </w:tc>
      </w:tr>
      <w:tr w:rsidR="00E45A94" w:rsidRPr="00BD61B1" w:rsidTr="001543FC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Раскрытие учебных вопросов по теме 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 xml:space="preserve">Изложение основных положений лекции </w:t>
            </w:r>
          </w:p>
        </w:tc>
      </w:tr>
      <w:tr w:rsidR="00E45A94" w:rsidRPr="00BD61B1" w:rsidTr="001543FC">
        <w:trPr>
          <w:trHeight w:val="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Краткие выводы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Краткие выводы по теме лекции</w:t>
            </w:r>
          </w:p>
        </w:tc>
      </w:tr>
      <w:tr w:rsidR="00E45A94" w:rsidRPr="00BD61B1" w:rsidTr="001543FC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 xml:space="preserve">Даются ответы на вопросы </w:t>
            </w:r>
            <w:proofErr w:type="gramStart"/>
            <w:r w:rsidRPr="00BD61B1">
              <w:rPr>
                <w:sz w:val="24"/>
                <w:szCs w:val="24"/>
              </w:rPr>
              <w:t>обучающихся</w:t>
            </w:r>
            <w:proofErr w:type="gramEnd"/>
            <w:r w:rsidRPr="00BD61B1">
              <w:rPr>
                <w:sz w:val="24"/>
                <w:szCs w:val="24"/>
              </w:rPr>
              <w:t xml:space="preserve"> </w:t>
            </w:r>
          </w:p>
        </w:tc>
      </w:tr>
      <w:tr w:rsidR="00E45A94" w:rsidRPr="00BD61B1" w:rsidTr="001543FC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Контроль знаний по итогам 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 xml:space="preserve">Проведение экспресс-анкетирования </w:t>
            </w:r>
            <w:proofErr w:type="gramStart"/>
            <w:r w:rsidRPr="00BD61B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45A94" w:rsidRPr="00BD61B1" w:rsidTr="001543FC">
        <w:trPr>
          <w:trHeight w:val="1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Предлагается список литературы для самостоятельной работы студентов по теме лекции (основная, дополнительная и электронные ресурсы)</w:t>
            </w:r>
          </w:p>
        </w:tc>
      </w:tr>
      <w:tr w:rsidR="00E45A94" w:rsidRPr="00BD61B1" w:rsidTr="001543FC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D61B1">
              <w:rPr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FC" w:rsidRPr="00BD61B1" w:rsidRDefault="001543FC" w:rsidP="00C139C6">
            <w:pPr>
              <w:pStyle w:val="a7"/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1543FC" w:rsidRPr="00BD61B1" w:rsidRDefault="001543FC" w:rsidP="00C139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3FC" w:rsidRPr="00BD61B1" w:rsidRDefault="001543FC" w:rsidP="00C13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Конспект лекции:</w:t>
      </w:r>
    </w:p>
    <w:p w:rsidR="001543FC" w:rsidRPr="00BD61B1" w:rsidRDefault="001543FC" w:rsidP="00C1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Cs/>
          <w:sz w:val="24"/>
          <w:szCs w:val="24"/>
        </w:rPr>
        <w:t>План лекции:</w:t>
      </w:r>
    </w:p>
    <w:p w:rsidR="001543FC" w:rsidRPr="00BD61B1" w:rsidRDefault="001543FC" w:rsidP="00C139C6">
      <w:pPr>
        <w:pStyle w:val="a9"/>
        <w:numPr>
          <w:ilvl w:val="0"/>
          <w:numId w:val="2"/>
        </w:numPr>
        <w:jc w:val="both"/>
      </w:pPr>
      <w:r w:rsidRPr="00BD61B1">
        <w:rPr>
          <w:bCs/>
        </w:rPr>
        <w:t>Общие понятия.</w:t>
      </w:r>
    </w:p>
    <w:p w:rsidR="00BF07ED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t>Болезнь Паркинсона.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lastRenderedPageBreak/>
        <w:t>Этиология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t>Патогенез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t>Клиника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t>Классификация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t>Лечение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t>Когнитивные нарушения при БП и их коррекция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t>Синдром Паркинсонизма</w:t>
      </w:r>
    </w:p>
    <w:p w:rsidR="00BD61B1" w:rsidRPr="00BD61B1" w:rsidRDefault="00BD61B1" w:rsidP="00BD61B1">
      <w:pPr>
        <w:pStyle w:val="a9"/>
        <w:numPr>
          <w:ilvl w:val="0"/>
          <w:numId w:val="2"/>
        </w:numPr>
        <w:jc w:val="both"/>
      </w:pPr>
      <w:r w:rsidRPr="00BD61B1">
        <w:t>Когнитивные нарушения при синдроме Паркинсонизма и их коррекция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r w:rsidRPr="00BD61B1">
        <w:t xml:space="preserve"> Этиология</w:t>
      </w:r>
    </w:p>
    <w:p w:rsidR="00BD61B1" w:rsidRPr="00BD61B1" w:rsidRDefault="00BD61B1" w:rsidP="00BF07ED">
      <w:pPr>
        <w:pStyle w:val="a9"/>
        <w:numPr>
          <w:ilvl w:val="0"/>
          <w:numId w:val="2"/>
        </w:numPr>
        <w:jc w:val="both"/>
      </w:pPr>
      <w:proofErr w:type="spellStart"/>
      <w:r w:rsidRPr="00BD61B1">
        <w:t>Эссенциальный</w:t>
      </w:r>
      <w:proofErr w:type="spellEnd"/>
      <w:r w:rsidRPr="00BD61B1">
        <w:t xml:space="preserve"> тремор</w:t>
      </w:r>
    </w:p>
    <w:p w:rsidR="00BF07ED" w:rsidRPr="00BD61B1" w:rsidRDefault="00BF07ED" w:rsidP="00BF07ED">
      <w:pPr>
        <w:pStyle w:val="a9"/>
        <w:numPr>
          <w:ilvl w:val="0"/>
          <w:numId w:val="2"/>
        </w:numPr>
        <w:jc w:val="both"/>
      </w:pPr>
      <w:r w:rsidRPr="00BD61B1">
        <w:t xml:space="preserve">Заключение </w:t>
      </w:r>
    </w:p>
    <w:p w:rsidR="001543FC" w:rsidRPr="00BD61B1" w:rsidRDefault="001543FC" w:rsidP="00C1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 xml:space="preserve">Болезнь Паркинсона (БП) – </w:t>
      </w:r>
      <w:r w:rsidRPr="00BD61B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нейродегенеративное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заболевание, развивающееся вследствие дегенерации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дофаминосодержащих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нейронов черной субстанции, причиной которой могут служить генетические факторы, хотя более 50% случаев БП – спорадические.</w:t>
      </w: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Дебют болезни Паркинсона происходит со стадии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гемипаркинсонизма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– появление основных симптомов болезни: гипокинезии, мышечной ригидности (повышение мышечного тонуса по пластическому типу) и тремора покоя на одной половине тела. По мере прогрессирования заболевания, происходит нарастание вышеуказанных симптомов, с вовлечением и другой половины тела. А в последующем, присоединяются неустойчивость при ходьбе, когнитивные, вегетативные и сосудистые нарушения.</w:t>
      </w: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Pr="00BD61B1">
        <w:rPr>
          <w:rFonts w:ascii="Times New Roman" w:hAnsi="Times New Roman" w:cs="Times New Roman"/>
          <w:sz w:val="24"/>
          <w:szCs w:val="24"/>
        </w:rPr>
        <w:t>БП</w:t>
      </w:r>
      <w:proofErr w:type="gramEnd"/>
      <w:r w:rsidRPr="00BD61B1">
        <w:rPr>
          <w:rFonts w:ascii="Times New Roman" w:hAnsi="Times New Roman" w:cs="Times New Roman"/>
          <w:sz w:val="24"/>
          <w:szCs w:val="24"/>
        </w:rPr>
        <w:t xml:space="preserve"> прежде всего опирается на знание клинической картины заболевания. Современные методы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>, при постановке диагноза БП, только подтверждают отсутствие патологии мозга, характерной для вторичного паркинсонизма, т.к. специфических маркеров для БП при стандартных исследованиях с помощью КТ или МРТ нет.</w:t>
      </w: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Болезнь Паркинсона – это одно из немногих заболеваний, где оправдана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полипрагмазия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, т.к. имеющиеся в наличии лекарственные препараты действуют на разные звенья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дофаминовой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синаптической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передачи. Самый значимый препарат –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леводопа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мадопар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– 300-400мг,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синимет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наком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), превращающийся в результате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декарбоксилирования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в мозге в дофамин, является наиболее эффективным средством в лечении БП.</w:t>
      </w: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Однако по мере прогрессирования заболевания и лечения препаратами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у больного появляются проблемы, связанные с побочным действием данных лекарственных сре</w:t>
      </w:r>
      <w:proofErr w:type="gramStart"/>
      <w:r w:rsidRPr="00BD61B1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BD61B1">
        <w:rPr>
          <w:rFonts w:ascii="Times New Roman" w:hAnsi="Times New Roman" w:cs="Times New Roman"/>
          <w:sz w:val="24"/>
          <w:szCs w:val="24"/>
        </w:rPr>
        <w:t xml:space="preserve">иде лекарственных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дискинезий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и моторных флюктуаций. Поэтому лечение пациентов, особенно моложе 50 лет, следует начинать с агонистов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дофаминовых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рецепторов, усиливающих чувствительность рецепторов к собственному дофамину, или препаратов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амантадинового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ряда, усиливающих выброс собственного дофамина, уменьшающих его катаболизм и обратный захват.</w:t>
      </w: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Вторичный паркинсонизм</w:t>
      </w:r>
      <w:r w:rsidRPr="00BD61B1">
        <w:rPr>
          <w:rFonts w:ascii="Times New Roman" w:hAnsi="Times New Roman" w:cs="Times New Roman"/>
          <w:sz w:val="24"/>
          <w:szCs w:val="24"/>
        </w:rPr>
        <w:t xml:space="preserve"> может развиваться при сосудистом поражении мозга, инфекционных заболеваниях нервной системы и при токсическом (или лекарственном) поражении стратегически значимых, для развития данного синдрома, отделов мозга. Для вторичного паркинсонизма характерно развитие атипичного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паркинсонического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синдрома, не характерного для развития БП. В клинике присутствуют органические синдромы, характерные для поражения других отделов мозга (пирамидный, псевдобульбарный, корковые нарушения). Анализ клинической картины, а также данные КТ или МРТ исследования мозга помогают в постановке диагноза вторичного паркинсонизма. В лечении данного синдрома обязательно присутствуют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lastRenderedPageBreak/>
        <w:t>этиопатогенетическая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терапия основного заболевания, вызвавшего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паркинсонический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синдром. Сосудистая терапия при цереброваскулярном заболевании, специфическая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детоксикационная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при токсическом паркинсонизме, с обязательной отменой медикаментозных препаратов (нейролептиков) при нейролептическом паркинсонизме. Также препараты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леводопы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при вторичном паркинсонизме малоэффективны, зачастую используются агонисты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дофаминовых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рецепторов (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пирибедил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прамипексол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) и антагонисты </w:t>
      </w:r>
      <w:r w:rsidRPr="00BD61B1">
        <w:rPr>
          <w:rFonts w:ascii="Times New Roman" w:hAnsi="Times New Roman" w:cs="Times New Roman"/>
          <w:sz w:val="24"/>
          <w:szCs w:val="24"/>
          <w:lang w:val="en-US"/>
        </w:rPr>
        <w:t>NMDA</w:t>
      </w:r>
      <w:r w:rsidRPr="00BD61B1">
        <w:rPr>
          <w:rFonts w:ascii="Times New Roman" w:hAnsi="Times New Roman" w:cs="Times New Roman"/>
          <w:sz w:val="24"/>
          <w:szCs w:val="24"/>
        </w:rPr>
        <w:t xml:space="preserve"> рецепторов (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амантадин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мемантин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>).</w:t>
      </w: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1B1">
        <w:rPr>
          <w:rFonts w:ascii="Times New Roman" w:hAnsi="Times New Roman" w:cs="Times New Roman"/>
          <w:b/>
          <w:sz w:val="24"/>
          <w:szCs w:val="24"/>
        </w:rPr>
        <w:t>Эссенциальный</w:t>
      </w:r>
      <w:proofErr w:type="spellEnd"/>
      <w:r w:rsidRPr="00BD61B1">
        <w:rPr>
          <w:rFonts w:ascii="Times New Roman" w:hAnsi="Times New Roman" w:cs="Times New Roman"/>
          <w:b/>
          <w:sz w:val="24"/>
          <w:szCs w:val="24"/>
        </w:rPr>
        <w:t xml:space="preserve"> тремор</w:t>
      </w:r>
      <w:r w:rsidRPr="00BD61B1">
        <w:rPr>
          <w:rFonts w:ascii="Times New Roman" w:hAnsi="Times New Roman" w:cs="Times New Roman"/>
          <w:sz w:val="24"/>
          <w:szCs w:val="24"/>
        </w:rPr>
        <w:t xml:space="preserve"> – одно из самых распространенных экстрапирамидных заболеваний, которое наследуется по аутосомно-доминантному типу. Патогенез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эссенциального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тремора связан с дисбалансом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адрен</w:t>
      </w:r>
      <w:proofErr w:type="gramStart"/>
      <w:r w:rsidRPr="00BD61B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D61B1">
        <w:rPr>
          <w:rFonts w:ascii="Times New Roman" w:hAnsi="Times New Roman" w:cs="Times New Roman"/>
          <w:sz w:val="24"/>
          <w:szCs w:val="24"/>
        </w:rPr>
        <w:t xml:space="preserve"> и холинергической систем, при этом повышается активность первой и снижается второй (при паркинсонизме отношения обратные).</w:t>
      </w: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В большинстве случаев заболевание начинается в юношеском и молодом возрасте, хотя нередко первые проявления возникают раньше или позже. Тремор носит характер тремора действия, усиливается при эмоциональных реакциях и ослабевает в состоянии покоя. Частота его, как правило, ниже физиологического и выше чем при паркинсонизме – 6-8 в секунду. С наибольшей частотой дрожание наблюдается в голове, руках, значительно реже оно распространяется на ноги. Тремор может быть локализованным, асимметричным, либо достаточно распространенным. В большинстве случаев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эссенциальный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тремор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моносимптоматичен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>, хотя возможно его сочетание с дистоническими феноменами или мозжечковыми симптомами. Дифференциальный диагноз следует проводить с дрожательной формой паркинсонизма и другими заболеваниями, в клинической картине которых преобладает дрожание – это наследственные мозжечковые дегенерации, рассеянный склероз, вегетативный тремор и др.</w:t>
      </w:r>
    </w:p>
    <w:p w:rsidR="00BD61B1" w:rsidRPr="00BD61B1" w:rsidRDefault="00BD61B1" w:rsidP="00BD6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1B1">
        <w:rPr>
          <w:rFonts w:ascii="Times New Roman" w:hAnsi="Times New Roman" w:cs="Times New Roman"/>
          <w:sz w:val="24"/>
          <w:szCs w:val="24"/>
        </w:rPr>
        <w:t xml:space="preserve">Терапия проводится различными препаратами. К ним относятся бета-адреноблокаторы: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 в средней терапевтической дозе от 60 до 240мг в сутки. При недостаточной эффективности этих средств, развитии побочных явлений (брадикардия, гипотония), наличии противопоказаний (бронхоспастические симптомы) возможно применение антиконвульсантов клоназепама 2-6мг в сутки. Полезно курсовое лечение пиридоксином  200-400 мг в сутки и препаратами метаболического действия (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мексидол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1B1">
        <w:rPr>
          <w:rFonts w:ascii="Times New Roman" w:hAnsi="Times New Roman" w:cs="Times New Roman"/>
          <w:sz w:val="24"/>
          <w:szCs w:val="24"/>
        </w:rPr>
        <w:t>милдронот</w:t>
      </w:r>
      <w:proofErr w:type="spellEnd"/>
      <w:r w:rsidRPr="00BD61B1">
        <w:rPr>
          <w:rFonts w:ascii="Times New Roman" w:hAnsi="Times New Roman" w:cs="Times New Roman"/>
          <w:sz w:val="24"/>
          <w:szCs w:val="24"/>
        </w:rPr>
        <w:t>).</w:t>
      </w:r>
    </w:p>
    <w:p w:rsidR="009F389E" w:rsidRPr="00BD61B1" w:rsidRDefault="009F389E" w:rsidP="009F389E">
      <w:pPr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F389E" w:rsidRPr="00BD61B1" w:rsidRDefault="009F389E" w:rsidP="009F3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3261"/>
        <w:gridCol w:w="2126"/>
      </w:tblGrid>
      <w:tr w:rsidR="00E45A94" w:rsidRPr="00BD61B1" w:rsidTr="00C16D98">
        <w:trPr>
          <w:trHeight w:val="517"/>
        </w:trPr>
        <w:tc>
          <w:tcPr>
            <w:tcW w:w="576" w:type="dxa"/>
            <w:vMerge w:val="restart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ы),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и),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Место издания, издатель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4" w:rsidRPr="00BD61B1" w:rsidTr="00C16D98">
        <w:trPr>
          <w:trHeight w:val="824"/>
        </w:trPr>
        <w:tc>
          <w:tcPr>
            <w:tcW w:w="576" w:type="dxa"/>
            <w:vMerge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4" w:rsidRPr="00BD61B1" w:rsidTr="00C16D98">
        <w:tc>
          <w:tcPr>
            <w:tcW w:w="57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5A94" w:rsidRPr="00BD61B1" w:rsidTr="00C16D98">
        <w:tc>
          <w:tcPr>
            <w:tcW w:w="57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Гусев, Е. И. Неврология и нейрохирургия: учебник в 2 т.: 1 </w:t>
            </w:r>
            <w:r w:rsidRPr="00BD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</w:p>
        </w:tc>
        <w:tc>
          <w:tcPr>
            <w:tcW w:w="3261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И. Гусев, А. Н. 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И. Скворцова</w:t>
            </w:r>
          </w:p>
        </w:tc>
        <w:tc>
          <w:tcPr>
            <w:tcW w:w="212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М.:ГЭОТАР-</w:t>
            </w:r>
            <w:r w:rsidRPr="00BD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Медиа, 2007</w:t>
            </w:r>
          </w:p>
        </w:tc>
      </w:tr>
      <w:tr w:rsidR="00E45A94" w:rsidRPr="00BD61B1" w:rsidTr="00C16D98">
        <w:tc>
          <w:tcPr>
            <w:tcW w:w="57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77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Гусев, Е. И. Неврология и нейрохирургия: учебник в 2 т.: 2 т. </w:t>
            </w:r>
          </w:p>
        </w:tc>
        <w:tc>
          <w:tcPr>
            <w:tcW w:w="3261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Е. И. Гусев, А. Н. 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, В. И. Скворцова</w:t>
            </w:r>
          </w:p>
        </w:tc>
        <w:tc>
          <w:tcPr>
            <w:tcW w:w="212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М.:ГЭОТАР-Медиа, 2009</w:t>
            </w:r>
          </w:p>
        </w:tc>
      </w:tr>
      <w:tr w:rsidR="00E45A94" w:rsidRPr="00BD61B1" w:rsidTr="00C16D98">
        <w:tc>
          <w:tcPr>
            <w:tcW w:w="57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9F389E" w:rsidRPr="00BD61B1" w:rsidRDefault="009F389E" w:rsidP="00C16D98">
            <w:pPr>
              <w:pStyle w:val="Default"/>
              <w:rPr>
                <w:color w:val="auto"/>
              </w:rPr>
            </w:pPr>
            <w:r w:rsidRPr="00BD61B1">
              <w:rPr>
                <w:color w:val="auto"/>
              </w:rPr>
              <w:t xml:space="preserve">Клиническая психология  </w:t>
            </w:r>
          </w:p>
        </w:tc>
        <w:tc>
          <w:tcPr>
            <w:tcW w:w="3261" w:type="dxa"/>
          </w:tcPr>
          <w:p w:rsidR="009F389E" w:rsidRPr="00BD61B1" w:rsidRDefault="009F389E" w:rsidP="00C16D98">
            <w:pPr>
              <w:pStyle w:val="Default"/>
              <w:rPr>
                <w:color w:val="auto"/>
              </w:rPr>
            </w:pPr>
            <w:proofErr w:type="spellStart"/>
            <w:r w:rsidRPr="00BD61B1">
              <w:rPr>
                <w:color w:val="auto"/>
              </w:rPr>
              <w:t>Карвасарский</w:t>
            </w:r>
            <w:proofErr w:type="spellEnd"/>
            <w:r w:rsidRPr="00BD61B1">
              <w:rPr>
                <w:color w:val="auto"/>
              </w:rPr>
              <w:t xml:space="preserve"> Б.Д.</w:t>
            </w:r>
          </w:p>
        </w:tc>
        <w:tc>
          <w:tcPr>
            <w:tcW w:w="2126" w:type="dxa"/>
          </w:tcPr>
          <w:p w:rsidR="009F389E" w:rsidRPr="00BD61B1" w:rsidRDefault="009F389E" w:rsidP="00C16D98">
            <w:pPr>
              <w:pStyle w:val="Default"/>
              <w:rPr>
                <w:color w:val="auto"/>
              </w:rPr>
            </w:pPr>
            <w:r w:rsidRPr="00BD61B1">
              <w:rPr>
                <w:color w:val="auto"/>
              </w:rPr>
              <w:t>СПб</w:t>
            </w:r>
            <w:proofErr w:type="gramStart"/>
            <w:r w:rsidRPr="00BD61B1">
              <w:rPr>
                <w:color w:val="auto"/>
              </w:rPr>
              <w:t xml:space="preserve">.: </w:t>
            </w:r>
            <w:proofErr w:type="gramEnd"/>
            <w:r w:rsidRPr="00BD61B1">
              <w:rPr>
                <w:color w:val="auto"/>
              </w:rPr>
              <w:t xml:space="preserve">Питер, 2010 </w:t>
            </w:r>
          </w:p>
        </w:tc>
      </w:tr>
      <w:tr w:rsidR="00E45A94" w:rsidRPr="00BD61B1" w:rsidTr="00C16D98">
        <w:tc>
          <w:tcPr>
            <w:tcW w:w="576" w:type="dxa"/>
          </w:tcPr>
          <w:p w:rsidR="009F389E" w:rsidRPr="00BD61B1" w:rsidRDefault="009F389E" w:rsidP="00C16D98">
            <w:pPr>
              <w:pStyle w:val="Default"/>
              <w:rPr>
                <w:color w:val="auto"/>
              </w:rPr>
            </w:pPr>
            <w:r w:rsidRPr="00BD61B1">
              <w:rPr>
                <w:color w:val="auto"/>
              </w:rPr>
              <w:t xml:space="preserve">2 </w:t>
            </w:r>
          </w:p>
        </w:tc>
        <w:tc>
          <w:tcPr>
            <w:tcW w:w="3677" w:type="dxa"/>
          </w:tcPr>
          <w:p w:rsidR="009F389E" w:rsidRPr="00BD61B1" w:rsidRDefault="009F389E" w:rsidP="00C16D98">
            <w:pPr>
              <w:pStyle w:val="Default"/>
              <w:rPr>
                <w:color w:val="auto"/>
              </w:rPr>
            </w:pPr>
            <w:r w:rsidRPr="00BD61B1">
              <w:rPr>
                <w:color w:val="auto"/>
              </w:rPr>
              <w:t xml:space="preserve">Введение в клиническую психологию </w:t>
            </w:r>
          </w:p>
        </w:tc>
        <w:tc>
          <w:tcPr>
            <w:tcW w:w="3261" w:type="dxa"/>
          </w:tcPr>
          <w:p w:rsidR="009F389E" w:rsidRPr="00BD61B1" w:rsidRDefault="009F389E" w:rsidP="00C16D98">
            <w:pPr>
              <w:pStyle w:val="Default"/>
              <w:rPr>
                <w:color w:val="auto"/>
              </w:rPr>
            </w:pPr>
            <w:r w:rsidRPr="00BD61B1">
              <w:rPr>
                <w:color w:val="auto"/>
              </w:rPr>
              <w:t xml:space="preserve">Сидоров П.И., </w:t>
            </w:r>
            <w:proofErr w:type="spellStart"/>
            <w:r w:rsidRPr="00BD61B1">
              <w:rPr>
                <w:color w:val="auto"/>
              </w:rPr>
              <w:t>Парняков</w:t>
            </w:r>
            <w:proofErr w:type="spellEnd"/>
            <w:r w:rsidRPr="00BD61B1">
              <w:rPr>
                <w:color w:val="auto"/>
              </w:rPr>
              <w:t xml:space="preserve"> А.В. </w:t>
            </w:r>
          </w:p>
        </w:tc>
        <w:tc>
          <w:tcPr>
            <w:tcW w:w="2126" w:type="dxa"/>
          </w:tcPr>
          <w:p w:rsidR="009F389E" w:rsidRPr="00BD61B1" w:rsidRDefault="009F389E" w:rsidP="00C16D98">
            <w:pPr>
              <w:pStyle w:val="Default"/>
              <w:rPr>
                <w:color w:val="auto"/>
              </w:rPr>
            </w:pPr>
            <w:r w:rsidRPr="00BD61B1">
              <w:rPr>
                <w:color w:val="auto"/>
              </w:rPr>
              <w:t xml:space="preserve">М.: ГЭОТАР-Медиа, 2008 </w:t>
            </w:r>
          </w:p>
        </w:tc>
      </w:tr>
    </w:tbl>
    <w:p w:rsidR="009F389E" w:rsidRPr="00BD61B1" w:rsidRDefault="009F389E" w:rsidP="009F389E">
      <w:pPr>
        <w:rPr>
          <w:rFonts w:ascii="Times New Roman" w:hAnsi="Times New Roman" w:cs="Times New Roman"/>
          <w:sz w:val="24"/>
          <w:szCs w:val="24"/>
        </w:rPr>
      </w:pPr>
    </w:p>
    <w:p w:rsidR="009F389E" w:rsidRPr="00BD61B1" w:rsidRDefault="009F389E" w:rsidP="009F3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3261"/>
        <w:gridCol w:w="2126"/>
      </w:tblGrid>
      <w:tr w:rsidR="00E45A94" w:rsidRPr="00BD61B1" w:rsidTr="00C16D98">
        <w:trPr>
          <w:trHeight w:val="517"/>
        </w:trPr>
        <w:tc>
          <w:tcPr>
            <w:tcW w:w="576" w:type="dxa"/>
            <w:vMerge w:val="restart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ы),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и),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Место издания, издатель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4" w:rsidRPr="00BD61B1" w:rsidTr="00C16D98">
        <w:trPr>
          <w:trHeight w:val="756"/>
        </w:trPr>
        <w:tc>
          <w:tcPr>
            <w:tcW w:w="576" w:type="dxa"/>
            <w:vMerge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94" w:rsidRPr="00BD61B1" w:rsidTr="00C16D98">
        <w:tc>
          <w:tcPr>
            <w:tcW w:w="57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5A94" w:rsidRPr="00BD61B1" w:rsidTr="00C16D98">
        <w:tc>
          <w:tcPr>
            <w:tcW w:w="57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психология </w:t>
            </w:r>
          </w:p>
        </w:tc>
        <w:tc>
          <w:tcPr>
            <w:tcW w:w="3261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М.Перре</w:t>
            </w:r>
            <w:proofErr w:type="spellEnd"/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У.Бауманна</w:t>
            </w:r>
            <w:proofErr w:type="spellEnd"/>
          </w:p>
        </w:tc>
        <w:tc>
          <w:tcPr>
            <w:tcW w:w="2126" w:type="dxa"/>
          </w:tcPr>
          <w:p w:rsidR="009F389E" w:rsidRPr="00BD61B1" w:rsidRDefault="009F389E" w:rsidP="00C16D9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Питер, 2007 </w:t>
            </w:r>
          </w:p>
        </w:tc>
      </w:tr>
    </w:tbl>
    <w:p w:rsidR="009F389E" w:rsidRPr="00BD61B1" w:rsidRDefault="009F389E" w:rsidP="009F38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B1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tbl>
      <w:tblPr>
        <w:tblW w:w="96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8"/>
        <w:gridCol w:w="8830"/>
      </w:tblGrid>
      <w:tr w:rsidR="00E45A94" w:rsidRPr="00BD61B1" w:rsidTr="00C16D98">
        <w:trPr>
          <w:trHeight w:val="3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9E" w:rsidRPr="00BD61B1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9E" w:rsidRPr="00BD61B1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ИБС </w:t>
            </w:r>
            <w:proofErr w:type="spell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</w:p>
        </w:tc>
      </w:tr>
      <w:tr w:rsidR="00E45A94" w:rsidRPr="00BD61B1" w:rsidTr="00C16D98">
        <w:trPr>
          <w:trHeight w:val="3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9E" w:rsidRPr="00BD61B1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9E" w:rsidRPr="00BD61B1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БМ </w:t>
            </w:r>
            <w:proofErr w:type="spellStart"/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МедАрт</w:t>
            </w:r>
            <w:proofErr w:type="spellEnd"/>
          </w:p>
        </w:tc>
      </w:tr>
      <w:tr w:rsidR="00E45A94" w:rsidRPr="00BD61B1" w:rsidTr="00C16D98">
        <w:trPr>
          <w:trHeight w:val="3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89E" w:rsidRPr="00BD61B1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89E" w:rsidRPr="00BD61B1" w:rsidRDefault="009F389E" w:rsidP="00C16D9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1B1">
              <w:rPr>
                <w:rFonts w:ascii="Times New Roman" w:hAnsi="Times New Roman" w:cs="Times New Roman"/>
                <w:sz w:val="24"/>
                <w:szCs w:val="24"/>
              </w:rPr>
              <w:t xml:space="preserve">БД </w:t>
            </w:r>
            <w:proofErr w:type="spellStart"/>
            <w:r w:rsidRPr="00BD6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Ebsco</w:t>
            </w:r>
            <w:proofErr w:type="spellEnd"/>
          </w:p>
        </w:tc>
      </w:tr>
    </w:tbl>
    <w:p w:rsidR="009F389E" w:rsidRPr="00BD61B1" w:rsidRDefault="009F389E" w:rsidP="00CC3896">
      <w:pPr>
        <w:rPr>
          <w:rFonts w:ascii="Times New Roman" w:hAnsi="Times New Roman" w:cs="Times New Roman"/>
          <w:sz w:val="24"/>
          <w:szCs w:val="24"/>
        </w:rPr>
      </w:pPr>
    </w:p>
    <w:sectPr w:rsidR="009F389E" w:rsidRPr="00BD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175E"/>
    <w:multiLevelType w:val="hybridMultilevel"/>
    <w:tmpl w:val="0D92E8AA"/>
    <w:lvl w:ilvl="0" w:tplc="70C47E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D09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E67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64C2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0AB1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C8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D2EF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A9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0A11AF3"/>
    <w:multiLevelType w:val="hybridMultilevel"/>
    <w:tmpl w:val="C888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70"/>
    <w:rsid w:val="00002B3E"/>
    <w:rsid w:val="001543FC"/>
    <w:rsid w:val="00161181"/>
    <w:rsid w:val="002976BC"/>
    <w:rsid w:val="00336E23"/>
    <w:rsid w:val="003F3166"/>
    <w:rsid w:val="00470092"/>
    <w:rsid w:val="006A3D70"/>
    <w:rsid w:val="009303B9"/>
    <w:rsid w:val="009F389E"/>
    <w:rsid w:val="00BD61B1"/>
    <w:rsid w:val="00BF07ED"/>
    <w:rsid w:val="00C139C6"/>
    <w:rsid w:val="00C42170"/>
    <w:rsid w:val="00CC3896"/>
    <w:rsid w:val="00E45A94"/>
    <w:rsid w:val="00E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70092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54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5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54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5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4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0092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F3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70092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54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54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543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5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4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0092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F3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</dc:creator>
  <cp:keywords/>
  <dc:description/>
  <cp:lastModifiedBy>Анка</cp:lastModifiedBy>
  <cp:revision>10</cp:revision>
  <dcterms:created xsi:type="dcterms:W3CDTF">2014-01-11T10:35:00Z</dcterms:created>
  <dcterms:modified xsi:type="dcterms:W3CDTF">2014-11-07T04:58:00Z</dcterms:modified>
</cp:coreProperties>
</file>