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4E07" w14:textId="77777777" w:rsidR="001E2254" w:rsidRPr="001E2254" w:rsidRDefault="001E2254" w:rsidP="001E2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254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1E2254">
        <w:rPr>
          <w:rFonts w:ascii="Times New Roman" w:eastAsia="Calibri" w:hAnsi="Times New Roman" w:cs="Times New Roman"/>
          <w:sz w:val="28"/>
          <w:szCs w:val="28"/>
        </w:rPr>
        <w:t>Войно-Ясенецкого</w:t>
      </w:r>
      <w:proofErr w:type="spellEnd"/>
      <w:r w:rsidRPr="001E2254">
        <w:rPr>
          <w:rFonts w:ascii="Times New Roman" w:eastAsia="Calibri" w:hAnsi="Times New Roman" w:cs="Times New Roman"/>
          <w:sz w:val="28"/>
          <w:szCs w:val="28"/>
        </w:rPr>
        <w:t xml:space="preserve">» Министерства здравоохранения Российской Федерации </w:t>
      </w:r>
    </w:p>
    <w:p w14:paraId="2264393D" w14:textId="77777777" w:rsidR="001E2254" w:rsidRPr="001E2254" w:rsidRDefault="001E2254" w:rsidP="001E2254">
      <w:pPr>
        <w:rPr>
          <w:rFonts w:ascii="Times New Roman" w:eastAsia="Calibri" w:hAnsi="Times New Roman" w:cs="Times New Roman"/>
          <w:sz w:val="28"/>
          <w:szCs w:val="28"/>
        </w:rPr>
      </w:pPr>
    </w:p>
    <w:p w14:paraId="79F492B4" w14:textId="77777777" w:rsidR="001E2254" w:rsidRPr="001E2254" w:rsidRDefault="001E2254" w:rsidP="001E2254">
      <w:pPr>
        <w:rPr>
          <w:rFonts w:ascii="Times New Roman" w:eastAsia="Calibri" w:hAnsi="Times New Roman" w:cs="Times New Roman"/>
          <w:sz w:val="28"/>
          <w:szCs w:val="28"/>
        </w:rPr>
      </w:pPr>
    </w:p>
    <w:p w14:paraId="36ACF06A" w14:textId="77777777" w:rsidR="001E2254" w:rsidRPr="001E2254" w:rsidRDefault="001E2254" w:rsidP="001E2254">
      <w:pPr>
        <w:rPr>
          <w:rFonts w:ascii="Times New Roman" w:eastAsia="Calibri" w:hAnsi="Times New Roman" w:cs="Times New Roman"/>
          <w:sz w:val="28"/>
          <w:szCs w:val="28"/>
        </w:rPr>
      </w:pPr>
    </w:p>
    <w:p w14:paraId="238FD113" w14:textId="77777777" w:rsidR="001E2254" w:rsidRPr="001E2254" w:rsidRDefault="001E2254" w:rsidP="001E2254">
      <w:pPr>
        <w:rPr>
          <w:rFonts w:ascii="Times New Roman" w:eastAsia="Calibri" w:hAnsi="Times New Roman" w:cs="Times New Roman"/>
          <w:sz w:val="28"/>
          <w:szCs w:val="28"/>
        </w:rPr>
      </w:pPr>
    </w:p>
    <w:p w14:paraId="5F549314" w14:textId="77777777" w:rsidR="001E2254" w:rsidRPr="001E2254" w:rsidRDefault="001E2254" w:rsidP="001E2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254">
        <w:rPr>
          <w:rFonts w:ascii="Times New Roman" w:eastAsia="Calibri" w:hAnsi="Times New Roman" w:cs="Times New Roman"/>
          <w:sz w:val="28"/>
          <w:szCs w:val="28"/>
        </w:rPr>
        <w:t xml:space="preserve">Кафедра анестезиологии и реаниматологии ИПО </w:t>
      </w:r>
    </w:p>
    <w:p w14:paraId="4A9B438D" w14:textId="77777777" w:rsidR="001E2254" w:rsidRPr="001E2254" w:rsidRDefault="001E2254" w:rsidP="001E2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254">
        <w:rPr>
          <w:rFonts w:ascii="Times New Roman" w:eastAsia="Calibri" w:hAnsi="Times New Roman" w:cs="Times New Roman"/>
          <w:sz w:val="28"/>
          <w:szCs w:val="28"/>
        </w:rPr>
        <w:t xml:space="preserve">РЕФЕРАТ </w:t>
      </w:r>
    </w:p>
    <w:p w14:paraId="417B5788" w14:textId="77777777" w:rsidR="001E2254" w:rsidRPr="001E2254" w:rsidRDefault="001E2254" w:rsidP="001E22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254">
        <w:rPr>
          <w:rFonts w:ascii="Times New Roman" w:eastAsia="Calibri" w:hAnsi="Times New Roman" w:cs="Times New Roman"/>
          <w:sz w:val="28"/>
          <w:szCs w:val="28"/>
        </w:rPr>
        <w:t xml:space="preserve">По дисциплине: «Анестезиология и реаниматология» </w:t>
      </w:r>
    </w:p>
    <w:p w14:paraId="47727133" w14:textId="46D9281B" w:rsidR="00D74D5E" w:rsidRPr="001E2254" w:rsidRDefault="001E225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E90974" w:rsidRPr="001E2254">
        <w:rPr>
          <w:rFonts w:ascii="Times New Roman" w:eastAsia="Times New Roman" w:hAnsi="Times New Roman" w:cs="Times New Roman"/>
          <w:sz w:val="28"/>
          <w:szCs w:val="28"/>
        </w:rPr>
        <w:t>«Злокачественная гипертермия»</w:t>
      </w:r>
    </w:p>
    <w:p w14:paraId="0C6D8EF7" w14:textId="77777777" w:rsidR="00D74D5E" w:rsidRPr="001E2254" w:rsidRDefault="00D74D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12609C" w14:textId="77777777" w:rsidR="00D74D5E" w:rsidRPr="001E2254" w:rsidRDefault="00D74D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113A6D" w14:textId="77777777" w:rsidR="00D74D5E" w:rsidRPr="001E2254" w:rsidRDefault="00D74D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FB6E2C" w14:textId="77777777" w:rsidR="00D74D5E" w:rsidRPr="001E2254" w:rsidRDefault="00D74D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BE4A28" w14:textId="77777777" w:rsidR="00D74D5E" w:rsidRPr="001E2254" w:rsidRDefault="00D74D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2F8E89" w14:textId="77777777" w:rsidR="00D74D5E" w:rsidRPr="001E2254" w:rsidRDefault="00D74D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924FD3" w14:textId="77777777" w:rsidR="001E2254" w:rsidRPr="001E2254" w:rsidRDefault="001E2254" w:rsidP="001E2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2254">
        <w:rPr>
          <w:rFonts w:ascii="Times New Roman" w:eastAsia="Calibri" w:hAnsi="Times New Roman" w:cs="Times New Roman"/>
          <w:sz w:val="28"/>
          <w:szCs w:val="28"/>
        </w:rPr>
        <w:t>Выполнил: ординатор 1 года Шептунов Д.А.</w:t>
      </w:r>
    </w:p>
    <w:p w14:paraId="520D2712" w14:textId="77777777" w:rsidR="001E2254" w:rsidRPr="001E2254" w:rsidRDefault="001E2254" w:rsidP="001E2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2254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кафедрой: д.м.н., профессор </w:t>
      </w:r>
      <w:proofErr w:type="spellStart"/>
      <w:r w:rsidRPr="001E2254">
        <w:rPr>
          <w:rFonts w:ascii="Times New Roman" w:eastAsia="Calibri" w:hAnsi="Times New Roman" w:cs="Times New Roman"/>
          <w:sz w:val="28"/>
          <w:szCs w:val="28"/>
        </w:rPr>
        <w:t>Грицан</w:t>
      </w:r>
      <w:proofErr w:type="spellEnd"/>
      <w:r w:rsidRPr="001E2254">
        <w:rPr>
          <w:rFonts w:ascii="Times New Roman" w:eastAsia="Calibri" w:hAnsi="Times New Roman" w:cs="Times New Roman"/>
          <w:sz w:val="28"/>
          <w:szCs w:val="28"/>
        </w:rPr>
        <w:t xml:space="preserve"> А.И. </w:t>
      </w:r>
    </w:p>
    <w:p w14:paraId="5DA0BA13" w14:textId="77777777" w:rsidR="001E2254" w:rsidRPr="001E2254" w:rsidRDefault="001E2254" w:rsidP="001E225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2254">
        <w:rPr>
          <w:rFonts w:ascii="Times New Roman" w:eastAsia="Calibri" w:hAnsi="Times New Roman" w:cs="Times New Roman"/>
          <w:sz w:val="28"/>
          <w:szCs w:val="28"/>
        </w:rPr>
        <w:t>Кафедральный руководитель: ассистент Смирнова В.А.</w:t>
      </w:r>
    </w:p>
    <w:p w14:paraId="28486B3B" w14:textId="168FA63D" w:rsidR="00D74D5E" w:rsidRPr="001E2254" w:rsidRDefault="00D74D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E92EA1" w14:textId="77777777" w:rsidR="00F02718" w:rsidRPr="001E2254" w:rsidRDefault="00F027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467CDD" w14:textId="1D399474" w:rsidR="00D74D5E" w:rsidRPr="001E2254" w:rsidRDefault="00D74D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E8ABC9" w14:textId="6515920D" w:rsidR="00E90974" w:rsidRPr="001E2254" w:rsidRDefault="00E9097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93350B" w14:textId="598CD010" w:rsidR="001E2254" w:rsidRPr="001E2254" w:rsidRDefault="001E2254" w:rsidP="001E22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20167B" w14:textId="77777777" w:rsidR="001E2254" w:rsidRPr="001E2254" w:rsidRDefault="001E2254" w:rsidP="00E909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2A60C3" w14:textId="6F0B501C" w:rsidR="00E90974" w:rsidRPr="001E2254" w:rsidRDefault="001E2254" w:rsidP="00E909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F02718" w:rsidRPr="001E2254">
        <w:rPr>
          <w:rFonts w:ascii="Times New Roman" w:eastAsia="Times New Roman" w:hAnsi="Times New Roman" w:cs="Times New Roman"/>
          <w:b/>
          <w:sz w:val="28"/>
          <w:szCs w:val="28"/>
        </w:rPr>
        <w:t>расноярск, 2023</w:t>
      </w:r>
    </w:p>
    <w:p w14:paraId="44C47852" w14:textId="6AA35615" w:rsidR="00D74D5E" w:rsidRPr="001E2254" w:rsidRDefault="00E90974" w:rsidP="00E9097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254">
        <w:rPr>
          <w:rFonts w:ascii="Times New Roman" w:eastAsia="Calibri Light" w:hAnsi="Times New Roman" w:cs="Times New Roman"/>
          <w:b/>
          <w:sz w:val="28"/>
          <w:szCs w:val="28"/>
        </w:rPr>
        <w:lastRenderedPageBreak/>
        <w:t>Введение</w:t>
      </w:r>
    </w:p>
    <w:p w14:paraId="4048C72B" w14:textId="77777777" w:rsidR="00D74D5E" w:rsidRPr="001E2254" w:rsidRDefault="00D74D5E">
      <w:pPr>
        <w:spacing w:after="0" w:line="240" w:lineRule="auto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14:paraId="430D8D3E" w14:textId="77777777" w:rsidR="00D74D5E" w:rsidRPr="001E2254" w:rsidRDefault="00E90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Данная патология впервые была описана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Denborough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1960 году в письме редактору журнала “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Lancet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” как случай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периоперационной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гипертермии у молодого человека, 10 из 24 родственников которого погибли во время проведения общей анестезии.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почти 40-летнюю историю изучения синдрома злокачественной гипертермии представления анестезиологов о нём преодолели путь от “священного ужаса” перед этим грозным и когда-то загадочным заболеванием до вполне ясного понимания его механизма и принципов его терапии. Однако, те научные исследования и организационные мероприятия, которые были проведены за прошедшее десятилетие за рубежом, заставляют по-новому взглянуть на проблему злокачественной гипертермии.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14:paraId="79F06E71" w14:textId="77777777" w:rsidR="00D74D5E" w:rsidRPr="001E2254" w:rsidRDefault="00E90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Злокачественная гипертермия (ЗГ)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является состоянием острого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гиперметаболизма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скелетной мускулатуры, которое возникает при проведении общей анестезии или сразу же после неё (вызывается летучими ингаляционными анестетиками,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сукцинилхолином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и, вероятно, стрессом) и проявляется повышенным потреблением кислорода, накоплением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лактата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продукцией большого количества СО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 тепла.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2,3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Частота этого синдрома составляет примерно 1 на 15.000 случаев общей анестезии у детей и 1 на 50.000 случаев общей анестезии у взрослых.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Умеренно выраженные, абортивные формы ЗГ встречаются с частотой 1 на приблизительно 4.500 случаев анестезии с применением триггерных препаратов. У лиц мужского пола ЗГ встречается примерно в 4 раза чаще, чем женского.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Описаны случаи ЗГ у детей 5- и 6-месячного возраста. Наиболее полное исследование, продемонстрировавшее встречаемость ЗГ, было выполнено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Ording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Дании.</w:t>
      </w:r>
    </w:p>
    <w:p w14:paraId="17C9ECF9" w14:textId="77777777" w:rsidR="00D74D5E" w:rsidRPr="001E2254" w:rsidRDefault="00D74D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3894D31D" w14:textId="77777777" w:rsidR="00D74D5E" w:rsidRPr="001E2254" w:rsidRDefault="00E90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Частота молниеносной формы ЗГ:</w:t>
      </w:r>
    </w:p>
    <w:p w14:paraId="4073E464" w14:textId="77777777" w:rsidR="00D74D5E" w:rsidRPr="001E2254" w:rsidRDefault="00E9097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1:251.063 случаев общей анестезии,</w:t>
      </w:r>
    </w:p>
    <w:p w14:paraId="390D9689" w14:textId="77777777" w:rsidR="00D74D5E" w:rsidRPr="001E2254" w:rsidRDefault="00E9097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1: 84.488 случаев с применением ингаляционных анестетиков,</w:t>
      </w:r>
    </w:p>
    <w:p w14:paraId="5954E72D" w14:textId="77777777" w:rsidR="00D74D5E" w:rsidRPr="001E2254" w:rsidRDefault="00E9097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1: 61.961 с применением ингаляционных анестетиков 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сукцинилхолина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29358849" w14:textId="77777777" w:rsidR="00D74D5E" w:rsidRPr="001E2254" w:rsidRDefault="00D74D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5BA1152" w14:textId="77777777" w:rsidR="00D74D5E" w:rsidRPr="001E2254" w:rsidRDefault="00E90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Частота абортивной формы ЗГ:</w:t>
      </w:r>
    </w:p>
    <w:p w14:paraId="4E371E20" w14:textId="77777777" w:rsidR="00D74D5E" w:rsidRPr="001E2254" w:rsidRDefault="00E9097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1:16.303 случаев общей анестезии,</w:t>
      </w:r>
    </w:p>
    <w:p w14:paraId="338B9954" w14:textId="77777777" w:rsidR="00D74D5E" w:rsidRPr="001E2254" w:rsidRDefault="00E9097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1: 6.167 случаев с применением ингаляционных анестетиков,</w:t>
      </w:r>
    </w:p>
    <w:p w14:paraId="0D85EDFB" w14:textId="77777777" w:rsidR="00D74D5E" w:rsidRPr="001E2254" w:rsidRDefault="00E9097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0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1: 4.201 с применением ингаляционных анестетиков 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сукцинилхолина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66076E14" w14:textId="77777777" w:rsidR="00D74D5E" w:rsidRPr="001E2254" w:rsidRDefault="00D74D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616E270" w14:textId="77777777" w:rsidR="00D74D5E" w:rsidRPr="001E2254" w:rsidRDefault="00E90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Летальность при молниеносной форме этого синдрома без использования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дантролена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являющегося специфическим антидотом ЗГ, достигает, по разным оценкам, от 65 до 80%. Применение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дантролена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сочетании с рациональной и агрессивной симптоматической терапией позволило в последние годы в экономически развитых странах сократить летальность до 20% и ниже.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 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ЗГ является наследственным заболеванием, передающимся по аутосомно-доминантному типу наследования с различной степенью пенетрантности.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 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Ген или группа генов, которые участвуют в развитии данной патологии, предположительно расположены в 19 паре хромосом на участке 13.1. Названый генетический участок отвечает за структуру и функции кальциевых каналов саркоплазматического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ретикулума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миоцитов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скелетных мышц. Кроме того, у людей с предрасположенностью к ЗГ выявлено нарушение метаболизма некоторых жирных кислот, а также обнаруживается дефект натриевых каналов.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14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Все это позволяет считать ЗГ генетически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полиэтиологичной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объясняет связь этого заболевания с некоторыми другими наследуемыми расстройствами.</w:t>
      </w:r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Установлено, что ЗГ довольно часто сочетается с двумя основными синдромами: синдром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King-Denborough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(низкий рост, скелетно-мышечные нарушения, отставание в физическом развитии и крипторхизм) и болезнь центральных волокон (миопатия мышечных волокон типа I с центральной дегенерацией). Связь ЗГ с другими нарушениями опорно-двигательного аппарата подвергается сомнению, за исключением мышечной дистрофии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Duschenne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76F9AF1D" w14:textId="77777777" w:rsidR="00D74D5E" w:rsidRPr="001E2254" w:rsidRDefault="00D74D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3BFCFDD" w14:textId="77777777" w:rsidR="00D74D5E" w:rsidRPr="001E2254" w:rsidRDefault="00D74D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EF2DE4E" w14:textId="275675F1" w:rsidR="00D74D5E" w:rsidRPr="001E2254" w:rsidRDefault="00D74D5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2A57AD" w14:textId="389A8D67" w:rsidR="00E90974" w:rsidRPr="001E2254" w:rsidRDefault="00E90974" w:rsidP="00E90974">
      <w:pPr>
        <w:keepNext/>
        <w:keepLines/>
        <w:spacing w:before="240" w:after="0" w:line="276" w:lineRule="auto"/>
        <w:rPr>
          <w:rFonts w:ascii="Times New Roman" w:eastAsia="Calibri Light" w:hAnsi="Times New Roman" w:cs="Times New Roman"/>
          <w:b/>
          <w:sz w:val="28"/>
          <w:szCs w:val="28"/>
        </w:rPr>
      </w:pPr>
      <w:r w:rsidRPr="001E2254">
        <w:rPr>
          <w:rFonts w:ascii="Times New Roman" w:eastAsia="Calibri Light" w:hAnsi="Times New Roman" w:cs="Times New Roman"/>
          <w:b/>
          <w:sz w:val="28"/>
          <w:szCs w:val="28"/>
        </w:rPr>
        <w:t>Триггерные агенты</w:t>
      </w:r>
    </w:p>
    <w:p w14:paraId="66470E3B" w14:textId="1438BFFF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Препараты, способные провоцировать ЗГ называются триггерными агентами. Традиционно триггерными считаются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сукцинилхолин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галогенсодержащие ингаляционные анестетики.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Сукцинилхолин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противопоказан для применения у детей в связи с тем, что способен вызвать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гиперкалиемию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у детей с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недиагностированной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миопатией. В 90-е годы, при значительном снижении частоты использования за рубежом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сукцинилхолина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появились сообщения о том, что ЗГ может быть вызвана стероидными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миорелаксантами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векуронием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панкуронием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), которые ранее относились к безопасным. Все местные анестетики, как эфирные, так и амидные, признаны безопасными в отношении ЗГ.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</w:p>
    <w:p w14:paraId="4EF9DA9B" w14:textId="77777777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</w:rPr>
        <w:t>Участие анестетиков в развитии ЗГ.</w:t>
      </w: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5605"/>
      </w:tblGrid>
      <w:tr w:rsidR="00F02718" w:rsidRPr="001E2254" w14:paraId="5E57A448" w14:textId="77777777">
        <w:trPr>
          <w:trHeight w:val="1"/>
        </w:trPr>
        <w:tc>
          <w:tcPr>
            <w:tcW w:w="3780" w:type="dxa"/>
            <w:tcBorders>
              <w:top w:val="single" w:sz="6" w:space="0" w:color="D8D8D8"/>
              <w:left w:val="single" w:sz="0" w:space="0" w:color="000000"/>
              <w:bottom w:val="single" w:sz="6" w:space="0" w:color="D8D8D8"/>
              <w:right w:val="single" w:sz="0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14:paraId="624438BC" w14:textId="77777777" w:rsidR="00D74D5E" w:rsidRPr="001E2254" w:rsidRDefault="00E909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Триггерные препараты</w:t>
            </w:r>
          </w:p>
        </w:tc>
        <w:tc>
          <w:tcPr>
            <w:tcW w:w="9345" w:type="dxa"/>
            <w:tcBorders>
              <w:top w:val="single" w:sz="6" w:space="0" w:color="D8D8D8"/>
              <w:left w:val="single" w:sz="0" w:space="0" w:color="000000"/>
              <w:bottom w:val="single" w:sz="6" w:space="0" w:color="D8D8D8"/>
              <w:right w:val="single" w:sz="0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14:paraId="6E4168A0" w14:textId="77777777" w:rsidR="00D74D5E" w:rsidRPr="001E2254" w:rsidRDefault="00E909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Безопасные препараты</w:t>
            </w:r>
          </w:p>
        </w:tc>
      </w:tr>
      <w:tr w:rsidR="00F02718" w:rsidRPr="001E2254" w14:paraId="0E564B44" w14:textId="77777777">
        <w:trPr>
          <w:trHeight w:val="1"/>
        </w:trPr>
        <w:tc>
          <w:tcPr>
            <w:tcW w:w="3780" w:type="dxa"/>
            <w:tcBorders>
              <w:top w:val="single" w:sz="6" w:space="0" w:color="D8D8D8"/>
              <w:left w:val="single" w:sz="0" w:space="0" w:color="000000"/>
              <w:bottom w:val="single" w:sz="6" w:space="0" w:color="D8D8D8"/>
              <w:right w:val="single" w:sz="0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14:paraId="63463632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Сукцинилхолин</w:t>
            </w:r>
            <w:proofErr w:type="spellEnd"/>
          </w:p>
          <w:p w14:paraId="179A066A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Векуроний</w:t>
            </w:r>
            <w:proofErr w:type="spellEnd"/>
          </w:p>
          <w:p w14:paraId="0AF4D9B7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Панкуроний</w:t>
            </w:r>
            <w:proofErr w:type="spellEnd"/>
          </w:p>
          <w:p w14:paraId="6E5106B6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Декаметоний</w:t>
            </w:r>
            <w:proofErr w:type="spellEnd"/>
          </w:p>
          <w:p w14:paraId="357B6E07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Диэтиловый</w:t>
            </w:r>
            <w:proofErr w:type="spellEnd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эфир</w:t>
            </w:r>
          </w:p>
          <w:p w14:paraId="5B38CA66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Галотан</w:t>
            </w:r>
            <w:proofErr w:type="spellEnd"/>
          </w:p>
          <w:p w14:paraId="2CB98C50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Энфлюран</w:t>
            </w:r>
            <w:proofErr w:type="spellEnd"/>
          </w:p>
          <w:p w14:paraId="6548AA0F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Изофлюран</w:t>
            </w:r>
            <w:proofErr w:type="spellEnd"/>
          </w:p>
          <w:p w14:paraId="2FB0E8DA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Дезфлюран</w:t>
            </w:r>
            <w:proofErr w:type="spellEnd"/>
          </w:p>
          <w:p w14:paraId="30E1C026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Севофлюран</w:t>
            </w:r>
            <w:proofErr w:type="spellEnd"/>
          </w:p>
        </w:tc>
        <w:tc>
          <w:tcPr>
            <w:tcW w:w="9345" w:type="dxa"/>
            <w:tcBorders>
              <w:top w:val="single" w:sz="6" w:space="0" w:color="D8D8D8"/>
              <w:left w:val="single" w:sz="0" w:space="0" w:color="000000"/>
              <w:bottom w:val="single" w:sz="6" w:space="0" w:color="D8D8D8"/>
              <w:right w:val="single" w:sz="0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14:paraId="5F953A2F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Барбитураты</w:t>
            </w:r>
          </w:p>
          <w:p w14:paraId="7AE608BE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Бензодиазепины</w:t>
            </w:r>
            <w:proofErr w:type="spellEnd"/>
          </w:p>
          <w:p w14:paraId="65EA61E6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Опиоиды</w:t>
            </w:r>
            <w:proofErr w:type="spellEnd"/>
          </w:p>
          <w:p w14:paraId="6BBA9E93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Закись азота</w:t>
            </w:r>
          </w:p>
          <w:p w14:paraId="71626E6D" w14:textId="77777777" w:rsidR="00D74D5E" w:rsidRPr="001E2254" w:rsidRDefault="00E90974">
            <w:pPr>
              <w:numPr>
                <w:ilvl w:val="0"/>
                <w:numId w:val="3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Нестероидные </w:t>
            </w: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недеполяризующие</w:t>
            </w:r>
            <w:proofErr w:type="spellEnd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мышечные </w:t>
            </w:r>
          </w:p>
          <w:p w14:paraId="683343B5" w14:textId="77777777" w:rsidR="00D74D5E" w:rsidRPr="001E2254" w:rsidRDefault="00E90974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релаксанты</w:t>
            </w:r>
          </w:p>
          <w:p w14:paraId="11B95731" w14:textId="77777777" w:rsidR="00D74D5E" w:rsidRPr="001E2254" w:rsidRDefault="00E90974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местные анестетики</w:t>
            </w:r>
          </w:p>
          <w:p w14:paraId="0E529D83" w14:textId="77777777" w:rsidR="00D74D5E" w:rsidRPr="001E2254" w:rsidRDefault="00E90974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Этомидат</w:t>
            </w:r>
            <w:proofErr w:type="spellEnd"/>
          </w:p>
          <w:p w14:paraId="12717299" w14:textId="77777777" w:rsidR="00D74D5E" w:rsidRPr="001E2254" w:rsidRDefault="00E90974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Пропофол</w:t>
            </w:r>
            <w:proofErr w:type="spellEnd"/>
          </w:p>
          <w:p w14:paraId="2546206A" w14:textId="77777777" w:rsidR="00D74D5E" w:rsidRPr="001E2254" w:rsidRDefault="00E90974">
            <w:pPr>
              <w:numPr>
                <w:ilvl w:val="0"/>
                <w:numId w:val="4"/>
              </w:numPr>
              <w:tabs>
                <w:tab w:val="left" w:pos="720"/>
              </w:tabs>
              <w:spacing w:after="200"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254">
              <w:rPr>
                <w:rFonts w:ascii="Times New Roman" w:eastAsia="Times New Roman" w:hAnsi="Times New Roman" w:cs="Times New Roman"/>
                <w:sz w:val="28"/>
                <w:szCs w:val="28"/>
              </w:rPr>
              <w:t>Кетамин</w:t>
            </w:r>
            <w:proofErr w:type="spellEnd"/>
          </w:p>
        </w:tc>
      </w:tr>
    </w:tbl>
    <w:p w14:paraId="718B38CE" w14:textId="0699283D" w:rsidR="00D74D5E" w:rsidRPr="001E2254" w:rsidRDefault="00D74D5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559F48" w14:textId="1B9DD2DF" w:rsidR="00D74D5E" w:rsidRPr="001E2254" w:rsidRDefault="00E90974" w:rsidP="00E90974">
      <w:pPr>
        <w:keepNext/>
        <w:keepLines/>
        <w:spacing w:before="240" w:after="0" w:line="276" w:lineRule="auto"/>
        <w:rPr>
          <w:rFonts w:ascii="Times New Roman" w:eastAsia="Calibri Light" w:hAnsi="Times New Roman" w:cs="Times New Roman"/>
          <w:b/>
          <w:sz w:val="28"/>
          <w:szCs w:val="28"/>
        </w:rPr>
      </w:pPr>
      <w:r w:rsidRPr="001E2254">
        <w:rPr>
          <w:rFonts w:ascii="Times New Roman" w:eastAsia="Calibri Light" w:hAnsi="Times New Roman" w:cs="Times New Roman"/>
          <w:b/>
          <w:sz w:val="28"/>
          <w:szCs w:val="28"/>
        </w:rPr>
        <w:t>Патогенез</w:t>
      </w:r>
    </w:p>
    <w:p w14:paraId="69FBD0BB" w14:textId="23CC0BA6" w:rsidR="00D74D5E" w:rsidRPr="001E2254" w:rsidRDefault="00E90974" w:rsidP="00F02718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Биохимические изменения, которые возникают при ЗГ, происходят только в скелетных мышцах и в системе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гемопоэза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. Однако, эти изменения влияют на функцию многих органов и систем. В результате прямого или опосредованного воздействия триггерных агентов происходит увеличение длительности открытия мышечных кальциевых каналов. Это приводит к избыточному накоплению ионов кальция в саркоплазме. Концентрация кальция в цитоплазме может возрасти в восемь раз по сравнению с нормой. Внутриклеточный Са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 связывается с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тропонином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образует стабильный актин-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миозиновый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комплекс, что вызывает патологическое мышечное сокращение. Результатом нарушения процесса мышечной релаксации является клинически выраженная мышечная ригидность. Длительное мышечное сокращение требует постоянного потребления энергии, заключённой в АТФ. Дефицит АТФ активизирует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гликогенолиз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фосфорилаткиназную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систему. Результатом возросшего метаболизма является повышенное потребление кислорода и повышенное образование СО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 и тепла. Истощение аэробного пути получения энергии запускает анаэробный метаболизм, что приводит к накоплению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лактата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метаболическому ацидозу. Результатом набухания и отека мышечной ткани является повреждение мембраны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миоцита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рабдомиолиз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что приводит к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гиперкалиемии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гиперкальциемии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миоглобинурии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повышению уровня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креатинфосфокиназы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в крови. Резкие метаболические и электролитные 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нарушения приводят к угнетению сердечно-сосудистой системы, отеку головного мозга и другим органным расстройствам.</w:t>
      </w:r>
    </w:p>
    <w:p w14:paraId="5E743646" w14:textId="7317CE82" w:rsidR="00D74D5E" w:rsidRPr="001E2254" w:rsidRDefault="00E90974" w:rsidP="00E90974">
      <w:pPr>
        <w:keepNext/>
        <w:keepLines/>
        <w:spacing w:before="240" w:after="0" w:line="276" w:lineRule="auto"/>
        <w:rPr>
          <w:rFonts w:ascii="Times New Roman" w:eastAsia="Calibri Light" w:hAnsi="Times New Roman" w:cs="Times New Roman"/>
          <w:b/>
          <w:sz w:val="28"/>
          <w:szCs w:val="28"/>
        </w:rPr>
      </w:pPr>
      <w:r w:rsidRPr="001E2254">
        <w:rPr>
          <w:rFonts w:ascii="Times New Roman" w:eastAsia="Calibri Light" w:hAnsi="Times New Roman" w:cs="Times New Roman"/>
          <w:b/>
          <w:sz w:val="28"/>
          <w:szCs w:val="28"/>
        </w:rPr>
        <w:t>Классификация</w:t>
      </w:r>
    </w:p>
    <w:p w14:paraId="2B530A1A" w14:textId="77777777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Злокачественная гипертермия может протекать в нескольких клинических вариантах, которые различаются скоростью развития патологических процессов и временем, прошедшим от начала воздействия триггера до манифестации криза. Кроме того, присутствуют отличия в выраженности и наборе симптомов, тяжести течения. Различают следующие разновидности патологии:</w:t>
      </w:r>
    </w:p>
    <w:p w14:paraId="2BB745CA" w14:textId="77777777" w:rsidR="00D74D5E" w:rsidRPr="001E2254" w:rsidRDefault="00E90974">
      <w:pPr>
        <w:numPr>
          <w:ilvl w:val="0"/>
          <w:numId w:val="5"/>
        </w:numPr>
        <w:tabs>
          <w:tab w:val="left" w:pos="720"/>
        </w:tabs>
        <w:spacing w:after="200" w:line="276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</w:rPr>
        <w:t>Классическая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. Встречается в 20% случаев. Отличается развернутой клинической картиной, возникает непосредственно после введения препарата, обладающего триггерной активностью. Патология обычно развивается на операционном столе на глазах у анестезиолога, имеющего всё необходимое для купирования гипертермической реакции. Летальность сравнительно невысока, уровень смертности не превышает 5%.</w:t>
      </w:r>
    </w:p>
    <w:p w14:paraId="30FD0EA8" w14:textId="77777777" w:rsidR="00D74D5E" w:rsidRPr="001E2254" w:rsidRDefault="00E90974">
      <w:pPr>
        <w:numPr>
          <w:ilvl w:val="0"/>
          <w:numId w:val="5"/>
        </w:numPr>
        <w:tabs>
          <w:tab w:val="left" w:pos="720"/>
        </w:tabs>
        <w:spacing w:after="200" w:line="276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</w:rPr>
        <w:t>Абортивная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. На ее долю приходится около 75% всех случаев. Отличается относительно легким течением, неполным набором клинической симптоматики. Во многих случаях значительного повышения температуры тела не происходит. Наиболее легкие варианты течения порой остаются незамеченными или ошибочно относятся к другим патологическим состояниям. Летальность – 2-4%.</w:t>
      </w:r>
    </w:p>
    <w:p w14:paraId="445418D1" w14:textId="24F5C498" w:rsidR="00D74D5E" w:rsidRPr="001E2254" w:rsidRDefault="00E90974" w:rsidP="00F02718">
      <w:pPr>
        <w:numPr>
          <w:ilvl w:val="0"/>
          <w:numId w:val="5"/>
        </w:numPr>
        <w:tabs>
          <w:tab w:val="left" w:pos="720"/>
        </w:tabs>
        <w:spacing w:after="200" w:line="276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</w:rPr>
        <w:t>Отсроченная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. Встречается в 5% случаев, развивается через сутки и более после контакта с провоцирующим фактором. Протекает сравнительно легко. Опасность для пациента заключается в том, что через 24 часа после операции контроль медиков за ним ослабевает. Злокачественная гипертермия на начальном этапе развития часто остается незамеченной или подвергается ошибочной диагностике.</w:t>
      </w:r>
    </w:p>
    <w:p w14:paraId="6948F2E6" w14:textId="77777777" w:rsidR="00D74D5E" w:rsidRPr="001E2254" w:rsidRDefault="00D74D5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9B4DC1" w14:textId="77777777" w:rsidR="00D74D5E" w:rsidRPr="001E2254" w:rsidRDefault="00E90974">
      <w:pPr>
        <w:keepNext/>
        <w:keepLines/>
        <w:spacing w:before="240" w:after="0" w:line="276" w:lineRule="auto"/>
        <w:rPr>
          <w:rFonts w:ascii="Times New Roman" w:eastAsia="Calibri Light" w:hAnsi="Times New Roman" w:cs="Times New Roman"/>
          <w:b/>
          <w:sz w:val="28"/>
          <w:szCs w:val="28"/>
        </w:rPr>
      </w:pPr>
      <w:r w:rsidRPr="001E2254">
        <w:rPr>
          <w:rFonts w:ascii="Times New Roman" w:eastAsia="Calibri Light" w:hAnsi="Times New Roman" w:cs="Times New Roman"/>
          <w:b/>
          <w:sz w:val="28"/>
          <w:szCs w:val="28"/>
        </w:rPr>
        <w:t>Клиническая картина</w:t>
      </w:r>
    </w:p>
    <w:p w14:paraId="1702A3AE" w14:textId="77777777" w:rsidR="00D74D5E" w:rsidRPr="001E2254" w:rsidRDefault="00D74D5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4E1763" w14:textId="77777777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Исход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фульминантной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формы ЗГ в огромной степени зависит от ранней диагностики этого заболевания и агрессивности предпринимаемой терапии. Анестезиолог должен уметь распознать развивающуюся ЗГ на 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наиболее ранних этапах. Для этого необходимы настороженность врача по этому заболеванию и ясное представление о классической клинической картине и дифференциальной диагностике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фульминантной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ЗГ. Первые симптомы ЗГ проявляются зачастую либо спустя некоторое время после индукции триггерными препаратами, либо по окончанию оперативного вмешательства, на этапе пробуждения.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 Однако описан случай развития ЗГ спустя сутки после оперативного вмешательства.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 Большинство современных источников самым ранним признаком ЗГ называют быстрый рост уровня СО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 в выдыхаемом воздухе.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2-4,10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 По мере того, как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капнография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становится рутинным компонентом современного анестезиологического мониторинга, значимость этого диагностического критерия возрастает. Однако, когда пациент находится на самостоятельном дыхании,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капнографией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принебрегают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на первое место выходят классические признаки ЗГ.</w:t>
      </w:r>
    </w:p>
    <w:p w14:paraId="5DE40E40" w14:textId="77777777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К классическим признакам ЗГ относятся тахикардия,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тахипноэ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гипертермия, цианоз 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генерализованная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мышечная ригидность.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 Наиболее ценными лабораторными данными в диагностике ЗГ являются значительное повышение РаСО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, снижение РаО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смешанный ацидоз,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гиперкалиемия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миоглобинемия.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2,10</w:t>
      </w:r>
    </w:p>
    <w:p w14:paraId="11038C90" w14:textId="77777777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Тахикардия зачастую является наиболее ранним клиническим симптомом ЗГ. Причиной недооценки этого симптома является то, что тахикардию вызывают и такие банальные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интраоперационные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состояния, как поверхностная анестезия, гиперкапния, гипоксемия,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гиповолемия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влияние антихолинергических препаратов.</w:t>
      </w:r>
    </w:p>
    <w:p w14:paraId="50342596" w14:textId="77777777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Аритмия при ЗГ обусловлена, как правило, симпатической стимуляцией и повышением РаСО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. В начальной стадии ЗГ наиболее частыми нарушениями ритма являются желудочковая тахикардия и экстрасистолия. Развитие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гиперкалиемии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на ЭКГ типичными признаками (заострение зубца Т и расширение комплекса QRS). При прогрессировании патологического процесса развивается брадикардия с последующей остановкой сердечной деятельности. Причиной остановки сердца является резкая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гиперкалиемия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на фоне гипоксии и метаболических расстройств.</w:t>
      </w:r>
    </w:p>
    <w:p w14:paraId="7B92CAF3" w14:textId="77777777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Повышение симпатического тонуса вызывает в ранней фазе ЗГ выраженный рост артериального давления. По мере усугубления метаболических нарушений артериальное давление начинает падать в результате вторичного угнетения миокарда.</w:t>
      </w:r>
    </w:p>
    <w:p w14:paraId="4980B5DA" w14:textId="77777777" w:rsidR="00D74D5E" w:rsidRPr="001E2254" w:rsidRDefault="00E90974">
      <w:pPr>
        <w:keepNext/>
        <w:keepLines/>
        <w:spacing w:before="40" w:after="0" w:line="276" w:lineRule="auto"/>
        <w:rPr>
          <w:rFonts w:ascii="Times New Roman" w:eastAsia="Calibri Light" w:hAnsi="Times New Roman" w:cs="Times New Roman"/>
          <w:b/>
          <w:sz w:val="28"/>
          <w:szCs w:val="28"/>
        </w:rPr>
      </w:pPr>
      <w:r w:rsidRPr="001E2254">
        <w:rPr>
          <w:rFonts w:ascii="Times New Roman" w:eastAsia="Calibri Light" w:hAnsi="Times New Roman" w:cs="Times New Roman"/>
          <w:b/>
          <w:sz w:val="28"/>
          <w:szCs w:val="28"/>
        </w:rPr>
        <w:lastRenderedPageBreak/>
        <w:t>Диагностические признаки ЗГ:</w:t>
      </w:r>
    </w:p>
    <w:p w14:paraId="69CD437C" w14:textId="77777777" w:rsidR="00D74D5E" w:rsidRPr="001E2254" w:rsidRDefault="00E90974" w:rsidP="00F02718">
      <w:pPr>
        <w:numPr>
          <w:ilvl w:val="0"/>
          <w:numId w:val="13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Тахикардия (необъяснимая).</w:t>
      </w:r>
    </w:p>
    <w:p w14:paraId="02A2DD58" w14:textId="77777777" w:rsidR="00D74D5E" w:rsidRPr="001E2254" w:rsidRDefault="00E90974" w:rsidP="00F02718">
      <w:pPr>
        <w:numPr>
          <w:ilvl w:val="0"/>
          <w:numId w:val="13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Гиперкапния.</w:t>
      </w:r>
    </w:p>
    <w:p w14:paraId="3D121EA8" w14:textId="77777777" w:rsidR="00D74D5E" w:rsidRPr="001E2254" w:rsidRDefault="00E90974" w:rsidP="00F02718">
      <w:pPr>
        <w:numPr>
          <w:ilvl w:val="0"/>
          <w:numId w:val="13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Тахипноэ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EFAE2" w14:textId="77777777" w:rsidR="00D74D5E" w:rsidRPr="001E2254" w:rsidRDefault="00E90974" w:rsidP="00F02718">
      <w:pPr>
        <w:numPr>
          <w:ilvl w:val="0"/>
          <w:numId w:val="13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Мышечная ригидность.</w:t>
      </w:r>
    </w:p>
    <w:p w14:paraId="545B9780" w14:textId="77777777" w:rsidR="00D74D5E" w:rsidRPr="001E2254" w:rsidRDefault="00E90974" w:rsidP="00F02718">
      <w:pPr>
        <w:numPr>
          <w:ilvl w:val="0"/>
          <w:numId w:val="13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Цианоз.</w:t>
      </w:r>
    </w:p>
    <w:p w14:paraId="58CFFCD0" w14:textId="77777777" w:rsidR="00D74D5E" w:rsidRPr="001E2254" w:rsidRDefault="00E90974" w:rsidP="00F02718">
      <w:pPr>
        <w:numPr>
          <w:ilvl w:val="0"/>
          <w:numId w:val="13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Резкое повышение температуры.</w:t>
      </w:r>
    </w:p>
    <w:p w14:paraId="3E22A64F" w14:textId="77777777" w:rsidR="00D74D5E" w:rsidRPr="001E2254" w:rsidRDefault="00E90974" w:rsidP="00F02718">
      <w:pPr>
        <w:numPr>
          <w:ilvl w:val="0"/>
          <w:numId w:val="13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Нестабильное кровяное давление.</w:t>
      </w:r>
    </w:p>
    <w:p w14:paraId="5252EA02" w14:textId="77777777" w:rsidR="00D74D5E" w:rsidRPr="001E2254" w:rsidRDefault="00E90974" w:rsidP="00F02718">
      <w:pPr>
        <w:numPr>
          <w:ilvl w:val="0"/>
          <w:numId w:val="13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Аритмия (желудочковая).</w:t>
      </w:r>
    </w:p>
    <w:p w14:paraId="51E8293D" w14:textId="77777777" w:rsidR="00D74D5E" w:rsidRPr="001E2254" w:rsidRDefault="00E90974" w:rsidP="00F02718">
      <w:pPr>
        <w:numPr>
          <w:ilvl w:val="0"/>
          <w:numId w:val="13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Ацидоз (респираторный и метаболический).</w:t>
      </w:r>
    </w:p>
    <w:p w14:paraId="5282F32F" w14:textId="77777777" w:rsidR="00D74D5E" w:rsidRPr="001E2254" w:rsidRDefault="00E90974" w:rsidP="00F02718">
      <w:pPr>
        <w:numPr>
          <w:ilvl w:val="0"/>
          <w:numId w:val="13"/>
        </w:numPr>
        <w:tabs>
          <w:tab w:val="left" w:pos="720"/>
        </w:tabs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Коагулопатия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(ДВС-синдром).</w:t>
      </w:r>
    </w:p>
    <w:p w14:paraId="04B82CBE" w14:textId="77777777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Гиперметаболизм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скелетной мускулатуры приводит к чрезвычайно быстрому нарастанию РаСО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. У пациентов, находящихся на спонтанном дыхании, развивается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тахипноэ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, что может быть одним из наиболее ранних симптомов ЗГ. У искусственно вентилируемых пациентов начинает быстро нарастать СО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 в конце выдоха, несмотря на попытки увеличения минутной вентиляции. При использовании полузакрытого контура, резко повышается температура абсорбера и изменяется цвет сорбента (если сорбент обладает этим свойством). При отсутствии гиперкапнии диагноз ЗГ маловероятен.</w:t>
      </w:r>
    </w:p>
    <w:p w14:paraId="28992042" w14:textId="77777777" w:rsidR="00D74D5E" w:rsidRPr="001E2254" w:rsidRDefault="00E90974">
      <w:pPr>
        <w:keepNext/>
        <w:keepLines/>
        <w:spacing w:before="40" w:after="0" w:line="276" w:lineRule="auto"/>
        <w:rPr>
          <w:rFonts w:ascii="Times New Roman" w:eastAsia="Calibri Light" w:hAnsi="Times New Roman" w:cs="Times New Roman"/>
          <w:sz w:val="28"/>
          <w:szCs w:val="28"/>
        </w:rPr>
      </w:pPr>
      <w:r w:rsidRPr="001E2254">
        <w:rPr>
          <w:rFonts w:ascii="Times New Roman" w:eastAsia="Calibri Light" w:hAnsi="Times New Roman" w:cs="Times New Roman"/>
          <w:sz w:val="28"/>
          <w:szCs w:val="28"/>
        </w:rPr>
        <w:t>Причины, вызывающие рост концентрации СО</w:t>
      </w:r>
      <w:r w:rsidRPr="001E2254">
        <w:rPr>
          <w:rFonts w:ascii="Times New Roman" w:eastAsia="Calibri Light" w:hAnsi="Times New Roman" w:cs="Times New Roman"/>
          <w:sz w:val="28"/>
          <w:szCs w:val="28"/>
          <w:vertAlign w:val="subscript"/>
        </w:rPr>
        <w:t>2 </w:t>
      </w:r>
      <w:r w:rsidRPr="001E2254">
        <w:rPr>
          <w:rFonts w:ascii="Times New Roman" w:eastAsia="Calibri Light" w:hAnsi="Times New Roman" w:cs="Times New Roman"/>
          <w:sz w:val="28"/>
          <w:szCs w:val="28"/>
        </w:rPr>
        <w:t>в конце выдоха:</w:t>
      </w:r>
    </w:p>
    <w:p w14:paraId="15775667" w14:textId="77777777" w:rsidR="00D74D5E" w:rsidRPr="001E2254" w:rsidRDefault="00D74D5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A5967" w14:textId="77777777" w:rsidR="00D74D5E" w:rsidRPr="001E2254" w:rsidRDefault="00E90974" w:rsidP="00E90974">
      <w:pPr>
        <w:pStyle w:val="a3"/>
        <w:numPr>
          <w:ilvl w:val="0"/>
          <w:numId w:val="12"/>
        </w:numPr>
        <w:tabs>
          <w:tab w:val="left" w:pos="7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Снижение элиминации СО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 из организма:</w:t>
      </w:r>
    </w:p>
    <w:p w14:paraId="3F848FCC" w14:textId="77777777" w:rsidR="00D74D5E" w:rsidRPr="001E2254" w:rsidRDefault="00E90974" w:rsidP="00E90974">
      <w:pPr>
        <w:pStyle w:val="a3"/>
        <w:numPr>
          <w:ilvl w:val="0"/>
          <w:numId w:val="12"/>
        </w:numPr>
        <w:tabs>
          <w:tab w:val="left" w:pos="7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Углубление анестезии у пациентов на спонтанном дыхании.</w:t>
      </w:r>
    </w:p>
    <w:p w14:paraId="5B8D549B" w14:textId="77777777" w:rsidR="00D74D5E" w:rsidRPr="001E2254" w:rsidRDefault="00E90974" w:rsidP="00E90974">
      <w:pPr>
        <w:pStyle w:val="a3"/>
        <w:numPr>
          <w:ilvl w:val="0"/>
          <w:numId w:val="12"/>
        </w:numPr>
        <w:tabs>
          <w:tab w:val="left" w:pos="7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Недостаточный поток свежего газа в наркозном аппарате,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рассоединение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шлангов.</w:t>
      </w:r>
    </w:p>
    <w:p w14:paraId="57F3B3CC" w14:textId="77777777" w:rsidR="00D74D5E" w:rsidRPr="001E2254" w:rsidRDefault="00E90974" w:rsidP="00E90974">
      <w:pPr>
        <w:pStyle w:val="a3"/>
        <w:numPr>
          <w:ilvl w:val="0"/>
          <w:numId w:val="12"/>
        </w:numPr>
        <w:tabs>
          <w:tab w:val="left" w:pos="7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Неправильный подбор параметров вентиляции (снижение минутной вентиляции легких).</w:t>
      </w:r>
    </w:p>
    <w:p w14:paraId="3B456BC2" w14:textId="77777777" w:rsidR="00D74D5E" w:rsidRPr="001E2254" w:rsidRDefault="00E90974" w:rsidP="00E90974">
      <w:pPr>
        <w:pStyle w:val="a3"/>
        <w:numPr>
          <w:ilvl w:val="0"/>
          <w:numId w:val="12"/>
        </w:numPr>
        <w:tabs>
          <w:tab w:val="left" w:pos="7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Патология лёгких: обструкция верхних дыхательных путей, аспирация,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однолёгочная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интубация, пневмоторакс, гемоторакс, отёк лёгких, РДСВ.</w:t>
      </w:r>
    </w:p>
    <w:p w14:paraId="7143B25D" w14:textId="77777777" w:rsidR="00D74D5E" w:rsidRPr="001E2254" w:rsidRDefault="00E90974" w:rsidP="00E90974">
      <w:pPr>
        <w:pStyle w:val="a3"/>
        <w:numPr>
          <w:ilvl w:val="0"/>
          <w:numId w:val="12"/>
        </w:numPr>
        <w:tabs>
          <w:tab w:val="left" w:pos="7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Поступление в организм экзогенного СО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2 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лапараскопия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1E7F2A" w14:textId="77777777" w:rsidR="00D74D5E" w:rsidRPr="001E2254" w:rsidRDefault="00E90974" w:rsidP="00E90974">
      <w:pPr>
        <w:pStyle w:val="a3"/>
        <w:numPr>
          <w:ilvl w:val="0"/>
          <w:numId w:val="12"/>
        </w:numPr>
        <w:tabs>
          <w:tab w:val="left" w:pos="7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Повышенное образование СО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 (сепсис и др.).</w:t>
      </w:r>
    </w:p>
    <w:p w14:paraId="26013EF5" w14:textId="77777777" w:rsidR="00D74D5E" w:rsidRPr="001E2254" w:rsidRDefault="00E90974" w:rsidP="00E90974">
      <w:pPr>
        <w:pStyle w:val="a3"/>
        <w:numPr>
          <w:ilvl w:val="0"/>
          <w:numId w:val="12"/>
        </w:numPr>
        <w:tabs>
          <w:tab w:val="left" w:pos="7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lastRenderedPageBreak/>
        <w:t>Погрешности в мониторинге.</w:t>
      </w:r>
    </w:p>
    <w:p w14:paraId="18D90889" w14:textId="77777777" w:rsidR="00D74D5E" w:rsidRPr="001E2254" w:rsidRDefault="00E90974" w:rsidP="00E90974">
      <w:pPr>
        <w:pStyle w:val="a3"/>
        <w:numPr>
          <w:ilvl w:val="0"/>
          <w:numId w:val="12"/>
        </w:numPr>
        <w:tabs>
          <w:tab w:val="left" w:pos="7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Злокачественная гипертермия.</w:t>
      </w:r>
    </w:p>
    <w:p w14:paraId="592926D7" w14:textId="77777777" w:rsidR="00D74D5E" w:rsidRPr="001E2254" w:rsidRDefault="00E90974">
      <w:pPr>
        <w:spacing w:after="20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В результате неадекватного обеспечения повышенной потребности в кислороде или развивающейся сердечно-сосудистой недостаточности может возникнуть цианоз. При неблагоприятном течении ЗГ в поздней стадии может развиться отёк лёгких как следствие декомпенсации функции миокарда и повышения сосудистой проницаемости.</w:t>
      </w:r>
    </w:p>
    <w:p w14:paraId="1AC3F35A" w14:textId="77777777" w:rsidR="00D74D5E" w:rsidRPr="001E2254" w:rsidRDefault="00E90974">
      <w:pPr>
        <w:spacing w:after="20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Генерализованная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мышечная ригидность очень часто наблюдается в развёрнутой стадии ЗГ. Биохимический механизм этой ригидности был изложен выше. Клинически этот симптом может быть выражен в разной степени, от лёгкой неподатливости до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генерализованной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мышечной контрактуры. На степень ригидности могут влиять такие факторы, как выраженность ЗГ и собственно объём мышечной массы. Курареподобные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миорелаксанты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не купируют контрактуру, вызванную ЗГ.</w:t>
      </w:r>
    </w:p>
    <w:p w14:paraId="6A5B9717" w14:textId="77777777" w:rsidR="00D74D5E" w:rsidRPr="001E2254" w:rsidRDefault="00E90974">
      <w:pPr>
        <w:spacing w:after="20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Очень частым симптомом называют ригидность жевательной мускулатуры, и, тем не менее, этот симптом остаётся спорным. Под ригидностью жевательных мышц (РЖМ) понимают контрактуру жевательных мышц в ответ на введение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сукцинилхолина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. РЖМ достигает своего максимума спустя несколько секунд после полной периферической релаксации мышц и окончания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фасцикуляций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доставляя порой значительные трудности при интубации. РЖМ может быть первым симптомом ЗГ. Пациенты с РЖМ чаще умирают от ЗГ. РЖМ чаще наблюдается у детей и именно у тех, кому индукция осуществлялась путём аппаратно-масочной ингаляции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галотана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в/в введением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сукцинилхолина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, чем когда индукция проводилась только внутривенными препаратами.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Выраженность этого признака варьирует от весьма умеренной РЖМ до невозможности открыть рот (симптом “стальных челюстей”). Более чем у половины пациентов с симптомом “стальных челюстей” после выполнения биопсии мышечной ткани была выявлена предрасположенность к ЗГ. Менее выраженные формы РЖМ можно отнести к сомнительным признакам развивающейся ЗГ. При возникновении истинной </w:t>
      </w:r>
      <w:proofErr w:type="gramStart"/>
      <w:r w:rsidRPr="001E2254">
        <w:rPr>
          <w:rFonts w:ascii="Times New Roman" w:eastAsia="Times New Roman" w:hAnsi="Times New Roman" w:cs="Times New Roman"/>
          <w:sz w:val="28"/>
          <w:szCs w:val="28"/>
        </w:rPr>
        <w:t>РЖМ по нашему мнению</w:t>
      </w:r>
      <w:proofErr w:type="gram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следует прекратить введение триггерных препаратов, наладить адекватный мониторинг и вести такого пациента, как пациента с предрасположенностью к ЗГ.</w:t>
      </w:r>
    </w:p>
    <w:p w14:paraId="25A0CFD8" w14:textId="58F9383E" w:rsidR="00D74D5E" w:rsidRPr="001E2254" w:rsidRDefault="00E90974" w:rsidP="001E2254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Повышение температуры может оказаться достаточно поздним симптомом ЗГ. Здесь нужно заметить, что особую диагностическую ценность имеет не столько высокая температура кожных покровов, сколько темп её 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lastRenderedPageBreak/>
        <w:t>нарастания. Для ЗГ характерно молниеносное повышение температуры тела от нормальных величин до 41-42° С и выше. Температура нарастает со скоростью большей, чем 0,5° С за каждые 15 минут.</w:t>
      </w:r>
    </w:p>
    <w:p w14:paraId="6519B0CF" w14:textId="44A715B9" w:rsidR="00D74D5E" w:rsidRPr="001E2254" w:rsidRDefault="00E90974" w:rsidP="001E2254">
      <w:pPr>
        <w:keepNext/>
        <w:keepLines/>
        <w:spacing w:before="40" w:after="0" w:line="276" w:lineRule="auto"/>
        <w:rPr>
          <w:rFonts w:ascii="Times New Roman" w:eastAsia="Calibri Light" w:hAnsi="Times New Roman" w:cs="Times New Roman"/>
          <w:b/>
          <w:sz w:val="28"/>
          <w:szCs w:val="28"/>
        </w:rPr>
      </w:pPr>
      <w:r w:rsidRPr="001E2254">
        <w:rPr>
          <w:rFonts w:ascii="Times New Roman" w:eastAsia="Calibri Light" w:hAnsi="Times New Roman" w:cs="Times New Roman"/>
          <w:b/>
          <w:sz w:val="28"/>
          <w:szCs w:val="28"/>
        </w:rPr>
        <w:t>Дифференциальная диагностика состояний, сопровождающихся лихорадкой и тахикардией.</w:t>
      </w:r>
    </w:p>
    <w:p w14:paraId="25A0EEE2" w14:textId="77777777" w:rsidR="00D74D5E" w:rsidRPr="001E2254" w:rsidRDefault="00E90974">
      <w:pPr>
        <w:numPr>
          <w:ilvl w:val="0"/>
          <w:numId w:val="8"/>
        </w:numPr>
        <w:tabs>
          <w:tab w:val="left" w:pos="360"/>
        </w:tabs>
        <w:spacing w:after="200" w:line="276" w:lineRule="auto"/>
        <w:ind w:left="36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Большое количество покрывал или перегрев согревающего матраса.</w:t>
      </w:r>
    </w:p>
    <w:p w14:paraId="29F92D58" w14:textId="77777777" w:rsidR="00D74D5E" w:rsidRPr="001E2254" w:rsidRDefault="00E90974">
      <w:pPr>
        <w:numPr>
          <w:ilvl w:val="0"/>
          <w:numId w:val="8"/>
        </w:numPr>
        <w:tabs>
          <w:tab w:val="left" w:pos="360"/>
        </w:tabs>
        <w:spacing w:after="200" w:line="276" w:lineRule="auto"/>
        <w:ind w:left="36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Сопутствующая патология: инфекция, тиреотоксикоз,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феохромоцитома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несовершенный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остеогенез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трансфузионные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осложнения.</w:t>
      </w:r>
    </w:p>
    <w:p w14:paraId="574D4942" w14:textId="77777777" w:rsidR="00D74D5E" w:rsidRPr="001E2254" w:rsidRDefault="00E90974">
      <w:pPr>
        <w:numPr>
          <w:ilvl w:val="0"/>
          <w:numId w:val="8"/>
        </w:numPr>
        <w:tabs>
          <w:tab w:val="left" w:pos="360"/>
        </w:tabs>
        <w:spacing w:after="200" w:line="276" w:lineRule="auto"/>
        <w:ind w:left="36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Патология ЦНС: поражения гипоталамуса (аноксия, отёк, травма).</w:t>
      </w:r>
    </w:p>
    <w:p w14:paraId="4B003CF9" w14:textId="77777777" w:rsidR="00D74D5E" w:rsidRPr="001E2254" w:rsidRDefault="00E90974">
      <w:pPr>
        <w:numPr>
          <w:ilvl w:val="0"/>
          <w:numId w:val="8"/>
        </w:numPr>
        <w:tabs>
          <w:tab w:val="left" w:pos="360"/>
        </w:tabs>
        <w:spacing w:after="200" w:line="276" w:lineRule="auto"/>
        <w:ind w:left="36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Реакции на введение препаратов — злокачественный нейролептический синдром (ЗНС)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36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серотониновый синдром, реакция на простагландин Е1, ингибиторы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моноаминоксидазы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амфетамин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кокаин, трициклические антидепрессанты, атропин,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гликопирролат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дроперидол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, метоклопрамид (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церукал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кетамин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синдром отмены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леводопы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2FE7AF" w14:textId="77777777" w:rsidR="00D74D5E" w:rsidRPr="001E2254" w:rsidRDefault="00E90974">
      <w:pPr>
        <w:numPr>
          <w:ilvl w:val="0"/>
          <w:numId w:val="8"/>
        </w:numPr>
        <w:tabs>
          <w:tab w:val="left" w:pos="360"/>
        </w:tabs>
        <w:spacing w:after="200" w:line="276" w:lineRule="auto"/>
        <w:ind w:left="36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Погрешности аппаратуры или её неправильное использование: неисправность температурных датчиков, перегрев поступающих к пациенту газов.</w:t>
      </w:r>
    </w:p>
    <w:p w14:paraId="3FD80C80" w14:textId="77777777" w:rsidR="00D74D5E" w:rsidRPr="001E2254" w:rsidRDefault="00E90974">
      <w:pPr>
        <w:numPr>
          <w:ilvl w:val="0"/>
          <w:numId w:val="8"/>
        </w:numPr>
        <w:tabs>
          <w:tab w:val="left" w:pos="360"/>
        </w:tabs>
        <w:spacing w:after="200" w:line="276" w:lineRule="auto"/>
        <w:ind w:left="360"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Злокачественная гипертермия.</w:t>
      </w:r>
    </w:p>
    <w:p w14:paraId="5E6461DD" w14:textId="77777777" w:rsidR="00D74D5E" w:rsidRPr="001E2254" w:rsidRDefault="00E90974">
      <w:pPr>
        <w:spacing w:after="20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При снижении перфузии кожи температура кожных покровов может быть не высокой, тогда как центральная температура нарастает очень быстро. При увеличенной теплоотдаче, обильном потоотделении, потере тепла через операционную рану, использовании холодных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инфузионных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растворов, низкой температуре воздуха в операционной повышение температуры тела может быть не выраженным. В этом случае нарастание температуры в позднюю фазу ЗГ является крайне неблагоприятным прогностическим признаком.</w:t>
      </w:r>
    </w:p>
    <w:p w14:paraId="4C0B538B" w14:textId="77777777" w:rsidR="00D74D5E" w:rsidRPr="001E2254" w:rsidRDefault="00E90974">
      <w:pPr>
        <w:spacing w:after="20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обширного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рабдомиолиза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миоглобинемия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миоглобинурия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, клинически проявляющаяся тем, что моча приобретает “цвет кока-колы”.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</w:p>
    <w:p w14:paraId="6990E9CA" w14:textId="77777777" w:rsidR="00D74D5E" w:rsidRPr="001E2254" w:rsidRDefault="00E90974">
      <w:pPr>
        <w:spacing w:after="20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В поздней стадии ЗГ может развиться тяжёлая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коагулопатия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проявляющаяся, как правило, ДВС-синдромом. Угроза обширного 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lastRenderedPageBreak/>
        <w:t>кровотечения требует тщательного наблюдения за свёртывающей системой крови.</w:t>
      </w:r>
    </w:p>
    <w:p w14:paraId="08954591" w14:textId="77777777" w:rsidR="00F02718" w:rsidRPr="001E2254" w:rsidRDefault="00E90974" w:rsidP="00F02718">
      <w:pPr>
        <w:spacing w:after="20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Смерть при ЗГ может наступить в результате остановки сердца, повреждения головного мозга, внутреннего кровотечения или по</w:t>
      </w:r>
      <w:r w:rsidR="00F02718" w:rsidRPr="001E2254">
        <w:rPr>
          <w:rFonts w:ascii="Times New Roman" w:eastAsia="Times New Roman" w:hAnsi="Times New Roman" w:cs="Times New Roman"/>
          <w:sz w:val="28"/>
          <w:szCs w:val="28"/>
        </w:rPr>
        <w:t>ражения других систем организм</w:t>
      </w:r>
    </w:p>
    <w:p w14:paraId="69A8329A" w14:textId="220DDAF2" w:rsidR="00E90974" w:rsidRPr="001E2254" w:rsidRDefault="00E90974" w:rsidP="00F02718">
      <w:pPr>
        <w:spacing w:after="20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Calibri Light" w:hAnsi="Times New Roman" w:cs="Times New Roman"/>
          <w:b/>
          <w:sz w:val="28"/>
          <w:szCs w:val="28"/>
        </w:rPr>
        <w:t>Терапия молниеносной формы ЗГ</w:t>
      </w:r>
    </w:p>
    <w:p w14:paraId="5D2ACB03" w14:textId="4930A148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Эффективность лечения напрямую зависит от времени, прошедшего с момента развития приступа до начала реанимационных мероприятий. В условиях операционной помощь больному оказывают на месте, прервав операцию. Если криз развился в палате, пациента экстренно транспортируют в ОРИТ. Оставление пациента в палате общего типа недопустимо. Лечение заключается в использовании неспециализированных и этиотропных фармакологических методов, аппаратном пособии, применении физических способов гипотермии. Основные мероприятия включают:</w:t>
      </w:r>
    </w:p>
    <w:p w14:paraId="4DBB07F5" w14:textId="77777777" w:rsidR="00D74D5E" w:rsidRPr="001E2254" w:rsidRDefault="00E90974">
      <w:pPr>
        <w:numPr>
          <w:ilvl w:val="0"/>
          <w:numId w:val="9"/>
        </w:numPr>
        <w:tabs>
          <w:tab w:val="left" w:pos="720"/>
        </w:tabs>
        <w:spacing w:after="200" w:line="276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</w:rPr>
        <w:t>Прекращение контакта с триггером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. Подачу ингаляционного наркоза прекращают, контуры наркозно-дыхательного устройства продувают чистой дыхательной смесью. Замена аппарата, контура,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интубационной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трубки не производится. Используется метод гипервентиляции 100% кислородом. Минутный объем дыхания при этом в 2-3 раза превышает норму. Длительность процедуры составляет 10-15 минут.</w:t>
      </w:r>
    </w:p>
    <w:p w14:paraId="1B2D21FD" w14:textId="77777777" w:rsidR="00D74D5E" w:rsidRPr="001E2254" w:rsidRDefault="00E90974">
      <w:pPr>
        <w:numPr>
          <w:ilvl w:val="0"/>
          <w:numId w:val="9"/>
        </w:numPr>
        <w:tabs>
          <w:tab w:val="left" w:pos="720"/>
        </w:tabs>
        <w:spacing w:after="200" w:line="276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</w:rPr>
        <w:t>Этиотропную терапию. 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Пациентам с диагнозом «злокачественная гипертермия» показано введение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дантролена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– релаксанта, обладающего способностью блокировать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рианодиновые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рецепторы. В дозе 2-3 мг/кг. Общая доза вместе с повторными введениями препарата может составить до 10 мг/кг и более. Средство снижает внутриклеточную концентрацию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, тормозит передачу нервно-мышечного импульса, приводит к быстрому устранению симптомов криза. Препарат вводится дозированно, до нормализации состояния больного.</w:t>
      </w:r>
    </w:p>
    <w:p w14:paraId="2D7DB48A" w14:textId="77777777" w:rsidR="00D74D5E" w:rsidRPr="001E2254" w:rsidRDefault="00E90974">
      <w:pPr>
        <w:numPr>
          <w:ilvl w:val="0"/>
          <w:numId w:val="9"/>
        </w:numPr>
        <w:tabs>
          <w:tab w:val="left" w:pos="720"/>
        </w:tabs>
        <w:spacing w:after="200" w:line="276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b/>
          <w:sz w:val="28"/>
          <w:szCs w:val="28"/>
        </w:rPr>
        <w:t>Симптоматическую терапию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. Зависит от имеющейся клинической картины. Для поддержания гемодинамики может использоваться титрованная подача дофамина через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инъектомат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. Снижение температуры тела проводят путем наложения на область проекции крупных сосудов пузырей со льдом, введения холодных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инфузионных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растворов. Вводить в/в охлаждённый физиологический 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раствор по 15 мл/кг каждые 10 минут 3 раза. Для коррекции КЩС вводят 4% раствор натрия гидрокарбоната. Выведение излишка электролитов, токсинов и поддержание функции почек требует введения петлевых диуретиков. Поддерживать адекватный диурез (не менее 1 мл/кг/час) в/в введением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маннитола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0,5 г/кг (во флаконе с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дантроленом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содержится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маннитол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150 мг на каждый мг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дантролена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) или фуросемида (0,5-1,0 мг/кг). Установить уретральный катетер. Коррекция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гиперкалиемии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в/в введением концентрированных растворов глюкозы с инсулином (0,5 г/кг глюкозы и 0,15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/кг инсулина), затем CaCl</w:t>
      </w:r>
      <w:r w:rsidRPr="001E225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 2-5 мг/кг. Лечение аритмии в/в введением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новокаинамида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(1 мг/кг/мин до 15 мг/кг) или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лидокаина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(1 мг/кг). Блокаторы кальциевых каналов в сочетании с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дантроленом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противопоказаны. Коррекция возможной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коагулопатии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83CC80" w14:textId="77777777" w:rsidR="00D74D5E" w:rsidRPr="001E2254" w:rsidRDefault="00E9097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Когда миновала острая фаза, показан перевод пациента в отделение интенсивной терапии.</w:t>
      </w:r>
    </w:p>
    <w:p w14:paraId="3D493772" w14:textId="77777777" w:rsidR="00D74D5E" w:rsidRPr="001E2254" w:rsidRDefault="00E90974">
      <w:pPr>
        <w:numPr>
          <w:ilvl w:val="0"/>
          <w:numId w:val="10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Проводить наблюдение в отделении интенсивной терапии не менее 24 часов.</w:t>
      </w:r>
    </w:p>
    <w:p w14:paraId="3CE0EE4D" w14:textId="77777777" w:rsidR="00D74D5E" w:rsidRPr="001E2254" w:rsidRDefault="00E90974">
      <w:pPr>
        <w:numPr>
          <w:ilvl w:val="0"/>
          <w:numId w:val="10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Продолжать вводить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дантролен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по 1,0 мг/кг каждые 6 часов в течение 24-48 часов.</w:t>
      </w:r>
    </w:p>
    <w:p w14:paraId="38C122D7" w14:textId="4C6384C1" w:rsidR="00D74D5E" w:rsidRPr="001E2254" w:rsidRDefault="00E90974" w:rsidP="00F02718">
      <w:pPr>
        <w:numPr>
          <w:ilvl w:val="0"/>
          <w:numId w:val="10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Продолжать мониторинг газов крови, уровня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креатинкиназы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, электролитов, миоглобина в сыворотке и в моче.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Коагуляционные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тесты необходимо проводить каждые 6 часов до их нормализации. Постоянно следить за температурой тела.</w:t>
      </w:r>
    </w:p>
    <w:p w14:paraId="70BD1188" w14:textId="33CBF827" w:rsidR="00E90974" w:rsidRPr="001E2254" w:rsidRDefault="00E90974" w:rsidP="00E90974">
      <w:pPr>
        <w:keepNext/>
        <w:keepLines/>
        <w:spacing w:before="240" w:after="0" w:line="276" w:lineRule="auto"/>
        <w:rPr>
          <w:rFonts w:ascii="Times New Roman" w:eastAsia="Calibri Light" w:hAnsi="Times New Roman" w:cs="Times New Roman"/>
          <w:b/>
          <w:sz w:val="28"/>
          <w:szCs w:val="28"/>
        </w:rPr>
      </w:pPr>
      <w:r w:rsidRPr="001E2254">
        <w:rPr>
          <w:rFonts w:ascii="Times New Roman" w:eastAsia="Calibri Light" w:hAnsi="Times New Roman" w:cs="Times New Roman"/>
          <w:b/>
          <w:sz w:val="28"/>
          <w:szCs w:val="28"/>
        </w:rPr>
        <w:t>Прогноз и профилактика</w:t>
      </w:r>
    </w:p>
    <w:p w14:paraId="724A2B43" w14:textId="77777777" w:rsidR="001E2254" w:rsidRDefault="00E90974" w:rsidP="001E225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Прогноз благоприятный, если злокачественная гипертермия была своевременно замечена и купирована. При длительном пребывании пациента в состоянии метаболического ацидоза и гипоксии возможно ишемическое поражение центральной и периферической нервной системы, нарушения в работе сердечно-сосудистого аппарата вплоть до </w:t>
      </w:r>
      <w:hyperlink r:id="rId7">
        <w:r w:rsidRPr="001E22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атриовентрикулярной блокады</w:t>
        </w:r>
      </w:hyperlink>
      <w:r w:rsidRPr="001E2254">
        <w:rPr>
          <w:rFonts w:ascii="Times New Roman" w:eastAsia="Times New Roman" w:hAnsi="Times New Roman" w:cs="Times New Roman"/>
          <w:sz w:val="28"/>
          <w:szCs w:val="28"/>
        </w:rPr>
        <w:t>, инфаркта миокарда, фибрилляции. При абортивной форме шансы на благополучный исход значительно выше, чем при классической.</w:t>
      </w:r>
      <w:r w:rsidR="001E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Специфическая профилактика заключается в тщательном предоперационном обследовании, направленном на установление факта предрасположенности больного к мышечным контрактурам. Людям с подтвержденной генетической мутацией рекомендован отказ от кофе и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кофеиносодержащих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напитков, минимизация психологических стрессов в повседневной жизни.</w:t>
      </w:r>
    </w:p>
    <w:p w14:paraId="0E3B4338" w14:textId="5D46702C" w:rsidR="00D74D5E" w:rsidRPr="001E2254" w:rsidRDefault="00E90974" w:rsidP="001E2254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2254">
        <w:rPr>
          <w:rFonts w:ascii="Times New Roman" w:eastAsia="Calibri Light" w:hAnsi="Times New Roman" w:cs="Times New Roman"/>
          <w:b/>
          <w:bCs/>
          <w:sz w:val="32"/>
          <w:szCs w:val="32"/>
        </w:rPr>
        <w:lastRenderedPageBreak/>
        <w:t>Рекомендуемая литература</w:t>
      </w:r>
    </w:p>
    <w:p w14:paraId="128E6DA0" w14:textId="77777777" w:rsidR="00D74D5E" w:rsidRPr="001E2254" w:rsidRDefault="00D74D5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104207" w14:textId="77777777" w:rsidR="00D74D5E" w:rsidRPr="001E2254" w:rsidRDefault="00E90974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методы диагностики предрасположенности к злокачественной гипертермии/ Казанцева А.А., Лебединский К.М.// Анестезиология и реаниматология – 2014 - </w:t>
      </w:r>
      <w:r w:rsidRPr="001E225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1E2254">
        <w:rPr>
          <w:rFonts w:ascii="Times New Roman" w:eastAsia="Times New Roman" w:hAnsi="Times New Roman" w:cs="Times New Roman"/>
          <w:sz w:val="28"/>
          <w:szCs w:val="28"/>
        </w:rPr>
        <w:t>4.</w:t>
      </w:r>
    </w:p>
    <w:p w14:paraId="73C1FB81" w14:textId="77777777" w:rsidR="00D74D5E" w:rsidRPr="001E2254" w:rsidRDefault="00E90974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Злокачественная гипертермия: современные подходы к профилактике и лечению/ Ким Е.С., Горбачев В.И.,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Унжаков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В.В.//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Acta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Biomedica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Scientifica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>. – 2017.</w:t>
      </w:r>
    </w:p>
    <w:p w14:paraId="73DA7288" w14:textId="77777777" w:rsidR="00D74D5E" w:rsidRPr="001E2254" w:rsidRDefault="00E90974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Злокачественная гипертермия/ </w:t>
      </w:r>
      <w:proofErr w:type="spellStart"/>
      <w:r w:rsidRPr="001E2254">
        <w:rPr>
          <w:rFonts w:ascii="Times New Roman" w:eastAsia="Times New Roman" w:hAnsi="Times New Roman" w:cs="Times New Roman"/>
          <w:sz w:val="28"/>
          <w:szCs w:val="28"/>
        </w:rPr>
        <w:t>Карамян</w:t>
      </w:r>
      <w:proofErr w:type="spellEnd"/>
      <w:r w:rsidRPr="001E2254">
        <w:rPr>
          <w:rFonts w:ascii="Times New Roman" w:eastAsia="Times New Roman" w:hAnsi="Times New Roman" w:cs="Times New Roman"/>
          <w:sz w:val="28"/>
          <w:szCs w:val="28"/>
        </w:rPr>
        <w:t xml:space="preserve"> Р.А.// Здоровье и образование в XXI веке. – 2016.</w:t>
      </w:r>
    </w:p>
    <w:p w14:paraId="1E68B030" w14:textId="77777777" w:rsidR="00D74D5E" w:rsidRPr="001E2254" w:rsidRDefault="00E90974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E2254">
        <w:rPr>
          <w:rFonts w:ascii="Times New Roman" w:eastAsia="Times New Roman" w:hAnsi="Times New Roman" w:cs="Times New Roman"/>
          <w:sz w:val="28"/>
          <w:szCs w:val="28"/>
        </w:rPr>
        <w:t>Злокачественная гипертермия/ Бышовец С.М.// Медицина неотложных состояний. – 2013.</w:t>
      </w:r>
    </w:p>
    <w:p w14:paraId="313BE0C1" w14:textId="77777777" w:rsidR="00D74D5E" w:rsidRPr="001E2254" w:rsidRDefault="009837ED">
      <w:pPr>
        <w:numPr>
          <w:ilvl w:val="0"/>
          <w:numId w:val="1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E90974" w:rsidRPr="001E22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http://symona.ru/shkola-professionala/temperatura/zlokachestvennaya-gipertermiya/</w:t>
        </w:r>
      </w:hyperlink>
    </w:p>
    <w:p w14:paraId="612A123F" w14:textId="77777777" w:rsidR="00D74D5E" w:rsidRPr="001E2254" w:rsidRDefault="00D74D5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0AD554" w14:textId="77777777" w:rsidR="00D74D5E" w:rsidRPr="001E2254" w:rsidRDefault="00D74D5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74D5E" w:rsidRPr="001E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957B" w14:textId="77777777" w:rsidR="009837ED" w:rsidRDefault="009837ED" w:rsidP="001E2254">
      <w:pPr>
        <w:spacing w:after="0" w:line="240" w:lineRule="auto"/>
      </w:pPr>
      <w:r>
        <w:separator/>
      </w:r>
    </w:p>
  </w:endnote>
  <w:endnote w:type="continuationSeparator" w:id="0">
    <w:p w14:paraId="576036EB" w14:textId="77777777" w:rsidR="009837ED" w:rsidRDefault="009837ED" w:rsidP="001E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8D2C" w14:textId="77777777" w:rsidR="009837ED" w:rsidRDefault="009837ED" w:rsidP="001E2254">
      <w:pPr>
        <w:spacing w:after="0" w:line="240" w:lineRule="auto"/>
      </w:pPr>
      <w:r>
        <w:separator/>
      </w:r>
    </w:p>
  </w:footnote>
  <w:footnote w:type="continuationSeparator" w:id="0">
    <w:p w14:paraId="0B4AEAD4" w14:textId="77777777" w:rsidR="009837ED" w:rsidRDefault="009837ED" w:rsidP="001E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782"/>
    <w:multiLevelType w:val="multilevel"/>
    <w:tmpl w:val="878E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1532E"/>
    <w:multiLevelType w:val="multilevel"/>
    <w:tmpl w:val="9246FC6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33947"/>
    <w:multiLevelType w:val="multilevel"/>
    <w:tmpl w:val="2A08D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E4C88"/>
    <w:multiLevelType w:val="multilevel"/>
    <w:tmpl w:val="9452A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31704"/>
    <w:multiLevelType w:val="multilevel"/>
    <w:tmpl w:val="40D80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F7D0F"/>
    <w:multiLevelType w:val="hybridMultilevel"/>
    <w:tmpl w:val="B0B6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3923"/>
    <w:multiLevelType w:val="multilevel"/>
    <w:tmpl w:val="4976C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748DB"/>
    <w:multiLevelType w:val="multilevel"/>
    <w:tmpl w:val="78140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7A5453"/>
    <w:multiLevelType w:val="multilevel"/>
    <w:tmpl w:val="73668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E2180B"/>
    <w:multiLevelType w:val="multilevel"/>
    <w:tmpl w:val="37B48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EA6181"/>
    <w:multiLevelType w:val="multilevel"/>
    <w:tmpl w:val="DD34A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F327CE"/>
    <w:multiLevelType w:val="multilevel"/>
    <w:tmpl w:val="815C2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A426DE"/>
    <w:multiLevelType w:val="multilevel"/>
    <w:tmpl w:val="B9A22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5E"/>
    <w:rsid w:val="001E2254"/>
    <w:rsid w:val="00264CF6"/>
    <w:rsid w:val="009837ED"/>
    <w:rsid w:val="00D74D5E"/>
    <w:rsid w:val="00E90974"/>
    <w:rsid w:val="00F02718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3409"/>
  <w15:docId w15:val="{ECD9EA9E-F873-45F5-A034-683C7135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254"/>
  </w:style>
  <w:style w:type="paragraph" w:styleId="a6">
    <w:name w:val="footer"/>
    <w:basedOn w:val="a"/>
    <w:link w:val="a7"/>
    <w:uiPriority w:val="99"/>
    <w:unhideWhenUsed/>
    <w:rsid w:val="001E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mona.ru/shkola-professionala/temperatura/zlokachestvennaya-giperterm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zabolevanija_cardiology/atrioventric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Ровенская Ксения Игоревна</dc:creator>
  <cp:lastModifiedBy>Microsoft Office User</cp:lastModifiedBy>
  <cp:revision>3</cp:revision>
  <dcterms:created xsi:type="dcterms:W3CDTF">2023-12-12T06:06:00Z</dcterms:created>
  <dcterms:modified xsi:type="dcterms:W3CDTF">2023-12-12T06:09:00Z</dcterms:modified>
</cp:coreProperties>
</file>