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6F" w:rsidRPr="006B4230" w:rsidRDefault="00D6706F" w:rsidP="00D6706F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423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6B4230">
        <w:rPr>
          <w:rFonts w:ascii="Times New Roman" w:hAnsi="Times New Roman" w:cs="Times New Roman"/>
          <w:sz w:val="28"/>
          <w:szCs w:val="28"/>
        </w:rPr>
        <w:t>В.Ф.Войно-Ясенецкого</w:t>
      </w:r>
      <w:proofErr w:type="spellEnd"/>
      <w:r w:rsidRPr="006B4230"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</w:t>
      </w:r>
    </w:p>
    <w:p w:rsidR="00D6706F" w:rsidRPr="006B4230" w:rsidRDefault="00D6706F" w:rsidP="00D6706F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06F" w:rsidRPr="006B4230" w:rsidRDefault="00D6706F" w:rsidP="00D6706F">
      <w:pPr>
        <w:pStyle w:val="a5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4230">
        <w:rPr>
          <w:rFonts w:ascii="Times New Roman" w:hAnsi="Times New Roman" w:cs="Times New Roman"/>
          <w:sz w:val="28"/>
          <w:szCs w:val="28"/>
        </w:rPr>
        <w:t>Кафедра кардиологии, функциональной и клинико-лабораторной диагностики ИПО</w:t>
      </w:r>
    </w:p>
    <w:p w:rsidR="00D6706F" w:rsidRPr="006B4230" w:rsidRDefault="00D6706F" w:rsidP="00D6706F">
      <w:pPr>
        <w:pStyle w:val="a5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706F" w:rsidRPr="006B4230" w:rsidRDefault="00D6706F" w:rsidP="00D6706F">
      <w:pPr>
        <w:pStyle w:val="a5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706F" w:rsidRPr="006B4230" w:rsidRDefault="00D6706F" w:rsidP="00D6706F">
      <w:pPr>
        <w:pStyle w:val="a5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706F" w:rsidRPr="006B4230" w:rsidRDefault="00D6706F" w:rsidP="00D6706F">
      <w:pPr>
        <w:pStyle w:val="a5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706F" w:rsidRPr="006B4230" w:rsidRDefault="00D6706F" w:rsidP="00D6706F">
      <w:pPr>
        <w:pStyle w:val="a5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706F" w:rsidRPr="006B4230" w:rsidRDefault="00D6706F" w:rsidP="00D6706F">
      <w:pPr>
        <w:pStyle w:val="a5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423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6B42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B4230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Pr="006B4230">
        <w:rPr>
          <w:rFonts w:ascii="Times New Roman" w:hAnsi="Times New Roman" w:cs="Times New Roman"/>
          <w:sz w:val="28"/>
          <w:szCs w:val="28"/>
        </w:rPr>
        <w:t>: ДМН, Профессор Матюшин Г. В.</w:t>
      </w:r>
    </w:p>
    <w:p w:rsidR="00D6706F" w:rsidRPr="006B4230" w:rsidRDefault="00D6706F" w:rsidP="00D6706F">
      <w:pPr>
        <w:pStyle w:val="a5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4230">
        <w:rPr>
          <w:rFonts w:ascii="Times New Roman" w:hAnsi="Times New Roman" w:cs="Times New Roman"/>
          <w:sz w:val="28"/>
          <w:szCs w:val="28"/>
        </w:rPr>
        <w:t>РЕФЕРАТ на тему:</w:t>
      </w:r>
    </w:p>
    <w:p w:rsidR="00D6706F" w:rsidRPr="00D6706F" w:rsidRDefault="00D6706F" w:rsidP="00D6706F">
      <w:pPr>
        <w:pStyle w:val="Standard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Бругада</w:t>
      </w:r>
      <w:proofErr w:type="spellEnd"/>
    </w:p>
    <w:p w:rsidR="00D6706F" w:rsidRPr="006B4230" w:rsidRDefault="00D6706F" w:rsidP="00D6706F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B4230">
        <w:rPr>
          <w:rFonts w:ascii="Times New Roman" w:hAnsi="Times New Roman" w:cs="Times New Roman"/>
          <w:sz w:val="28"/>
          <w:szCs w:val="28"/>
        </w:rPr>
        <w:t xml:space="preserve">Выполнила: Ординатор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6B4230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Pr="006B4230">
        <w:rPr>
          <w:rFonts w:ascii="Times New Roman" w:hAnsi="Times New Roman" w:cs="Times New Roman"/>
          <w:sz w:val="28"/>
          <w:szCs w:val="28"/>
        </w:rPr>
        <w:br/>
        <w:t>Литвинова Виктория Дмитриевна</w:t>
      </w:r>
    </w:p>
    <w:p w:rsidR="00D6706F" w:rsidRPr="006B4230" w:rsidRDefault="00D6706F" w:rsidP="00D6706F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706F" w:rsidRPr="006B4230" w:rsidRDefault="00D6706F" w:rsidP="00D6706F">
      <w:pPr>
        <w:pStyle w:val="Standard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4230">
        <w:rPr>
          <w:rFonts w:ascii="Times New Roman" w:hAnsi="Times New Roman" w:cs="Times New Roman"/>
          <w:sz w:val="28"/>
          <w:szCs w:val="28"/>
        </w:rPr>
        <w:t>Красноярск,2022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Внезапная смерть -- наиболее грозное проявление заболеваний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 Чаще всего причинами внезапной сердечной смерти у взрослых можно считать ишемическую болезнь сердца и инфаркт миокарда.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последние годы все большую остроту приобретает проблема внезапной смерти в отсутствие явных заболеваний миокарда или коронарных сосудов, особенно в молодом возрасте.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накоплено достаточное количество данных о природе заболеваний, сопряженных с риском внезапной смерти. Определено, что многие из них генетически детерминированы, а это представляет особую опасность, так как под угрозой находится не только больной, у которого выявили заболевание, но и его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близкие родственники. Данные заболевания пока крайне редко выявляются в обычной клинической практике. Больные умирают, как правило, не в специализированных стационарах, а дома или на улице, и врачу поликлиники или бригаде скорой помощи остается констатировать смерть. При этом ставится достаточно неопределенный диагноз: острая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сердечно-сосудистая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недостаточность. При аутопсии не выявляется поражений мышцы сердца или коронарных сосудов. У детей, как ни парадоксально, чаще всего посмертно диагностируется острая респираторная вирусная инфекция, минимальными проявлениями которой пытаются объяснить внезапную смерть. Все это дает основание утверждать, что в крупных российских клиниках отсутствует достаточный опыт наблюдения и выявления данных больных. Внимание специалистов-кардиологов нередко привлекают только первые симптомы заболевания, прежде всего синкопе и приступы сердцебиения. Однако нередко первым и последним проявлением заболевания является внезапная смерть.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клинической медицине выделен ряд заболеваний и синдромов, тесно ассоциированных с высоким риском внезапной смерти в молодом возрасте.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относятся синдром внезапной смерти младенцев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sudden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infant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death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syndrome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синдром внезапной необъяснимой смерти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sudden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unexplained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death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syndrome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аритмогенная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дисплазия правого желудочка (заболевания сердца аутосомно-доминантное, характеризуется постепенной утратой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миоцитов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замещаются фиброзной и жировой тканью, может включать и левый желудочек),, идиопатическая фибрилляция желудочков, гипертрофическая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кардиомиопатия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(наследственное заболевание характеризуется утолщением сердечной мышцы, а точнее, левого желудочка),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дилатационная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кардиомиопатия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(сердечное заболевание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характеризуется ненормальным расширением и систолической дисфункцией левого желудочка, что не дает сердечной мышце качать кровь эффективно), синдром удлиненного QT-синдром (LQTS) (существуют четыре формы синдрома: Романо-Уорда синдром (RWS), Андерсен-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Тавила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синдром, синдром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Thymothy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Жервелл-Ланге-Нильсена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Первый является самым распространенным. Первые три наследуются аутосомно-доминантно, а последний аутосомно-рецессивно),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катехоламинергическая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полиморфная желудочковая тахикардия (заболевания сердца, имеющее наследственный характер, при этом нарушено высвобождение норадреналина и адреналина надпочечниками при физической нагрузке или эмоциональном стрессе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ердце структурно нормально) и ряд других.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наиболее «загадочных» заболеваний в этом ряду -- это синдром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Б). Несмотря на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во всем мире опубликованы сотни работ, посвященных данному заболеванию, а на крупнейших международных кардиологических конгрессах регулярно проводятся тематические секции, в отечественной литературе имеются лишь единичные описания синдрома, далеко не всегда полностью отражающие типичную картину заболевания. Вместе с тем именно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является, по мнению многих специалистов, </w:t>
      </w: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«ответственным» за более чем 50% внезапных,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некоронарогенных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смертей в молодом возрасте.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Официальная дата открытия синдрома -- 1992 год. Именно тогда испанские кардиологи, братья П. и Д.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работающие в настоящее время в различных клиниках мира, впервые описали клинико-электрокардиографический синдром, объединяющий частые семейные случаи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синкопальных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состояний или внезапной смерти вследствие полиморфной желудочковой тахикардии, и регистрацию специфического электрокардиографического паттерна.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Частота встречаемости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низкая в западных странах (1-2 случая на 10 000 человек) и повышается в Юго-Восточной Азии (более 5 на 10 000), особенно в Таиланде и на Филиппинах.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японских исследователей, проанализировавших 22 027 электрокардиограмм из популяции, распространенность ЭКГ-паттерна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этой стране составила 0,05-0,6% у взрослых и 0,0006% (анализ 163 110 электрокардиограмм) у детей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Tohyou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J. 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соавт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1995;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Hata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Y. 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соавт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1997).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возраст больных в момент постановки диагноза составляет 40±22 лет. Типичные для синдрома изменения ЭКГ начинают проявляться лишь после 5-летнего возраста, однако впервые данный синдром был описан у трехлетней девочки, имевшей частые эпизоды потери сознания и впоследствии внезапно погибшей, несмотря на активную антиаритмическую терапию и имплантацию кардиостимулятора.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реальная частота встречаемости заболевания пока не определена, особенно в некоторых этнических группах. Схожие с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электрокардиографические изменения описаны при синдроме внезапной необъяснимой смерти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sudden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unexplained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death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syndrome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который регистрируется преимущественно у выходцев из стран Юго-Восточной Азии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Nademanee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K., 1997). Впервые данный синдром стал выделяться как самостоятельное заболевание в 80-х годах ХХ века, когда Американским Центром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заболеваемостью в Атланте (США) был зарегистрирован необычно высокий (25 на 100 000 человек) уровень внезапной смертности у молодых людей, выходцев из Юго-Восточной Азии. Смерть наступала преимущественно ночью, при аутопсии не выявлялось поражение мышцы сердца или коронарных сосудов.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сопоставлении этих данных со статистическими данными, накопленными в странах Юго-Восточной Азии и Дальнего Востока, было отмечено, что в данном регионе значительно распространены случаи внезапной ночной смерти в молодом возрасте (в год от 4 до 10 случаев на 10 000 жителей, в том числе в Лаосе -- 1 случай на 10 000 жителей;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Таиланде -- 26-38 на 100 000). В этих странах для обозначения людей, умерших внезапно во сне, даже существуют специальные названия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spellStart"/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бангунгут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Филиппинах,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поккури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Японии, лаи таи в Таиланде. Нередко на ЭКГ регистрируются изменения сегмента ST, схожие с паттерном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ранней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реполяризации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желудочков. В какой степени эти синдромы связаны между собой, предстоит еще выяснить в ходе дальнейших исследований. Мы наблюдали несколько аналогичных больных из схожих этнических групп (буряты), в семьях которых наблюдались высокая концентрация случаев внезапной смерти в молодом возрасте и частые эпизоды синкопе или клинической смерти.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одна интересная особенность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том, что заболевание не регистрируется у афро-американцев; с другой стороны, в Европе СБ чаще выявляется у представителей так называемого «кавказского» этнического типа, к которому, согласно международным градациям, относятся и выходцы из стран Восточной Европы. </w:t>
      </w: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Характерно, что и первый из описанных случаев заболевания братья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выявили у польской девочки. Это свидетельствует о том, что распространенность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популяции может оказаться достаточно высокой.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Клиническая картина заболевания характеризуется частым возникновением синкопе на фоне приступов желудочковой тахикардии и внезапной смертью, преимущественно во сне, а также отсутствием признаков органического поражения миокарда при аутопсии. В 93,3% случаев приступы при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возникают в вечернее и ночное время (с 18 до 06 часов), причем чаще во второй половине ночи. Это, несомненно, подтверждает роль усиления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вагусных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влияний в возникновении фибрилляции желудочков при СБ. Данный циркадный паттерн свидетельствует также о различиях в патогенезе возникновения фатальных аритмий у пациентов с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ишемической болезнью сердца, когда основной циркадный пик внезапной смерти приходится на ранние утренние часы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Deedwania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P., 1998).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 80% больных, перенесших ВСС, в анамнезе имели до этого синкопы. В тяжелых случаях обмороки могут сопровождаться судорогами. У ряда больных приступы протекают без потери сознания и характеризуются внезапно появляющейся резкой слабостью, бледностью, перебоями в работе сердца или только сердцебиениями. В большинстве случаев клиника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обусловлена возникновением ЖТ или ФЖ, однако она может быть связана и с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наджелудочковыми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тахиаритмиями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частности с фибрилляцией предсердий). Иногда приступы желудочковых аритмий при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провоцироваться приемом алкоголя и лихорадкой.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Синдром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наследуется аутосомно-доминантным путем и связан с мутациями в гене SCN5A, расположенном в 3-й хромосоме и кодирующем субъединицу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альфа-натриевых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каналов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кардиомиоцитов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Мутации в этом гене также могут приводить к синдрому удлиненного интервала QT (LQT 3) и нарушениям сердечной проводимости. Совсем недавно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Antzelevitch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C. и соавторы открыли 2 новых гена, вызывающих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элевацию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 ST и укорочение интервала QT, что приводит к комбинации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синдромом короткого интервала QT.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Наибольшей диагностической значимостью обладает ЭКГ типа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(или тип "бультерьера").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важно помнить, что этот вариант ЭКГ, имеющий высокую диагностическую ценность, встречается достаточно редко, кроме того, даже у больных с подтвержденным синдромом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специфические изменения могут выявляться непостоянно. Наличие у больного изменений на ЭКГ, описываемых как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тип 2, или "седловидный" тип сегмента S-T, позволяет только заподозрить синдром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верификации диагноза необходимо проведение нагрузочных проб с лекарственной нагрузкой (антиаритмические препараты IA класса).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«Сводчатая» и «седловидная» формы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элевации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 ST (рис.1):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«сводчатый» ST; В: «седловидный» ST. В зависимости от указанных форм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элевации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 ST выделяют 3 типа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ЭКГ- характеристики которых представлены в таблице: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синдрома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куполообразный подъем ST &gt; 2 мм с последующим отрицательным зубцом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более чем 1 отведении (V3) в отсутствие приема препаратов, являющихся блокаторами натриевых каналов. Кроме характерных ЭКГ - признаков у пациентов возможно наличие: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эпизодов ФЖ или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полиморфной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ЖТ (в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индуцированной на ЭФИ)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семейного анамнеза внезапной смерти у родственников моложе 45 лет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куполообразного подъема сегмента ST у родственников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синкопов</w:t>
      </w:r>
      <w:proofErr w:type="spellEnd"/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эпизодов ночного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агонального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дыхания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2 - седлообразный подъем ST &gt; 2 мм с положительным или двухфазным зубцом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тех же отведениях.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3 - седлообразный или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куполобразный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ST &lt; 1 мм.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Истинным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аритмогенным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синдромом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считается только тип 1. Пациенты с типом 2 требуют более пристального сбора анамнеза, на предмет случаев внезапной смерти в семье, и наблюдения. Тип 3 может очень часто регистрироваться у совершенно здоровых лиц.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типичной клинической картины, при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 специфический электрокардиографический паттерн. Он включает блокаду правой ножки пучка Гиса, специфический подъем сегмента ST в отведениях V1-V3, периодическое удлинение интервала PR, приступы полиморфной желудочковой тахикардии во время синкопе. Выделяются следующие клинико-электрокардиографические формы синдрома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Полная форма (типичная электрокардиографическая картина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синкопе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предсинкопе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случаями клинической или внезапной смерти вследствие полиморфной желудочковой тахикардии).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Клинические варианты: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типичная электрокардиографическая картина у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асимптоматичных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больных без семейной истории внезапной смерти или синдрома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типичная электрокардиографическая картина у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асимптоматичных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больных, членов семей больных с полной формой синдрома;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типичная электрокардиографическая картина после проведения фармакологических тестов у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асимптоматичных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обследуемых, членов семей больных с полной формой синдрома;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типичная электрокардиографическая картина после проведения фармакологических тестов у больных с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повторными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синкопе или идиопатической фибрилляцией предсердий.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Электрокардиографические варианты: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· типичная электрокардиографическая картина с явной блокадой правой ножки пучка Гиса,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элевацией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 ST и удлинением PR-интервала;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типичная электрокардиографическая картина с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элевацией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 ST, но без удлинения PR-интервала и блокады правой ножки пучка Гиса;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неполная блокада правой ножки пучка Гиса с умеренной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элевацией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 ST;</w:t>
      </w:r>
      <w:proofErr w:type="gramEnd"/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изолированное удлинение интервала PR.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 ЭКГ пациента,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характеризующаяся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сочетанием блокады правой ножки пучка Гиса и подъемом сегмента ST в правых грудных отведениях (V1-V3).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некоронарогенный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внезапный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Электрофизиологические основы синдрома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Генетически детерминированное угнетение входящего натриевого тока ведет к изменениям во 2-й фазе трансмембранного потенциала действия (ПД) в клетках эпикарда выводного тракта правого желудочка (ПЖ). Это в свою очередь приводит к асинхронной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реполяризации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электрической нестабильности в указанном отделе сердца. Основными факторами аритмической «уязвимости» миокарда являются: парасимпатические влияния (сон, погружение в холодную воду, ныряние, прием пищи), повышение температуры тела, блокада натриевых и кальциевых каналов, ишемия миокарда и др. В этих условиях может генерироваться механизм повторного входа во 2-й фазе ПД с последующим возникновением злокачественных аритмий. С другой стороны, у пациентов с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наблюдается нормализация сегмента ST после введения бета-адренергических стимуляторов или ингибиторов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фосфодиэстеразы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III. В недавнем исследовании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Brugada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J 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соавт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было показано, что степень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элевации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 ST в отведении V1 является независимым фактором риска для ВСС или возникновения желудочковой фибрилляции.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Гипердиагностика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синдрома чаще всего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неправильной интерпретацией достаточно распространенных седловидных изменений сегмента ST, схожих с синдромом ранней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реполяризации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особенно у спортсменов. Проводя дифференциальную диагностику в этих группах больных D.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Corrado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соавторы выявили, что амплитуда максимального ST сегмента измеренного на расстоянии 80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точки J достоверно не отличалось у здоровых спортсменов и больных с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(3,1±0,9мс против 3,2±0,6мс), в то время как отношение подъема сегмента ST в точке J ST80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(STJ/ ST80) у спортсменов 0,7±0,13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у больных с СБ 1,6±0,3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(p&lt;0,001). Показатель STJ/ ST80&lt;1 имел 87% чувствительность и 100% специфичность в разделении этих двух состояний. Также, больные с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имели брадикардии, типичной для тренированных атлетов, был отмечен более короткий интервал QT (0,35±0,04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 0,39±0,02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атлетов). Необходимо проводить дифференциальную диагностику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рядом заболеваний, которые могут стать причиной схожих электрокардиографических проявлений: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аритмогенной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дисплазией правого желудочка, миокардитами,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кардиомиопатиями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болезнью (миокардитом)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Чагаса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Chagas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болезнью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Steinert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опухолями средостения. При анализе изменений ЭКГ в правых грудных отведениях необходимо проводить дифференциальный диагноз с патологическими состояниями, приводящими к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элевации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 ST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гипертрофия ЛЖ; 2 - блокада левой ножки пучка Гиса; 3 - острый перикардит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элевация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 ST во всех отведениях и снижение сегмента Р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4 - острая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гиперкалиемия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(высокие зазубренные зубцы Т); 5 -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-перегородочный инфаркт </w:t>
      </w: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миокарда; 6 -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-перегородочный инфаркт миокарда в сочетании с блоком правой ножки пучка Гиса; 7 - синдром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указанных заболеваний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дифференцировать от других генетических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аритмогенных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синдромов: удлиненного интервала QT, короткого интервала QT,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катехоламинергической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полиморфной желудочковой тахикардии. Нередко данные синдромы могут сочетаться между собой, как, например,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синдром короткого интервала QT.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скрытых форм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затруднено, так как генетические методы диагностики, являющиеся решающими в данном случае, еще недостаточно широко внедрены в клиническую практику, кроме того, как уже упоминалось, мутация в гене SCN5A обнаруживается далеко не у всех больных. ЭКГ предикторами наличия мутации SCN5A являются: 1) более длинный интервал PQ (&gt;/=21-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2) более длинный интервал HV (&gt;/=60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3) значительно большее увеличение продолжительности QRS при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введенииантиаритмических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препаратов I класса, что согласуется с предполагаемым нарушением функции натриевых каналов. Отсутствие данной мутации по наблюдениям исследователей приводило к сочетанию клиники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прогрессирующими нарушениями проводимости, низкой чувствительностью к тесту с антиаритмическими препаратами I класса и относительно хорошим прогнозом. Как правило у пациентов с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выявляется патологии при проведении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ЭхоКГ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коронарной ангиографии,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эндомиокардиальной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биопсии, неврологического исследования. Иногда клиника синкопы с регистрацией на ЭКГ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элевации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 ST заставляет заподозрить диагноз острого инфаркта миокарда. Для дифференциальной диагностики необходимо исследование кардиальных ферментов, проведение проб с антиаритмическими препаратами I класса и ЭК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в динамике.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Сосуществование синдрома удлиненного интервала QT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long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QT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syndrome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LQTS) 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кажется парадоксальным, так как генетические мутации вызывающие эти заболевания разнонаправлено действуют на функцию натриевых каналов, однако совсем недавно описаны семьи и обнаружена мутация (1795insD), которая может вызывать одновременно и LQTS и СБ через взаимодействие с гетерогенным миокардом зависимым от ЧСС способом.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</w:t>
      </w: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исследовании</w:t>
      </w: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(Priori SC, Napolitano C.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Schwartz PJ,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Bloise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Crotti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Ronchetti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E.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elusive link between LAT3 and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Brugada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syndrome.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Circulation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2000) на фоне введения больным LQTS 3 типа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флекаинида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произошло укорочение интервала QT, но у 6 пациентов при этом на ЭКГ неожиданно появились признаки СБ.</w:t>
      </w:r>
      <w:proofErr w:type="gramEnd"/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Описаны случаи возникновения атриовентрикулярной блокады при наличии мутации SCN5A, а также сочетание ЭКГ признаков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синдрома Вольфа-Паркинсона-Уайта.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Характерно, что типичный ЭКГ-паттерн чаще регистрируется у больных в период перед развитием фибрилляции желудочков, что свидетельствует о необходимости динамического наблюдения за больными с подозрением на СБ. При пробе с дозированной физической нагрузкой и лекарственной пробе с симпатомиметиками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изадрин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ЭКГ-проявления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уменьшаются, в то время как при пробе с медленным внутривенным введением антиаритмических препаратов, блокирующих натриевый ток, увеличиваются. Согласно стандартному протоколу обследования больных с подозрением на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рекомендуется использовать для проб следующие антиаритмические препараты: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гилуритмал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аймалин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дозе 1 мг/кг,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новокаинамид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прокаинамид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дозе 10 мг/кг или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флекаинид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дозе 2 мг/кг. Необходимо учитывать, что при введении указанных препаратов у больных с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развиваться опасные желудочковые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тахиаритмии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вплоть до фибрилляции, поэтому проводиться такие пробы должны при условии полной готовности к оказанию экстренной помощи. Но, несмотря на это, пробы на сегодняшний </w:t>
      </w: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день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достоверный критерий выявления опасного, угрожающего жизни заболевания, требующего постоянного наблюдения и многолетней антиаритмической терапии. При проведении инвазивного электрофизиологического исследования (ЭФИ) у больных с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индуцируются желудочковые аритмии, однако ЭФИ вряд ли можно считать «золотым стандартом» диагностики полной клинической формы синдрома. До 1992 года нередко описывались случаи наблюдения молодых больных с типичным ЭКГ-паттерном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синкопальными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состояниями и нормальными показателями ЭФИ. В дальнейшем такие больные, оставленные без лечения, внезапно погибали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Mandell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W., 1985).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в диагностике больных с риском опасных желудочковых аритмий, особенно «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микроаномалий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ЭКГ», значительно возросла роль стандартной электрокардиографии. Так, у пациентов с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нашим наблюдениям, нередко регистрируется эпсилон-волна, характеризующая замедленную деполяризацию в области выводного тракта правого желудочка. Данный признак представляет собой «большой» диагностический критерий другого заболевания, сопряженного с высоким риском внезапной смерти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-- </w:t>
      </w:r>
      <w:proofErr w:type="spellStart"/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аритмогенной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дисплазии правого желудочка. Однако, учитывая единый источник возникновения аритмии при обоих заболеваниях -- выводной тракт правого желудочка, его можно отнести и к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ЭКГ-проявлениям СБ.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больных с риском внезапной смерти большое внимание уделяется удлинению интервала QT как фактору риска желудочковых аритмий. Однако ряд наблюдений, проводившихся в последнее время, показал, что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проаритмогенную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играет и укорочение QT, наблюдаемое именно у больных с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идиопатической фибрилляцией желудочков. Предлагается даже термин «синдром укороченного интервала QT»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Gussak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I., 2000). Наши наблюдения свидетельствуют о том, что у всех больных с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отмечены значения интервала QT менее 50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процентили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у наиболее тяжелых больных -- менее 5. Эти изменения могут быть связаны с особенностями электрофизиологии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кардиомиоцита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значительным укорочением 2-й фазы потенциала действия в эпикарде правого желудочка (при удлинении интервала QT задействован противоположный электрофизиологический механизм). Очевидно,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асинхронизм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реполяризации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природы повышает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аритмогенную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миокарда. При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холтеровском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мониторировании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отмечаться высокий циркадный индекс (ЦИ -- отношение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дневной к средней ночной ЧСС) -- более 1,45 (норма от 1,24 до 1,44).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Предполагается, что помимо генетических нарушений важную роль в развитии полиморфной ЖТ и ФЖ при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играет активность автономной нервной системы.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исследований(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Kasanuki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H.,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Ohnishi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S.,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Matuda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N.,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Nirei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T.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Idiopathic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ventricular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fibrillation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induced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with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vagal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activity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patients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without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obvious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heart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disease.Circulation,1997) были получены данные, доказывающие стимулирующий эффект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вагуса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ФЖ.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наблюдении у 6 пациентов на фоне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эпизоды ФЖ имели место во время сна, отдыха или мочеиспускания, то есть в моменты замедления синусового ритма и возрастания значения HF (высокочастотной составляющей спектра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ритмограммы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не возникали во время физической нагрузки. ЭКГ признаки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появлялись после введения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пропранолола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гипервентиляции и наоборот исчезали после физической нагрузки 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инфузии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изопротеренола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образом, было показано, что активация парасимпатической нервной системы или торможение симпатической играет роль в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аритмогенезе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СБ. Об этом же свидетельствует увеличение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элевации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 ST при введении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холиномиметиков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Доказательством симпатической дисфункции при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служит также исследование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Wichter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T.,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Matheja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P.,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Eckardt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L.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Cardiac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autonomic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dysfunction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Brugada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syndrome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Circulation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2002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Feb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12;), в котором было обнаружено </w:t>
      </w: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местное снижение обратного захвата 123I-метайодбензилгуанидина (аналога норадреналина)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пресинаптической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мембраной кардиальных нейронов у 47% пациентов с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 у одного из группы контроля. Также показано, что катехоламины уменьшают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элевацию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 ST и в ряде случаев купируют ФЖ.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в патогенезе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играет роль дисбаланс между альфа- и бета-адренергической стимуляцией. Так при введении пациентам альфа-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адреномиметиков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бета-адреноблокаторов наблюдалось увеличение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элевации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сегмента ST, а при введении альфа-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адреноблокаторов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бета-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адреномиметиков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ее уменьшение.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необходимо исследование пре- и постсинаптической функции симпатического и парасимпатического отделов вегетативной нервной системы для решения вопроса, является ли это первичной симпатической дисфункцией или дисбалансом между этими двумя отделами.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литературе встречаются указания на появление типичных для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на ЭКГ под воздействием других причин помимо генетической патологии. Так описаны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бругадоподобные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ЭКГ у больного во время лихорадки, которые, однако, не были подтверждены при нормализации температуры тестом с введением антиаритмических препаратов I класса. Изменения на ЭКГ по типу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клинических подтверждений синдрома могут наблюдаться у пациентов с экскавацией грудной клетки (вероятно из-за хронического повреждения правого желудочка), при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гемоперикарде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Описан случай регистрации типичной для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ЭКГ картины при опухоли средостения с нормализацией ЭКГ после ее удаления, что, возможно, связано со сдавлением опухолью выносящего тракта правого желудочка. Имеются сообщения о появлении признаков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 употреблении больших доз кокаина, трициклических антидепрессантов, однако трудно судить, является ли это проявлением скрытого СБ или приобретенными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бругадоподобными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изменениями.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описаны следующие состояния и заболевания, вызывающие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бругадоподобные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изменения: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гиперкалиемия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гиперкальциемия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дефицит тиамина, отравление кокаином,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гиперпаратиреоидизм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гипертестостеронемия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опухоли средостения,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аритмогенная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дисплазия правого желудочка, перикардит, инфаркт миокарда, стенокардия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Принцметала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механическая обструкция выходящего тракта правого желудочка опухолями или при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гемоперикарде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тромбоэмболия лёгочной артерии, расслаивающая аневризма аорты, различные аномалии центральной и вегетативной нервной системы, мышечная дистрофия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Дюшенна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атаксия Фредерика.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 лекарственных препаратов, ингибирующих натриевые каналы, также может вызывать СБ. Лекарственно-индуцированный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 при лечении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месалазином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ваготоническими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препаратами, б-адренергическими агонистами, в-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адреноблокаторами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антигистаминовыми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препаратами 1-ого поколения,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антималярийными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средствами, седативными, антиконвульсантами, нейролептиками, три- и тетрациклическими антидепрессантами, препаратами лития. По данным экспериментов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vitro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vivo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секционных и клинических исследований антиконвульсанты, антидепрессанты, нейролептики,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анксиолитики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нормотимики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способны блокировать быстрые калиевые HERG-каналы, натриевые каналы (вследствие дефекта гена SCN5A) и кальциевые каналы L-типа, вызывая, таким образом, функциональную недостаточность всех каналов сердца. Имеющиеся в медицинской литературе сообщения о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тесно ассоциированном с приёмом психотропных препаратов, касаются, в основном, суицидов, случаев передозировки и интоксикации, то есть при токсических дозах лекарственных средств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overdose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предупреждения фибрилляции желудочков при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классические антиаритмические препараты, обеспечивающие эффект в 60% случаев. Генетически </w:t>
      </w: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детерминированное поражение натриевых каналов теоретически предполагает меньшую эффективность препаратов 1-й группы, а также возможность проявления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проаритмогенного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эффекта при их использовании. Согласно алгоритму формирования антиаритмической терапии, известному под названием «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сицилианский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гамбит»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Europ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Heart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J, 1991; 12), антиаритмическими препаратами, обеспечивающими активную блокаду натриевых каналов, являются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новокаинамид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дизопирамид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хинидин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ритмонорм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гилуритмал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флекаинид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энкаинид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Менее выраженное блокирующее действие отмечено у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лидокаина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мексилетина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токаинида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бепридила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верапамила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кордарона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обзидана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Можно предположить, что при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безопасно применять препараты, не блокирующие натриевые каналы, --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дилтиазем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бретилиум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соталекс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надолол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коргард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лечение с 60% эффективностью используют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кордарон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в-блокаторы. При развитии приступов тахикардии эффективным является введение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изопротеренола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последние годы появилось сообщение об эффективности в клинических и экспериментальных исследованиях при длительной терапии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хинидина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фосфодиэстеразных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ингибиторов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цилостазол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кардиоселективных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блокаторов тока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lto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эффективным методом предотвращения развития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жизнеугрожающих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аритмий у больных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сегодняшний день является имплантация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кардиовертеров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-дефибрилляторов.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Мировая статистика свидетельствует о широком распространении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мире. Вместе с тем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выявляемость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в России, очевидно, связана с меньшей ориентацией врачей на весь клинико-электрокардиографический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симптомокомплекс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часто не имеющий особенностей в отдельных составляющих, позволяющих уверенно поставить диагноз. Поэтому у всех больных с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синкопальными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состояниями неясной этиологии, ночными пароксизмами удушья, случаями внезапной смерти в семье (особенно в молодом возрасте и в ночное время),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типичным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ЭКГ-паттерном необходимо исключить синдром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этого таким пациентам следует проводить фармакологические пробы, динамическое ЭКГ-обследование как самого больного, так и его родственников,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холтеровское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мониторирование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Кроме того, одним из наиболее достоверных методов диагностики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молекулярно-генетическое исследование.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при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серьезный. Больные часто умирают во время приступов вследствие ФЖ. Частота внезапной смерти при отсутствии адекватного лечения по данным разных авторов колеблется от 10 до 40% в год, причем риск для больных с постоянными и периодическими изменениями ЭКГ является одинаковым.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активно информировать врачей о клинико-электрокардиографических проявлениях заболевания, что значительно повышает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выявляемость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заболеваний с риском внезапной смерти. Так практически после всех конференций и лекций по синдрому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клиниках, где проходит активный поток больных, выявляются новые случаи заболевания.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Макаров Л.М. ЭКГ в педиатрии. - 2-е издание. - М.: ИД «МЕДПРАКТИКА-М», 2006.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www.medicusamicus.com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Воротняк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Д., врач-кардиолог поликлинического отделения, дежурный врач отделения острой коронарной недостаточности (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Clinica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y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Maternidad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Suizo-Argentina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Буэнос-Айрес, Аргентина.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Вестник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аритмологии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N50 от 21/01/2008, стр. 40-46 Синдром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бругадоподобные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на ЭКГ при лечении психотропными препаратами, Н.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Лиманкина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Санкт-Петербургская психиатрическая больница №1 им. П.П. Кащенко.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Частота выявления признаков синдрома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регистрации ЭКГ,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Дупляков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Д.В., Глухова В.Л., Максимова С.В.,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Вождаева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З.И., Старостина И.В., Васильева Е.Н.,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Сысуенкова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Светлакова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Л.П.,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Голева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Сорокина Т.Т. Журнал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Кардиологоия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№11 от 2007года.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Шубик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Ю.В., Яшин С.М. Синдром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клинико-электрофизиологические проявления. Вестник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аритмологии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1999;14:49-53.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Дупляков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Д.В. Блокада правой ножки п. Гиса, подъем сегмента ST в отведениях VI-V2 (V3) и опасные для жизни нарушения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серденного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ритма. Кардиология 2001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8:93-96.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Макаров Л.М.,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Чупрова С.Н., Гарипов Р.Ш., Калинин Л.А., Кравцова Л.А. Клинико-электрокардиографические особенности синдрома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(клиническое наблюдение семейного случая и обзор литературы). Кардиология 2002; 11:94-100.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Обморок, желудочковая тахикардия,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миокардиальные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"мостики". Дефибриллятор? </w:t>
      </w:r>
      <w:proofErr w:type="gram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Аорто-коронарное</w:t>
      </w:r>
      <w:proofErr w:type="gram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шунтирование? Или ничего?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Шляховер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М. Берман, И.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Маневич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Джафри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Л.Рейзин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Medicus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Amicus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№2, 2005.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Шляховер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В.Е. Желудочковая или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наджелудочковая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тахикардия. Вот в чем вопрос.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Medicus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Amicus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.- 2004.-Vol.5.-P. 8.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Макаров, Л. М. Синдром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Л. М. Макаров // Медицина неотложных состояний. - 2008. - № 1 (14). - С. 96-99.</w:t>
      </w:r>
    </w:p>
    <w:p w:rsidR="00D6706F" w:rsidRPr="00D6706F" w:rsidRDefault="00D6706F" w:rsidP="00D6706F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Бокерия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Синдром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Бругада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клинико-диагностические критерии и лечение / Л. А.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Бокерия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Ш.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Ревишвили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В. Проничева // Анналы </w:t>
      </w:r>
      <w:proofErr w:type="spellStart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аритмол</w:t>
      </w:r>
      <w:proofErr w:type="spellEnd"/>
      <w:r w:rsidRPr="00D67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- 2005. - № 4. - С. 35.</w:t>
      </w:r>
    </w:p>
    <w:p w:rsidR="00C41A61" w:rsidRPr="00D6706F" w:rsidRDefault="00C41A61" w:rsidP="00D6706F"/>
    <w:sectPr w:rsidR="00C41A61" w:rsidRPr="00D6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00AD"/>
    <w:multiLevelType w:val="multilevel"/>
    <w:tmpl w:val="1ACA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D71EE"/>
    <w:multiLevelType w:val="multilevel"/>
    <w:tmpl w:val="F1CC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B4895"/>
    <w:multiLevelType w:val="multilevel"/>
    <w:tmpl w:val="6388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44875"/>
    <w:multiLevelType w:val="multilevel"/>
    <w:tmpl w:val="E3F6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2"/>
    <w:rsid w:val="00880FBD"/>
    <w:rsid w:val="00C41A61"/>
    <w:rsid w:val="00D44442"/>
    <w:rsid w:val="00D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1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A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A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41A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6706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a5">
    <w:name w:val="No Spacing"/>
    <w:rsid w:val="00D6706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1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A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A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41A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6706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a5">
    <w:name w:val="No Spacing"/>
    <w:rsid w:val="00D6706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4669</Words>
  <Characters>26618</Characters>
  <Application>Microsoft Office Word</Application>
  <DocSecurity>0</DocSecurity>
  <Lines>221</Lines>
  <Paragraphs>62</Paragraphs>
  <ScaleCrop>false</ScaleCrop>
  <Company/>
  <LinksUpToDate>false</LinksUpToDate>
  <CharactersWithSpaces>31225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Полуянов</dc:creator>
  <cp:keywords/>
  <dc:description/>
  <cp:lastModifiedBy>Андрей Полуянов</cp:lastModifiedBy>
  <cp:revision>3</cp:revision>
  <dcterms:created xsi:type="dcterms:W3CDTF">2023-01-08T15:52:00Z</dcterms:created>
  <dcterms:modified xsi:type="dcterms:W3CDTF">2023-01-08T15:59:00Z</dcterms:modified>
</cp:coreProperties>
</file>