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824DFA">
        <w:rPr>
          <w:rFonts w:ascii="Times New Roman" w:hAnsi="Times New Roman"/>
          <w:sz w:val="28"/>
          <w:szCs w:val="28"/>
          <w:u w:val="single"/>
        </w:rPr>
        <w:tab/>
      </w:r>
      <w:r w:rsidR="00824DFA">
        <w:rPr>
          <w:rFonts w:ascii="Times New Roman" w:hAnsi="Times New Roman"/>
          <w:sz w:val="28"/>
          <w:szCs w:val="28"/>
          <w:u w:val="single"/>
        </w:rPr>
        <w:tab/>
      </w:r>
      <w:r w:rsidR="00824DFA">
        <w:rPr>
          <w:rFonts w:ascii="Times New Roman" w:hAnsi="Times New Roman"/>
          <w:sz w:val="28"/>
          <w:szCs w:val="28"/>
          <w:u w:val="single"/>
        </w:rPr>
        <w:tab/>
      </w:r>
      <w:r w:rsidR="00824DFA">
        <w:rPr>
          <w:rFonts w:ascii="Times New Roman" w:hAnsi="Times New Roman"/>
          <w:sz w:val="28"/>
          <w:szCs w:val="28"/>
          <w:u w:val="single"/>
        </w:rPr>
        <w:tab/>
      </w:r>
      <w:r w:rsidR="00824DFA">
        <w:rPr>
          <w:rFonts w:ascii="Times New Roman" w:hAnsi="Times New Roman"/>
          <w:sz w:val="28"/>
          <w:szCs w:val="28"/>
          <w:u w:val="single"/>
        </w:rPr>
        <w:tab/>
        <w:t>С</w:t>
      </w:r>
      <w:r w:rsidR="00824DFA" w:rsidRPr="00824DFA">
        <w:rPr>
          <w:rFonts w:ascii="Times New Roman" w:hAnsi="Times New Roman"/>
          <w:sz w:val="28"/>
          <w:szCs w:val="28"/>
          <w:u w:val="single"/>
        </w:rPr>
        <w:t>изых Олеся Александровна</w:t>
      </w:r>
      <w:r w:rsidR="00824DFA">
        <w:rPr>
          <w:rFonts w:ascii="Times New Roman" w:hAnsi="Times New Roman"/>
          <w:sz w:val="28"/>
          <w:szCs w:val="28"/>
          <w:u w:val="single"/>
        </w:rPr>
        <w:tab/>
      </w:r>
      <w:r w:rsidR="00824DFA">
        <w:rPr>
          <w:rFonts w:ascii="Times New Roman" w:hAnsi="Times New Roman"/>
          <w:sz w:val="28"/>
          <w:szCs w:val="28"/>
          <w:u w:val="single"/>
        </w:rPr>
        <w:tab/>
      </w:r>
      <w:r w:rsidR="00824DFA">
        <w:rPr>
          <w:rFonts w:ascii="Times New Roman" w:hAnsi="Times New Roman"/>
          <w:sz w:val="28"/>
          <w:szCs w:val="28"/>
          <w:u w:val="single"/>
        </w:rPr>
        <w:tab/>
      </w:r>
      <w:r w:rsidR="00824DFA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</w:t>
      </w:r>
      <w:proofErr w:type="gramStart"/>
      <w:r w:rsidRPr="002B179D">
        <w:rPr>
          <w:rFonts w:ascii="Times New Roman" w:hAnsi="Times New Roman"/>
          <w:sz w:val="28"/>
          <w:szCs w:val="28"/>
        </w:rPr>
        <w:t xml:space="preserve">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</w:t>
      </w:r>
      <w:proofErr w:type="gramEnd"/>
      <w:r w:rsidRPr="002B179D">
        <w:rPr>
          <w:rFonts w:ascii="Times New Roman" w:hAnsi="Times New Roman"/>
          <w:sz w:val="28"/>
          <w:szCs w:val="28"/>
          <w:u w:val="single"/>
        </w:rPr>
        <w:t xml:space="preserve">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3D72E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3D72E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3D72E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3D72E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3D72E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3D72E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3D72E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D52F2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824D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824DFA" w:rsidRPr="00824DFA">
        <w:rPr>
          <w:rFonts w:ascii="Times New Roman" w:hAnsi="Times New Roman"/>
          <w:sz w:val="24"/>
          <w:szCs w:val="24"/>
          <w:u w:val="single"/>
        </w:rPr>
        <w:t>«Правила надлежащей практики хранения лекарственных средств в аптеке»</w:t>
      </w:r>
    </w:p>
    <w:p w:rsidR="00824DFA" w:rsidRDefault="00824DFA" w:rsidP="00824D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824DFA">
        <w:rPr>
          <w:rFonts w:ascii="Times New Roman" w:hAnsi="Times New Roman"/>
          <w:sz w:val="24"/>
          <w:szCs w:val="24"/>
        </w:rPr>
        <w:t xml:space="preserve"> </w:t>
      </w:r>
      <w:r w:rsidR="00824DFA" w:rsidRPr="00824DFA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Pr="00824DFA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824DFA" w:rsidRPr="00824DFA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824DFA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3D72E4"/>
    <w:rsid w:val="00824DFA"/>
    <w:rsid w:val="009F25ED"/>
    <w:rsid w:val="00B31D47"/>
    <w:rsid w:val="00BD52F2"/>
    <w:rsid w:val="00B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3C0A-F41B-40F8-8418-15E6EB4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1074</Words>
  <Characters>6127</Characters>
  <Application>Microsoft Office Word</Application>
  <DocSecurity>0</DocSecurity>
  <Lines>51</Lines>
  <Paragraphs>14</Paragraphs>
  <ScaleCrop>false</ScaleCrop>
  <Company>diakov.net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5</cp:revision>
  <dcterms:created xsi:type="dcterms:W3CDTF">2020-06-08T12:45:00Z</dcterms:created>
  <dcterms:modified xsi:type="dcterms:W3CDTF">2020-06-09T17:26:00Z</dcterms:modified>
</cp:coreProperties>
</file>