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036710911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051"/>
          </w:tblGrid>
          <w:tr w:rsidR="00185387" w:rsidTr="007F145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83FB6E19FE0463C9C92D5BC298514A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color w:val="424242"/>
                  <w:sz w:val="28"/>
                  <w:szCs w:val="28"/>
                  <w:shd w:val="clear" w:color="auto" w:fill="FFFFFF"/>
                </w:rPr>
              </w:sdtEndPr>
              <w:sdtContent>
                <w:tc>
                  <w:tcPr>
                    <w:tcW w:w="0" w:type="auto"/>
                  </w:tcPr>
                  <w:p w:rsidR="00185387" w:rsidRDefault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              </w:r>
                    <w:proofErr w:type="spellStart"/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В.Ф.Войно-Ясенецкого</w:t>
                    </w:r>
                    <w:proofErr w:type="spellEnd"/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" Министерства здравоохранения Российской Федерации</w:t>
                    </w:r>
                  </w:p>
                </w:tc>
              </w:sdtContent>
            </w:sdt>
          </w:tr>
          <w:tr w:rsidR="00185387" w:rsidTr="007F145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DC835A7AFD3842E4BA4E65DAE12F421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85387" w:rsidRDefault="00185387" w:rsidP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Реферат</w:t>
                    </w:r>
                  </w:p>
                </w:tc>
              </w:sdtContent>
            </w:sdt>
          </w:tr>
          <w:tr w:rsidR="00185387" w:rsidTr="007F145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222C72D385CD4181ABCDE4FFA06341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85387" w:rsidRDefault="00BD3CD8" w:rsidP="00BD3CD8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Гемодинамика при сепсисе</w:t>
                    </w:r>
                  </w:p>
                </w:tc>
              </w:sdtContent>
            </w:sdt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 w:rsidP="007F1455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85387" w:rsidRDefault="00185387"/>
        <w:tbl>
          <w:tblPr>
            <w:tblpPr w:leftFromText="187" w:rightFromText="187" w:vertAnchor="page" w:horzAnchor="page" w:tblpX="2878" w:tblpY="15106"/>
            <w:tblW w:w="5000" w:type="pct"/>
            <w:tblLook w:val="04A0" w:firstRow="1" w:lastRow="0" w:firstColumn="1" w:lastColumn="0" w:noHBand="0" w:noVBand="1"/>
          </w:tblPr>
          <w:tblGrid>
            <w:gridCol w:w="9051"/>
          </w:tblGrid>
          <w:tr w:rsidR="00155AAA" w:rsidTr="00155AAA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155AAA" w:rsidRPr="007F1455" w:rsidRDefault="00155AAA" w:rsidP="00155AAA">
                    <w:pPr>
                      <w:pStyle w:val="af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Красноярск 2019</w:t>
                    </w: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г.</w:t>
                    </w:r>
                  </w:p>
                </w:tc>
              </w:sdtContent>
            </w:sdt>
          </w:tr>
        </w:tbl>
        <w:p w:rsidR="00185387" w:rsidRDefault="00185387"/>
        <w:p w:rsidR="00185387" w:rsidRDefault="00185387"/>
        <w:p w:rsidR="00185387" w:rsidRDefault="00155AAA">
          <w:pPr>
            <w:rPr>
              <w:b/>
            </w:rPr>
          </w:pPr>
          <w:r>
            <w:rPr>
              <w:b/>
              <w:bCs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D83F86" wp14:editId="4F09CDFF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1868170</wp:posOffset>
                    </wp:positionV>
                    <wp:extent cx="3487420" cy="1223010"/>
                    <wp:effectExtent l="5080" t="5715" r="12700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7420" cy="1223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Выполнил:</w:t>
                                </w:r>
                                <w:r>
                                  <w:t xml:space="preserve"> ординатор </w:t>
                                </w:r>
                                <w:r w:rsidR="003300CB">
                                  <w:t>2</w:t>
                                </w:r>
                                <w:r>
                                  <w:t xml:space="preserve"> года 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 Грязнов Николай Николаевич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Проверил :</w:t>
                                </w:r>
                                <w:r w:rsidRPr="007F1455">
                                  <w:t xml:space="preserve"> ДМН, </w:t>
                                </w:r>
                                <w:hyperlink r:id="rId9" w:history="1">
                                  <w:r w:rsidRPr="007F1455">
                                    <w:t>Доцент</w:t>
                                  </w:r>
                                </w:hyperlink>
                                <w:r w:rsidRPr="007F1455">
                                  <w:t xml:space="preserve"> </w:t>
                                </w:r>
                              </w:p>
                              <w:p w:rsidR="0002462F" w:rsidRPr="007F1455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</w:t>
                                </w:r>
                                <w:r w:rsidRPr="007F1455">
                                  <w:t>Ростовцев Сергей Иванович</w:t>
                                </w:r>
                              </w:p>
                              <w:p w:rsidR="0002462F" w:rsidRDefault="000246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D83F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92pt;margin-top:147.1pt;width:274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" strokecolor="white [3212]">
                    <v:textbox>
                      <w:txbxContent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Выполнил:</w:t>
                          </w:r>
                          <w:r>
                            <w:t xml:space="preserve"> ординатор </w:t>
                          </w:r>
                          <w:r w:rsidR="003300CB">
                            <w:t>2</w:t>
                          </w:r>
                          <w:r>
                            <w:t xml:space="preserve"> года 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 Грязнов Николай Николаевич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Проверил :</w:t>
                          </w:r>
                          <w:r w:rsidRPr="007F1455">
                            <w:t xml:space="preserve"> ДМН, </w:t>
                          </w:r>
                          <w:hyperlink r:id="rId10" w:history="1">
                            <w:r w:rsidRPr="007F1455">
                              <w:t>Доцент</w:t>
                            </w:r>
                          </w:hyperlink>
                          <w:r w:rsidRPr="007F1455">
                            <w:t xml:space="preserve"> </w:t>
                          </w:r>
                        </w:p>
                        <w:p w:rsidR="0002462F" w:rsidRPr="007F1455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</w:t>
                          </w:r>
                          <w:r w:rsidRPr="007F1455">
                            <w:t>Ростовцев Сергей Иванович</w:t>
                          </w:r>
                        </w:p>
                        <w:p w:rsidR="0002462F" w:rsidRDefault="0002462F"/>
                      </w:txbxContent>
                    </v:textbox>
                  </v:shape>
                </w:pict>
              </mc:Fallback>
            </mc:AlternateContent>
          </w:r>
          <w:r w:rsidR="00185387">
            <w:rPr>
              <w:b/>
            </w:rPr>
            <w:br w:type="page"/>
          </w:r>
        </w:p>
      </w:sdtContent>
    </w:sdt>
    <w:p w:rsidR="00185387" w:rsidRDefault="00185387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55AAA" w:rsidRDefault="00155AAA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</w:rPr>
        <w:id w:val="103671090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55AAA" w:rsidRPr="007F1455" w:rsidRDefault="00155AAA" w:rsidP="00155AAA">
          <w:pPr>
            <w:pStyle w:val="af0"/>
            <w:rPr>
              <w:sz w:val="24"/>
              <w:szCs w:val="24"/>
            </w:rPr>
          </w:pPr>
          <w:r w:rsidRPr="007F1455">
            <w:rPr>
              <w:sz w:val="24"/>
              <w:szCs w:val="24"/>
            </w:rPr>
            <w:t>Оглавление</w:t>
          </w:r>
        </w:p>
        <w:p w:rsidR="00BD3CD8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F1455">
            <w:rPr>
              <w:sz w:val="24"/>
              <w:szCs w:val="24"/>
            </w:rPr>
            <w:fldChar w:fldCharType="begin"/>
          </w:r>
          <w:r w:rsidRPr="007F1455">
            <w:rPr>
              <w:sz w:val="24"/>
              <w:szCs w:val="24"/>
            </w:rPr>
            <w:instrText xml:space="preserve"> TOC \o "1-3" \h \z \u </w:instrText>
          </w:r>
          <w:r w:rsidRPr="007F1455">
            <w:rPr>
              <w:sz w:val="24"/>
              <w:szCs w:val="24"/>
            </w:rPr>
            <w:fldChar w:fldCharType="separate"/>
          </w:r>
          <w:hyperlink w:anchor="_Toc1564172" w:history="1">
            <w:r w:rsidR="00BD3CD8" w:rsidRPr="00DF7003">
              <w:rPr>
                <w:rStyle w:val="a7"/>
                <w:noProof/>
              </w:rPr>
              <w:t>Введение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_Toc1564172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3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3" w:history="1">
            <w:r w:rsidR="00BD3CD8" w:rsidRPr="00DF7003">
              <w:rPr>
                <w:rStyle w:val="a7"/>
                <w:noProof/>
              </w:rPr>
              <w:t>Патофизиология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_Toc1564173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3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4" w:history="1">
            <w:r w:rsidR="00BD3CD8" w:rsidRPr="00DF7003">
              <w:rPr>
                <w:rStyle w:val="a7"/>
                <w:noProof/>
              </w:rPr>
              <w:t>Нарушения водного баланса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_Toc1564174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5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5" w:history="1">
            <w:r w:rsidR="00BD3CD8" w:rsidRPr="00DF7003">
              <w:rPr>
                <w:rStyle w:val="a7"/>
                <w:noProof/>
              </w:rPr>
              <w:t>Нарушения сосудистого тонуса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_Toc1564175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7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6" w:history="1">
            <w:r w:rsidR="00BD3CD8" w:rsidRPr="00DF7003">
              <w:rPr>
                <w:rStyle w:val="a7"/>
                <w:noProof/>
              </w:rPr>
              <w:t>Понижение общего периферического системного сосудистого сопротивления (ОПСС)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_Toc1564176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7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7" w:history="1">
            <w:r w:rsidR="00BD3CD8" w:rsidRPr="00DF7003">
              <w:rPr>
                <w:rStyle w:val="a7"/>
                <w:noProof/>
              </w:rPr>
              <w:t>Повышение общего периферического сосудистого сопротивления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_Toc1564177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8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8" w:history="1">
            <w:r w:rsidR="00BD3CD8" w:rsidRPr="00DF7003">
              <w:rPr>
                <w:rStyle w:val="a7"/>
                <w:noProof/>
              </w:rPr>
              <w:t>Нарушения функции миокарда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_Toc1564178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9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79" w:history="1">
            <w:r w:rsidR="00BD3CD8" w:rsidRPr="00DF7003">
              <w:rPr>
                <w:rStyle w:val="a7"/>
                <w:noProof/>
              </w:rPr>
              <w:t>Обсуждение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_Toc1564179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11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80" w:history="1">
            <w:r w:rsidR="00BD3CD8" w:rsidRPr="00DF7003">
              <w:rPr>
                <w:rStyle w:val="a7"/>
                <w:noProof/>
              </w:rPr>
              <w:t>Заключение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_Toc1564180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12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BD3CD8" w:rsidRDefault="00363AF5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4181" w:history="1">
            <w:r w:rsidR="00BD3CD8" w:rsidRPr="00DF7003">
              <w:rPr>
                <w:rStyle w:val="a7"/>
                <w:noProof/>
              </w:rPr>
              <w:t>Литература</w:t>
            </w:r>
            <w:r w:rsidR="00BD3CD8">
              <w:rPr>
                <w:noProof/>
                <w:webHidden/>
              </w:rPr>
              <w:tab/>
            </w:r>
            <w:r w:rsidR="00BD3CD8">
              <w:rPr>
                <w:noProof/>
                <w:webHidden/>
              </w:rPr>
              <w:fldChar w:fldCharType="begin"/>
            </w:r>
            <w:r w:rsidR="00BD3CD8">
              <w:rPr>
                <w:noProof/>
                <w:webHidden/>
              </w:rPr>
              <w:instrText xml:space="preserve"> PAGEREF _Toc1564181 \h </w:instrText>
            </w:r>
            <w:r w:rsidR="00BD3CD8">
              <w:rPr>
                <w:noProof/>
                <w:webHidden/>
              </w:rPr>
            </w:r>
            <w:r w:rsidR="00BD3CD8">
              <w:rPr>
                <w:noProof/>
                <w:webHidden/>
              </w:rPr>
              <w:fldChar w:fldCharType="separate"/>
            </w:r>
            <w:r w:rsidR="00BD3CD8">
              <w:rPr>
                <w:noProof/>
                <w:webHidden/>
              </w:rPr>
              <w:t>13</w:t>
            </w:r>
            <w:r w:rsidR="00BD3CD8">
              <w:rPr>
                <w:noProof/>
                <w:webHidden/>
              </w:rPr>
              <w:fldChar w:fldCharType="end"/>
            </w:r>
          </w:hyperlink>
        </w:p>
        <w:p w:rsidR="00155AAA" w:rsidRDefault="00155AAA" w:rsidP="00155AAA">
          <w:r w:rsidRPr="007F1455">
            <w:rPr>
              <w:sz w:val="24"/>
              <w:szCs w:val="24"/>
            </w:rPr>
            <w:fldChar w:fldCharType="end"/>
          </w:r>
        </w:p>
      </w:sdtContent>
    </w:sdt>
    <w:p w:rsidR="00185387" w:rsidRDefault="00155AAA" w:rsidP="00155AA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 xml:space="preserve"> </w:t>
      </w:r>
      <w:r w:rsidR="00185387">
        <w:rPr>
          <w:b/>
        </w:rPr>
        <w:br w:type="page"/>
      </w: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0" w:name="_Toc1564172"/>
      <w:bookmarkStart w:id="1" w:name="_GoBack"/>
      <w:r w:rsidRPr="003F6665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Понимание патофизиологии нарушений кровообращения при сепсисе невозможно без понимания механизмов, которые приводят к его возникновению. В основе сепсиса как </w:t>
      </w:r>
      <w:proofErr w:type="spellStart"/>
      <w:r w:rsidRPr="003F6665">
        <w:rPr>
          <w:color w:val="222222"/>
          <w:sz w:val="28"/>
          <w:szCs w:val="28"/>
        </w:rPr>
        <w:t>генерализованного</w:t>
      </w:r>
      <w:proofErr w:type="spellEnd"/>
      <w:r w:rsidRPr="003F6665">
        <w:rPr>
          <w:color w:val="222222"/>
          <w:sz w:val="28"/>
          <w:szCs w:val="28"/>
        </w:rPr>
        <w:t xml:space="preserve"> инфекционно-воспалительного процесса лежит интегральное взаимодействие микроорганизма и </w:t>
      </w:r>
      <w:proofErr w:type="spellStart"/>
      <w:r w:rsidRPr="003F6665">
        <w:rPr>
          <w:color w:val="222222"/>
          <w:sz w:val="28"/>
          <w:szCs w:val="28"/>
        </w:rPr>
        <w:t>макроорганизма</w:t>
      </w:r>
      <w:proofErr w:type="spellEnd"/>
      <w:r w:rsidRPr="003F6665">
        <w:rPr>
          <w:color w:val="222222"/>
          <w:sz w:val="28"/>
          <w:szCs w:val="28"/>
        </w:rPr>
        <w:t>, определяемое индивидуальными особенностями последнего. Понимание патогенеза воспаления как системного патологического процесса позволило изменить взгляды на его природу, диагностику и лечение.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При многих критических состояниях, хирургической патологии, травме, болевом синдроме, ожогах меняется реактивность организма. Эти изменения вначале носят защитно-приспособительный, локальный характер. При выраженном локальном воспалении или несостоятельности в основном иммунных механизмов, ограничивающих его течение, такие изменения приобретают </w:t>
      </w:r>
      <w:proofErr w:type="spellStart"/>
      <w:r w:rsidRPr="003F6665">
        <w:rPr>
          <w:color w:val="222222"/>
          <w:sz w:val="28"/>
          <w:szCs w:val="28"/>
        </w:rPr>
        <w:t>генерализованный</w:t>
      </w:r>
      <w:proofErr w:type="spellEnd"/>
      <w:r w:rsidRPr="003F6665">
        <w:rPr>
          <w:color w:val="222222"/>
          <w:sz w:val="28"/>
          <w:szCs w:val="28"/>
        </w:rPr>
        <w:t xml:space="preserve"> характер с возможным развитием сепсиса в случае присоединения инфекции.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По мере расшифровки механизмов антиинфекционной защиты и накопления новых данных происходила постепенная трансформация понимания сути этого патологического процесса — от ведущей и единственной роли инфекционного начала к признанию существенного значения реактивности </w:t>
      </w:r>
      <w:proofErr w:type="spellStart"/>
      <w:r w:rsidRPr="003F6665">
        <w:rPr>
          <w:color w:val="222222"/>
          <w:sz w:val="28"/>
          <w:szCs w:val="28"/>
        </w:rPr>
        <w:t>макроорганизма</w:t>
      </w:r>
      <w:proofErr w:type="spellEnd"/>
      <w:r w:rsidRPr="003F6665">
        <w:rPr>
          <w:color w:val="222222"/>
          <w:sz w:val="28"/>
          <w:szCs w:val="28"/>
        </w:rPr>
        <w:t>. Более того, уровень развития генетики и молекулярной биологии позволил определить и роль генетической детерминации в развитии сепсиса.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2" w:name="_Toc1564173"/>
      <w:r w:rsidRPr="003F6665">
        <w:rPr>
          <w:rFonts w:ascii="Times New Roman" w:hAnsi="Times New Roman" w:cs="Times New Roman"/>
        </w:rPr>
        <w:t>Патофизиология</w:t>
      </w:r>
      <w:bookmarkEnd w:id="2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В 1992 г. на согласительной конференции торакальных хирургов и врачей интенсивной терапии в Чикаго (США) была принята Классификация сепсиса как системного воспалительного ответа организма, в развитии которого определяющую роль играют медиаторы воспаления — цитокины.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Цитокины — основные медиаторы воспалительной реакции — производятся клетками иммунной системы. Главные продуценты цитокинов — Т-клетки, макрофаги, </w:t>
      </w:r>
      <w:proofErr w:type="spellStart"/>
      <w:r w:rsidRPr="003F6665">
        <w:rPr>
          <w:color w:val="222222"/>
          <w:sz w:val="28"/>
          <w:szCs w:val="28"/>
        </w:rPr>
        <w:t>эндотелиоциты</w:t>
      </w:r>
      <w:proofErr w:type="spellEnd"/>
      <w:r w:rsidRPr="003F6665">
        <w:rPr>
          <w:color w:val="222222"/>
          <w:sz w:val="28"/>
          <w:szCs w:val="28"/>
        </w:rPr>
        <w:t xml:space="preserve">, лейкоциты, тромбоциты и различные типы </w:t>
      </w:r>
      <w:proofErr w:type="spellStart"/>
      <w:r w:rsidRPr="003F6665">
        <w:rPr>
          <w:color w:val="222222"/>
          <w:sz w:val="28"/>
          <w:szCs w:val="28"/>
        </w:rPr>
        <w:t>стромальных</w:t>
      </w:r>
      <w:proofErr w:type="spellEnd"/>
      <w:r w:rsidRPr="003F6665">
        <w:rPr>
          <w:color w:val="222222"/>
          <w:sz w:val="28"/>
          <w:szCs w:val="28"/>
        </w:rPr>
        <w:t xml:space="preserve"> клеток. Цитокины прежде всего начинают действовать в очаге повреждения или воспаления, выполняя сначала роль защитных механизмов.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lastRenderedPageBreak/>
        <w:t xml:space="preserve">Система высвобождения цитокинов определяется генетически и внешними условиями (тип и интенсивность стресса). Острая фаза воспаления регулируется </w:t>
      </w:r>
      <w:proofErr w:type="spellStart"/>
      <w:r w:rsidRPr="003F6665">
        <w:rPr>
          <w:color w:val="222222"/>
          <w:sz w:val="28"/>
          <w:szCs w:val="28"/>
        </w:rPr>
        <w:t>провоспалительными</w:t>
      </w:r>
      <w:proofErr w:type="spellEnd"/>
      <w:r w:rsidRPr="003F6665">
        <w:rPr>
          <w:color w:val="222222"/>
          <w:sz w:val="28"/>
          <w:szCs w:val="28"/>
        </w:rPr>
        <w:t xml:space="preserve"> цитокинами — </w:t>
      </w:r>
      <w:proofErr w:type="spellStart"/>
      <w:r w:rsidRPr="003F6665">
        <w:rPr>
          <w:color w:val="222222"/>
          <w:sz w:val="28"/>
          <w:szCs w:val="28"/>
        </w:rPr>
        <w:t>интерлейкинами</w:t>
      </w:r>
      <w:proofErr w:type="spellEnd"/>
      <w:r w:rsidRPr="003F6665">
        <w:rPr>
          <w:color w:val="222222"/>
          <w:sz w:val="28"/>
          <w:szCs w:val="28"/>
        </w:rPr>
        <w:t xml:space="preserve"> (ИЛ-1, ИЛ-6, ИЛ-8), фактором некроза опухолей альфа (ФНО-а), а также их эндогенными антагонистами или </w:t>
      </w:r>
      <w:proofErr w:type="spellStart"/>
      <w:r w:rsidRPr="003F6665">
        <w:rPr>
          <w:color w:val="222222"/>
          <w:sz w:val="28"/>
          <w:szCs w:val="28"/>
        </w:rPr>
        <w:t>антивоспалительными</w:t>
      </w:r>
      <w:proofErr w:type="spellEnd"/>
      <w:r w:rsidRPr="003F6665">
        <w:rPr>
          <w:color w:val="222222"/>
          <w:sz w:val="28"/>
          <w:szCs w:val="28"/>
        </w:rPr>
        <w:t xml:space="preserve"> цитокинами — ИЛ-4, ИЛ-10, ИЛ-13.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 нормальных условиях за счет поддержания баланса между про- и </w:t>
      </w:r>
      <w:proofErr w:type="spellStart"/>
      <w:r w:rsidRPr="003F6665">
        <w:rPr>
          <w:color w:val="222222"/>
          <w:sz w:val="28"/>
          <w:szCs w:val="28"/>
        </w:rPr>
        <w:t>антивоспалительными</w:t>
      </w:r>
      <w:proofErr w:type="spellEnd"/>
      <w:r w:rsidRPr="003F6665">
        <w:rPr>
          <w:color w:val="222222"/>
          <w:sz w:val="28"/>
          <w:szCs w:val="28"/>
        </w:rPr>
        <w:t xml:space="preserve"> цитокинами создаются условия для заживления ран, уничтожения патогенных микроорганизмов, поддержания гомеостаза. Эта система контролирует тяжесть воспалительной реакции и степень иммунного ответа. Некоторые из цитокинов (например, ИЛ-12) индуцируют клеточный иммунитет, тогда как другие (например, ИЛ-10) повышают гуморальный иммунитет.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Воспалительный ответ контролируется с помощью баланса между </w:t>
      </w:r>
      <w:proofErr w:type="spellStart"/>
      <w:r w:rsidRPr="003F6665">
        <w:rPr>
          <w:color w:val="222222"/>
          <w:sz w:val="28"/>
          <w:szCs w:val="28"/>
        </w:rPr>
        <w:t>провоспалительными</w:t>
      </w:r>
      <w:proofErr w:type="spellEnd"/>
      <w:r w:rsidRPr="003F6665">
        <w:rPr>
          <w:color w:val="222222"/>
          <w:sz w:val="28"/>
          <w:szCs w:val="28"/>
        </w:rPr>
        <w:t xml:space="preserve"> и </w:t>
      </w:r>
      <w:proofErr w:type="spellStart"/>
      <w:r w:rsidRPr="003F6665">
        <w:rPr>
          <w:color w:val="222222"/>
          <w:sz w:val="28"/>
          <w:szCs w:val="28"/>
        </w:rPr>
        <w:t>антивоспалительными</w:t>
      </w:r>
      <w:proofErr w:type="spellEnd"/>
      <w:r w:rsidRPr="003F6665">
        <w:rPr>
          <w:color w:val="222222"/>
          <w:sz w:val="28"/>
          <w:szCs w:val="28"/>
        </w:rPr>
        <w:t xml:space="preserve"> цитокинами. Преобладание </w:t>
      </w:r>
      <w:proofErr w:type="spellStart"/>
      <w:r w:rsidRPr="003F6665">
        <w:rPr>
          <w:color w:val="222222"/>
          <w:sz w:val="28"/>
          <w:szCs w:val="28"/>
        </w:rPr>
        <w:t>провоспалительных</w:t>
      </w:r>
      <w:proofErr w:type="spellEnd"/>
      <w:r w:rsidRPr="003F6665">
        <w:rPr>
          <w:color w:val="222222"/>
          <w:sz w:val="28"/>
          <w:szCs w:val="28"/>
        </w:rPr>
        <w:t xml:space="preserve"> цитокинов может приводить к катаболизму и кахексии. Чрезмерная же продукция </w:t>
      </w:r>
      <w:proofErr w:type="spellStart"/>
      <w:r w:rsidRPr="003F6665">
        <w:rPr>
          <w:color w:val="222222"/>
          <w:sz w:val="28"/>
          <w:szCs w:val="28"/>
        </w:rPr>
        <w:t>антивоспалительных</w:t>
      </w:r>
      <w:proofErr w:type="spellEnd"/>
      <w:r w:rsidRPr="003F6665">
        <w:rPr>
          <w:color w:val="222222"/>
          <w:sz w:val="28"/>
          <w:szCs w:val="28"/>
        </w:rPr>
        <w:t xml:space="preserve"> цитокинов может привести к </w:t>
      </w:r>
      <w:proofErr w:type="spellStart"/>
      <w:r w:rsidRPr="003F6665">
        <w:rPr>
          <w:color w:val="222222"/>
          <w:sz w:val="28"/>
          <w:szCs w:val="28"/>
        </w:rPr>
        <w:t>иммуносупрессии</w:t>
      </w:r>
      <w:proofErr w:type="spellEnd"/>
      <w:r w:rsidRPr="003F6665">
        <w:rPr>
          <w:color w:val="222222"/>
          <w:sz w:val="28"/>
          <w:szCs w:val="28"/>
        </w:rPr>
        <w:t xml:space="preserve"> и вызвать, например, иммунный паралич и/или инфекционные осложнения.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Многофункциональный </w:t>
      </w:r>
      <w:proofErr w:type="spellStart"/>
      <w:r w:rsidRPr="003F6665">
        <w:rPr>
          <w:color w:val="222222"/>
          <w:sz w:val="28"/>
          <w:szCs w:val="28"/>
        </w:rPr>
        <w:t>провоспалительный</w:t>
      </w:r>
      <w:proofErr w:type="spellEnd"/>
      <w:r w:rsidRPr="003F6665">
        <w:rPr>
          <w:color w:val="222222"/>
          <w:sz w:val="28"/>
          <w:szCs w:val="28"/>
        </w:rPr>
        <w:t xml:space="preserve"> цитокин ФНО-а выделяется преимущественно моноцитами — макрофагами, влияет на липидный обмен, иммунитет, кроветворение, </w:t>
      </w:r>
      <w:proofErr w:type="spellStart"/>
      <w:r w:rsidRPr="003F6665">
        <w:rPr>
          <w:color w:val="222222"/>
          <w:sz w:val="28"/>
          <w:szCs w:val="28"/>
        </w:rPr>
        <w:t>гемокоагуляцию</w:t>
      </w:r>
      <w:proofErr w:type="spellEnd"/>
      <w:r w:rsidRPr="003F6665">
        <w:rPr>
          <w:color w:val="222222"/>
          <w:sz w:val="28"/>
          <w:szCs w:val="28"/>
        </w:rPr>
        <w:t xml:space="preserve"> и эндотелиальную функцию.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Тип инфекции влияет на характер воспалительной реакции. Эндотоксины (</w:t>
      </w:r>
      <w:proofErr w:type="spellStart"/>
      <w:r w:rsidRPr="003F6665">
        <w:rPr>
          <w:color w:val="222222"/>
          <w:sz w:val="28"/>
          <w:szCs w:val="28"/>
        </w:rPr>
        <w:t>липополисахариды</w:t>
      </w:r>
      <w:proofErr w:type="spellEnd"/>
      <w:r w:rsidRPr="003F6665">
        <w:rPr>
          <w:color w:val="222222"/>
          <w:sz w:val="28"/>
          <w:szCs w:val="28"/>
        </w:rPr>
        <w:t>) грамотрицательных бактерий индуцируют выработку ФНО-а, ИЛ-1, ИЛ-6, в то время как экзотоксин грамположительных бактерий повышает уровень ИЛ-8 намного больше. Кроме того, при септическом шоке вырабатываются цитокины иного профиля, чем при тяжелом сепсисе. Вирусные инфекции продуцируют профили, отличные от производимых бактериями.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Местное действие цитокинов проявляется в процессе заживления острых ран, который проходит несколько перекрывающихся фаз (</w:t>
      </w:r>
      <w:proofErr w:type="spellStart"/>
      <w:r w:rsidRPr="003F6665">
        <w:rPr>
          <w:color w:val="222222"/>
          <w:sz w:val="28"/>
          <w:szCs w:val="28"/>
        </w:rPr>
        <w:t>провоспалительную</w:t>
      </w:r>
      <w:proofErr w:type="spellEnd"/>
      <w:r w:rsidRPr="003F6665">
        <w:rPr>
          <w:color w:val="222222"/>
          <w:sz w:val="28"/>
          <w:szCs w:val="28"/>
        </w:rPr>
        <w:t xml:space="preserve"> и </w:t>
      </w:r>
      <w:proofErr w:type="spellStart"/>
      <w:r w:rsidRPr="003F6665">
        <w:rPr>
          <w:color w:val="222222"/>
          <w:sz w:val="28"/>
          <w:szCs w:val="28"/>
        </w:rPr>
        <w:t>антивоспалительную</w:t>
      </w:r>
      <w:proofErr w:type="spellEnd"/>
      <w:r w:rsidRPr="003F6665">
        <w:rPr>
          <w:color w:val="222222"/>
          <w:sz w:val="28"/>
          <w:szCs w:val="28"/>
        </w:rPr>
        <w:t xml:space="preserve">): гемостаз, воспаление, пролиферацию, </w:t>
      </w:r>
      <w:proofErr w:type="spellStart"/>
      <w:r w:rsidRPr="003F6665">
        <w:rPr>
          <w:color w:val="222222"/>
          <w:sz w:val="28"/>
          <w:szCs w:val="28"/>
        </w:rPr>
        <w:t>ангиогенез</w:t>
      </w:r>
      <w:proofErr w:type="spellEnd"/>
      <w:r w:rsidRPr="003F6665">
        <w:rPr>
          <w:color w:val="222222"/>
          <w:sz w:val="28"/>
          <w:szCs w:val="28"/>
        </w:rPr>
        <w:t xml:space="preserve"> и разрешение. Воспалительная фаза включает инфильтрацию нейтрофилами, макрофагами и лимфоцитами, которые секретируют факторы роста и цитокины. Эти медиаторы, действуя локально, активизируют все стадии заживления ран через хемотаксический, </w:t>
      </w:r>
      <w:proofErr w:type="spellStart"/>
      <w:r w:rsidRPr="003F6665">
        <w:rPr>
          <w:color w:val="222222"/>
          <w:sz w:val="28"/>
          <w:szCs w:val="28"/>
        </w:rPr>
        <w:t>митогенный</w:t>
      </w:r>
      <w:proofErr w:type="spellEnd"/>
      <w:r w:rsidRPr="003F6665">
        <w:rPr>
          <w:color w:val="222222"/>
          <w:sz w:val="28"/>
          <w:szCs w:val="28"/>
        </w:rPr>
        <w:t xml:space="preserve"> и другие эффекты. Их концентрации </w:t>
      </w:r>
      <w:r w:rsidRPr="003F6665">
        <w:rPr>
          <w:color w:val="222222"/>
          <w:sz w:val="28"/>
          <w:szCs w:val="28"/>
        </w:rPr>
        <w:lastRenderedPageBreak/>
        <w:t xml:space="preserve">снижаются в течение ближайших нескольких суток. Два типа цитокинов уравновешивают друг друга, при этом </w:t>
      </w:r>
      <w:proofErr w:type="spellStart"/>
      <w:r w:rsidRPr="003F6665">
        <w:rPr>
          <w:color w:val="222222"/>
          <w:sz w:val="28"/>
          <w:szCs w:val="28"/>
        </w:rPr>
        <w:t>провоспалительные</w:t>
      </w:r>
      <w:proofErr w:type="spellEnd"/>
      <w:r w:rsidRPr="003F6665">
        <w:rPr>
          <w:color w:val="222222"/>
          <w:sz w:val="28"/>
          <w:szCs w:val="28"/>
        </w:rPr>
        <w:t xml:space="preserve"> цитокины стимулируют иммунные клетки, чтобы предупредить инфекцию, тогда как </w:t>
      </w:r>
      <w:proofErr w:type="spellStart"/>
      <w:r w:rsidRPr="003F6665">
        <w:rPr>
          <w:color w:val="222222"/>
          <w:sz w:val="28"/>
          <w:szCs w:val="28"/>
        </w:rPr>
        <w:t>антивоспалительные</w:t>
      </w:r>
      <w:proofErr w:type="spellEnd"/>
      <w:r w:rsidRPr="003F6665">
        <w:rPr>
          <w:color w:val="222222"/>
          <w:sz w:val="28"/>
          <w:szCs w:val="28"/>
        </w:rPr>
        <w:t xml:space="preserve"> модулируют их действие и способствуют заживлению.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Концентрация цитокинов пропорциональна выраженности стресса. Нормальная концентрация ключевых </w:t>
      </w:r>
      <w:proofErr w:type="spellStart"/>
      <w:r w:rsidRPr="003F6665">
        <w:rPr>
          <w:color w:val="222222"/>
          <w:sz w:val="28"/>
          <w:szCs w:val="28"/>
        </w:rPr>
        <w:t>провоспалительных</w:t>
      </w:r>
      <w:proofErr w:type="spellEnd"/>
      <w:r w:rsidRPr="003F6665">
        <w:rPr>
          <w:color w:val="222222"/>
          <w:sz w:val="28"/>
          <w:szCs w:val="28"/>
        </w:rPr>
        <w:t xml:space="preserve"> цитокинов в крови обычно не превышает 5—10 </w:t>
      </w:r>
      <w:proofErr w:type="spellStart"/>
      <w:r w:rsidRPr="003F6665">
        <w:rPr>
          <w:color w:val="222222"/>
          <w:sz w:val="28"/>
          <w:szCs w:val="28"/>
        </w:rPr>
        <w:t>пкг</w:t>
      </w:r>
      <w:proofErr w:type="spellEnd"/>
      <w:r w:rsidRPr="003F6665">
        <w:rPr>
          <w:color w:val="222222"/>
          <w:sz w:val="28"/>
          <w:szCs w:val="28"/>
        </w:rPr>
        <w:t xml:space="preserve">/мл. При выраженном повреждении и локальном воспалении или несостоятельности механизмов, ограничивающих его течение, некоторые цитокины (ФНО-а, ИЛ-1, ИЛ-6) оказывают </w:t>
      </w:r>
      <w:proofErr w:type="spellStart"/>
      <w:r w:rsidRPr="003F6665">
        <w:rPr>
          <w:color w:val="222222"/>
          <w:sz w:val="28"/>
          <w:szCs w:val="28"/>
        </w:rPr>
        <w:t>длиннодистантные</w:t>
      </w:r>
      <w:proofErr w:type="spellEnd"/>
      <w:r w:rsidRPr="003F6665">
        <w:rPr>
          <w:color w:val="222222"/>
          <w:sz w:val="28"/>
          <w:szCs w:val="28"/>
        </w:rPr>
        <w:t xml:space="preserve"> действия за пределами очага. В этих случаях их содержание в крови может в десятки и сотни раз превышать нормальные значения.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Увеличение в кровотоке уровня ФНО-а и ИЛ-1 становится тем механизмом, который запускает каскад основных звеньев сепсиса: увеличение синтеза эндогенного вазодилататора оксида азота (NO), активация </w:t>
      </w:r>
      <w:proofErr w:type="spellStart"/>
      <w:r w:rsidRPr="003F6665">
        <w:rPr>
          <w:color w:val="222222"/>
          <w:sz w:val="28"/>
          <w:szCs w:val="28"/>
        </w:rPr>
        <w:t>коагуляционного</w:t>
      </w:r>
      <w:proofErr w:type="spellEnd"/>
      <w:r w:rsidRPr="003F6665">
        <w:rPr>
          <w:color w:val="222222"/>
          <w:sz w:val="28"/>
          <w:szCs w:val="28"/>
        </w:rPr>
        <w:t xml:space="preserve"> каскада, угнетение </w:t>
      </w:r>
      <w:proofErr w:type="spellStart"/>
      <w:r w:rsidRPr="003F6665">
        <w:rPr>
          <w:color w:val="222222"/>
          <w:sz w:val="28"/>
          <w:szCs w:val="28"/>
        </w:rPr>
        <w:t>фибринолиза</w:t>
      </w:r>
      <w:proofErr w:type="spellEnd"/>
      <w:r w:rsidRPr="003F6665">
        <w:rPr>
          <w:color w:val="222222"/>
          <w:sz w:val="28"/>
          <w:szCs w:val="28"/>
        </w:rPr>
        <w:t>, повреждение коллагеновой матрицы легких и повреждение эндотелия сосудов.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Фактор некроза опухоли альфа и ИЛ-1 приводят к миграции лейкоцитов к очагу воспаления, синтезу ими факторов адгезии (</w:t>
      </w:r>
      <w:proofErr w:type="spellStart"/>
      <w:r w:rsidRPr="003F6665">
        <w:rPr>
          <w:color w:val="222222"/>
          <w:sz w:val="28"/>
          <w:szCs w:val="28"/>
        </w:rPr>
        <w:t>интегрины</w:t>
      </w:r>
      <w:proofErr w:type="spellEnd"/>
      <w:r w:rsidRPr="003F6665">
        <w:rPr>
          <w:color w:val="222222"/>
          <w:sz w:val="28"/>
          <w:szCs w:val="28"/>
        </w:rPr>
        <w:t xml:space="preserve">, </w:t>
      </w:r>
      <w:proofErr w:type="spellStart"/>
      <w:r w:rsidRPr="003F6665">
        <w:rPr>
          <w:color w:val="222222"/>
          <w:sz w:val="28"/>
          <w:szCs w:val="28"/>
        </w:rPr>
        <w:t>селектины</w:t>
      </w:r>
      <w:proofErr w:type="spellEnd"/>
      <w:r w:rsidRPr="003F6665">
        <w:rPr>
          <w:color w:val="222222"/>
          <w:sz w:val="28"/>
          <w:szCs w:val="28"/>
        </w:rPr>
        <w:t xml:space="preserve">), секреции протеаз, </w:t>
      </w:r>
      <w:proofErr w:type="spellStart"/>
      <w:r w:rsidRPr="003F6665">
        <w:rPr>
          <w:color w:val="222222"/>
          <w:sz w:val="28"/>
          <w:szCs w:val="28"/>
        </w:rPr>
        <w:t>лейкотриенов</w:t>
      </w:r>
      <w:proofErr w:type="spellEnd"/>
      <w:r w:rsidRPr="003F6665">
        <w:rPr>
          <w:color w:val="222222"/>
          <w:sz w:val="28"/>
          <w:szCs w:val="28"/>
        </w:rPr>
        <w:t xml:space="preserve">, свободных радикалов, </w:t>
      </w:r>
      <w:proofErr w:type="spellStart"/>
      <w:r w:rsidRPr="003F6665">
        <w:rPr>
          <w:color w:val="222222"/>
          <w:sz w:val="28"/>
          <w:szCs w:val="28"/>
        </w:rPr>
        <w:t>эндотелинов</w:t>
      </w:r>
      <w:proofErr w:type="spellEnd"/>
      <w:r w:rsidRPr="003F6665">
        <w:rPr>
          <w:color w:val="222222"/>
          <w:sz w:val="28"/>
          <w:szCs w:val="28"/>
        </w:rPr>
        <w:t>. Все это вызывает повреждение эндотелия сосудов и увеличение их проницаемости.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Альбумин из капилляров выходит в </w:t>
      </w:r>
      <w:proofErr w:type="spellStart"/>
      <w:r w:rsidRPr="003F6665">
        <w:rPr>
          <w:color w:val="222222"/>
          <w:sz w:val="28"/>
          <w:szCs w:val="28"/>
        </w:rPr>
        <w:t>интерстиций</w:t>
      </w:r>
      <w:proofErr w:type="spellEnd"/>
      <w:r w:rsidRPr="003F6665">
        <w:rPr>
          <w:color w:val="222222"/>
          <w:sz w:val="28"/>
          <w:szCs w:val="28"/>
        </w:rPr>
        <w:t xml:space="preserve">, в результате чего развивается синдром «капиллярной утечки». В свою очередь, «утечка» жидкости из капилляров приводит к </w:t>
      </w:r>
      <w:proofErr w:type="spellStart"/>
      <w:r w:rsidRPr="003F6665">
        <w:rPr>
          <w:color w:val="222222"/>
          <w:sz w:val="28"/>
          <w:szCs w:val="28"/>
        </w:rPr>
        <w:t>гиповолемии</w:t>
      </w:r>
      <w:proofErr w:type="spellEnd"/>
      <w:r w:rsidRPr="003F6665">
        <w:rPr>
          <w:color w:val="222222"/>
          <w:sz w:val="28"/>
          <w:szCs w:val="28"/>
        </w:rPr>
        <w:t xml:space="preserve">. Синтез оксида азота обусловливает </w:t>
      </w:r>
      <w:proofErr w:type="spellStart"/>
      <w:r w:rsidRPr="003F6665">
        <w:rPr>
          <w:color w:val="222222"/>
          <w:sz w:val="28"/>
          <w:szCs w:val="28"/>
        </w:rPr>
        <w:t>вазодилатацию</w:t>
      </w:r>
      <w:proofErr w:type="spellEnd"/>
      <w:r w:rsidRPr="003F6665">
        <w:rPr>
          <w:color w:val="222222"/>
          <w:sz w:val="28"/>
          <w:szCs w:val="28"/>
        </w:rPr>
        <w:t xml:space="preserve"> и развитие септического шока, а иногда и рефрактерную гипотензию, устойчивую к </w:t>
      </w:r>
      <w:proofErr w:type="spellStart"/>
      <w:r w:rsidRPr="003F6665">
        <w:rPr>
          <w:color w:val="222222"/>
          <w:sz w:val="28"/>
          <w:szCs w:val="28"/>
        </w:rPr>
        <w:t>инфузионной</w:t>
      </w:r>
      <w:proofErr w:type="spellEnd"/>
      <w:r w:rsidRPr="003F6665">
        <w:rPr>
          <w:color w:val="222222"/>
          <w:sz w:val="28"/>
          <w:szCs w:val="28"/>
        </w:rPr>
        <w:t xml:space="preserve"> и </w:t>
      </w:r>
      <w:proofErr w:type="spellStart"/>
      <w:r w:rsidRPr="003F6665">
        <w:rPr>
          <w:color w:val="222222"/>
          <w:sz w:val="28"/>
          <w:szCs w:val="28"/>
        </w:rPr>
        <w:t>возопрессорной</w:t>
      </w:r>
      <w:proofErr w:type="spellEnd"/>
      <w:r w:rsidRPr="003F6665">
        <w:rPr>
          <w:color w:val="222222"/>
          <w:sz w:val="28"/>
          <w:szCs w:val="28"/>
        </w:rPr>
        <w:t xml:space="preserve"> терапии.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Фактор некроза опухоли альфа угнетает естественные антикоагулянты (протеин С, антитромбин III и т. д.). Поскольку цитокины обладают </w:t>
      </w:r>
      <w:proofErr w:type="spellStart"/>
      <w:r w:rsidRPr="003F6665">
        <w:rPr>
          <w:color w:val="222222"/>
          <w:sz w:val="28"/>
          <w:szCs w:val="28"/>
        </w:rPr>
        <w:t>прокоагулянтной</w:t>
      </w:r>
      <w:proofErr w:type="spellEnd"/>
      <w:r w:rsidRPr="003F6665">
        <w:rPr>
          <w:color w:val="222222"/>
          <w:sz w:val="28"/>
          <w:szCs w:val="28"/>
        </w:rPr>
        <w:t xml:space="preserve"> активностью, их действие приводит к развитию </w:t>
      </w:r>
      <w:proofErr w:type="spellStart"/>
      <w:r w:rsidRPr="003F6665">
        <w:rPr>
          <w:color w:val="222222"/>
          <w:sz w:val="28"/>
          <w:szCs w:val="28"/>
        </w:rPr>
        <w:t>гиперкоагуляции</w:t>
      </w:r>
      <w:proofErr w:type="spellEnd"/>
      <w:r w:rsidRPr="003F6665">
        <w:rPr>
          <w:color w:val="222222"/>
          <w:sz w:val="28"/>
          <w:szCs w:val="28"/>
        </w:rPr>
        <w:t xml:space="preserve"> и диссеминированному сосудистому свертыванию крови (ДВС-синдрому), а впоследствии — к </w:t>
      </w:r>
      <w:proofErr w:type="spellStart"/>
      <w:r w:rsidRPr="003F6665">
        <w:rPr>
          <w:color w:val="222222"/>
          <w:sz w:val="28"/>
          <w:szCs w:val="28"/>
        </w:rPr>
        <w:t>полиорганной</w:t>
      </w:r>
      <w:proofErr w:type="spellEnd"/>
      <w:r w:rsidRPr="003F6665">
        <w:rPr>
          <w:color w:val="222222"/>
          <w:sz w:val="28"/>
          <w:szCs w:val="28"/>
        </w:rPr>
        <w:t xml:space="preserve"> недостаточности (ПОН).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Вторичные гуморальные факторы системного воспалительного ответа включают практически все эндогенные биологически активные вещества </w:t>
      </w:r>
      <w:r w:rsidRPr="003F6665">
        <w:rPr>
          <w:color w:val="222222"/>
          <w:sz w:val="28"/>
          <w:szCs w:val="28"/>
        </w:rPr>
        <w:lastRenderedPageBreak/>
        <w:t xml:space="preserve">(БАВ): ферменты, гормоны, продукты и регуляторы метаболизма (всего более 200 БАВ). Цитокины тесно взаимодействуют с эндокринной системой, существенно повышая уровень адренокортикотропного гормона (АКТГ) и кортизола. Кроме того, цитокины осуществляют свое действие через местные </w:t>
      </w:r>
      <w:proofErr w:type="spellStart"/>
      <w:r w:rsidRPr="003F6665">
        <w:rPr>
          <w:color w:val="222222"/>
          <w:sz w:val="28"/>
          <w:szCs w:val="28"/>
        </w:rPr>
        <w:t>паракринные</w:t>
      </w:r>
      <w:proofErr w:type="spellEnd"/>
      <w:r w:rsidRPr="003F6665">
        <w:rPr>
          <w:color w:val="222222"/>
          <w:sz w:val="28"/>
          <w:szCs w:val="28"/>
        </w:rPr>
        <w:t xml:space="preserve">, </w:t>
      </w:r>
      <w:proofErr w:type="spellStart"/>
      <w:r w:rsidRPr="003F6665">
        <w:rPr>
          <w:color w:val="222222"/>
          <w:sz w:val="28"/>
          <w:szCs w:val="28"/>
        </w:rPr>
        <w:t>аутокринные</w:t>
      </w:r>
      <w:proofErr w:type="spellEnd"/>
      <w:r w:rsidRPr="003F6665">
        <w:rPr>
          <w:color w:val="222222"/>
          <w:sz w:val="28"/>
          <w:szCs w:val="28"/>
        </w:rPr>
        <w:t xml:space="preserve"> и </w:t>
      </w:r>
      <w:proofErr w:type="spellStart"/>
      <w:r w:rsidRPr="003F6665">
        <w:rPr>
          <w:color w:val="222222"/>
          <w:sz w:val="28"/>
          <w:szCs w:val="28"/>
        </w:rPr>
        <w:t>юкстакринные</w:t>
      </w:r>
      <w:proofErr w:type="spellEnd"/>
      <w:r w:rsidRPr="003F6665">
        <w:rPr>
          <w:color w:val="222222"/>
          <w:sz w:val="28"/>
          <w:szCs w:val="28"/>
        </w:rPr>
        <w:t>, а также эндокринные механизмы.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Таким образом, ответ на повреждение и сепсис включает как нейроэндокринные, так и </w:t>
      </w:r>
      <w:proofErr w:type="spellStart"/>
      <w:r w:rsidRPr="003F6665">
        <w:rPr>
          <w:color w:val="222222"/>
          <w:sz w:val="28"/>
          <w:szCs w:val="28"/>
        </w:rPr>
        <w:t>иммуновоспалительные</w:t>
      </w:r>
      <w:proofErr w:type="spellEnd"/>
      <w:r w:rsidRPr="003F6665">
        <w:rPr>
          <w:color w:val="222222"/>
          <w:sz w:val="28"/>
          <w:szCs w:val="28"/>
        </w:rPr>
        <w:t xml:space="preserve"> реакции, реализуемые через цитокины, которые регулируют процессы иммунного ответа и воспалительную реактивность организма. В первую очередь все это выражается в изменении физиологии кровообращения и вызывает нарушение:</w:t>
      </w:r>
    </w:p>
    <w:p w:rsidR="00BD3CD8" w:rsidRPr="003F6665" w:rsidRDefault="00BD3CD8" w:rsidP="006E25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6665">
        <w:rPr>
          <w:rFonts w:ascii="Times New Roman" w:hAnsi="Times New Roman"/>
          <w:color w:val="222222"/>
          <w:sz w:val="28"/>
          <w:szCs w:val="28"/>
        </w:rPr>
        <w:t>водного баланса;</w:t>
      </w:r>
    </w:p>
    <w:p w:rsidR="00BD3CD8" w:rsidRPr="003F6665" w:rsidRDefault="00BD3CD8" w:rsidP="006E25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6665">
        <w:rPr>
          <w:rFonts w:ascii="Times New Roman" w:hAnsi="Times New Roman"/>
          <w:color w:val="222222"/>
          <w:sz w:val="28"/>
          <w:szCs w:val="28"/>
        </w:rPr>
        <w:t>сосудистого тонуса;</w:t>
      </w:r>
    </w:p>
    <w:p w:rsidR="00BD3CD8" w:rsidRPr="003F6665" w:rsidRDefault="00BD3CD8" w:rsidP="006E251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F6665">
        <w:rPr>
          <w:rFonts w:ascii="Times New Roman" w:hAnsi="Times New Roman"/>
          <w:color w:val="222222"/>
          <w:sz w:val="28"/>
          <w:szCs w:val="28"/>
        </w:rPr>
        <w:t>функции миокарда.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 конечном итоге все три патогенетических звена нарушений кровообращения при сепсисе приводят к несоответствию между доставкой и потреблением кислорода с развитием тканевой гипоксии и </w:t>
      </w:r>
      <w:proofErr w:type="spellStart"/>
      <w:r w:rsidRPr="003F6665">
        <w:rPr>
          <w:color w:val="222222"/>
          <w:sz w:val="28"/>
          <w:szCs w:val="28"/>
        </w:rPr>
        <w:t>мультиорганной</w:t>
      </w:r>
      <w:proofErr w:type="spellEnd"/>
      <w:r w:rsidRPr="003F6665">
        <w:rPr>
          <w:color w:val="222222"/>
          <w:sz w:val="28"/>
          <w:szCs w:val="28"/>
        </w:rPr>
        <w:t xml:space="preserve"> дисфункции.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3" w:name="_Toc1564174"/>
      <w:r w:rsidRPr="003F6665">
        <w:rPr>
          <w:rStyle w:val="a6"/>
          <w:rFonts w:ascii="Times New Roman" w:hAnsi="Times New Roman" w:cs="Times New Roman"/>
          <w:b/>
          <w:bCs/>
        </w:rPr>
        <w:t>Нарушения водного баланса</w:t>
      </w:r>
      <w:bookmarkEnd w:id="3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Потеря жидкости на начальных стадиях сепсиса может проявляться относительной </w:t>
      </w:r>
      <w:proofErr w:type="spellStart"/>
      <w:r w:rsidRPr="003F6665">
        <w:rPr>
          <w:color w:val="222222"/>
          <w:sz w:val="28"/>
          <w:szCs w:val="28"/>
        </w:rPr>
        <w:t>гиповолемией</w:t>
      </w:r>
      <w:proofErr w:type="spellEnd"/>
      <w:r w:rsidRPr="003F6665">
        <w:rPr>
          <w:color w:val="222222"/>
          <w:sz w:val="28"/>
          <w:szCs w:val="28"/>
        </w:rPr>
        <w:t xml:space="preserve">, то есть потерей или перераспределением внеклеточной жидкости, циркулирующей в сосудах. При этом объем внеклеточной жидкости, находящейся в </w:t>
      </w:r>
      <w:proofErr w:type="spellStart"/>
      <w:r w:rsidRPr="003F6665">
        <w:rPr>
          <w:color w:val="222222"/>
          <w:sz w:val="28"/>
          <w:szCs w:val="28"/>
        </w:rPr>
        <w:t>интерстиции</w:t>
      </w:r>
      <w:proofErr w:type="spellEnd"/>
      <w:r w:rsidRPr="003F6665">
        <w:rPr>
          <w:color w:val="222222"/>
          <w:sz w:val="28"/>
          <w:szCs w:val="28"/>
        </w:rPr>
        <w:t>, может быть нормальным или даже повышаться.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Как уже было отмечено, при развитии системного воспалительного ответа в систему циркуляции поступает большое количество цитокинов, действие которых приводит к повышенному синтезу оксида азота (NO), что, в свою очередь, влечет за собой </w:t>
      </w:r>
      <w:proofErr w:type="spellStart"/>
      <w:r w:rsidRPr="003F6665">
        <w:rPr>
          <w:color w:val="222222"/>
          <w:sz w:val="28"/>
          <w:szCs w:val="28"/>
        </w:rPr>
        <w:t>вазодилатацию</w:t>
      </w:r>
      <w:proofErr w:type="spellEnd"/>
      <w:r w:rsidRPr="003F6665">
        <w:rPr>
          <w:color w:val="222222"/>
          <w:sz w:val="28"/>
          <w:szCs w:val="28"/>
        </w:rPr>
        <w:t xml:space="preserve">. Объем циркулирующей крови (ОЦК), то есть та часть внеклеточной жидкости, которая принимает участие в перфузии тканей, перераспределяется в </w:t>
      </w:r>
      <w:proofErr w:type="spellStart"/>
      <w:r w:rsidRPr="003F6665">
        <w:rPr>
          <w:color w:val="222222"/>
          <w:sz w:val="28"/>
          <w:szCs w:val="28"/>
        </w:rPr>
        <w:t>дилатированные</w:t>
      </w:r>
      <w:proofErr w:type="spellEnd"/>
      <w:r w:rsidRPr="003F6665">
        <w:rPr>
          <w:color w:val="222222"/>
          <w:sz w:val="28"/>
          <w:szCs w:val="28"/>
        </w:rPr>
        <w:t xml:space="preserve"> сосуды, венозный возврат или </w:t>
      </w:r>
      <w:proofErr w:type="spellStart"/>
      <w:r w:rsidRPr="003F6665">
        <w:rPr>
          <w:color w:val="222222"/>
          <w:sz w:val="28"/>
          <w:szCs w:val="28"/>
        </w:rPr>
        <w:t>преднагрузка</w:t>
      </w:r>
      <w:proofErr w:type="spellEnd"/>
      <w:r w:rsidRPr="003F6665">
        <w:rPr>
          <w:color w:val="222222"/>
          <w:sz w:val="28"/>
          <w:szCs w:val="28"/>
        </w:rPr>
        <w:t xml:space="preserve"> уменьшается.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Уменьшение </w:t>
      </w:r>
      <w:proofErr w:type="spellStart"/>
      <w:r w:rsidRPr="003F6665">
        <w:rPr>
          <w:color w:val="222222"/>
          <w:sz w:val="28"/>
          <w:szCs w:val="28"/>
        </w:rPr>
        <w:t>преднагрузки</w:t>
      </w:r>
      <w:proofErr w:type="spellEnd"/>
      <w:r w:rsidRPr="003F6665">
        <w:rPr>
          <w:color w:val="222222"/>
          <w:sz w:val="28"/>
          <w:szCs w:val="28"/>
        </w:rPr>
        <w:t xml:space="preserve"> приводит к стимуляции </w:t>
      </w:r>
      <w:proofErr w:type="spellStart"/>
      <w:r w:rsidRPr="003F6665">
        <w:rPr>
          <w:color w:val="222222"/>
          <w:sz w:val="28"/>
          <w:szCs w:val="28"/>
        </w:rPr>
        <w:t>барорецепторов</w:t>
      </w:r>
      <w:proofErr w:type="spellEnd"/>
      <w:r w:rsidRPr="003F6665">
        <w:rPr>
          <w:color w:val="222222"/>
          <w:sz w:val="28"/>
          <w:szCs w:val="28"/>
        </w:rPr>
        <w:t xml:space="preserve"> на аорте и каротидных тельцах, которая, в свою очередь, запускает активность симпатоадреналовой системы (САС) и вызывает выброс </w:t>
      </w:r>
      <w:r w:rsidRPr="003F6665">
        <w:rPr>
          <w:color w:val="222222"/>
          <w:sz w:val="28"/>
          <w:szCs w:val="28"/>
        </w:rPr>
        <w:lastRenderedPageBreak/>
        <w:t>катехоламинов в системный кровоток. Развивается тахикардия, которая на самых ранних стадиях развития системного воспаления носит компенсаторный характер.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У пациентов без сердечной недостаточности увеличение минутного объема кровообращения (МОК) за счет тахикардии ведет к увеличению производительности сердца. При таких условиях, согласно уравнению Бернулли, центральное венозное давление (ЦВД) становится отрицательным, следовательно, снижается гидростатическое давление (ГСД) в венозном отделе капилляра.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Снижение ГСД влечет за собой увеличение притока жидкости из </w:t>
      </w:r>
      <w:proofErr w:type="spellStart"/>
      <w:r w:rsidRPr="003F6665">
        <w:rPr>
          <w:color w:val="222222"/>
          <w:sz w:val="28"/>
          <w:szCs w:val="28"/>
        </w:rPr>
        <w:t>интерстиция</w:t>
      </w:r>
      <w:proofErr w:type="spellEnd"/>
      <w:r w:rsidRPr="003F6665">
        <w:rPr>
          <w:color w:val="222222"/>
          <w:sz w:val="28"/>
          <w:szCs w:val="28"/>
        </w:rPr>
        <w:t xml:space="preserve"> в капилляр. Таким образом организм пытается восполнить относительную потерю жидкости в результате </w:t>
      </w:r>
      <w:proofErr w:type="spellStart"/>
      <w:r w:rsidRPr="003F6665">
        <w:rPr>
          <w:color w:val="222222"/>
          <w:sz w:val="28"/>
          <w:szCs w:val="28"/>
        </w:rPr>
        <w:t>вазодилатации</w:t>
      </w:r>
      <w:proofErr w:type="spellEnd"/>
      <w:r w:rsidRPr="003F6665">
        <w:rPr>
          <w:color w:val="222222"/>
          <w:sz w:val="28"/>
          <w:szCs w:val="28"/>
        </w:rPr>
        <w:t>, обусловленной системным воспалением. До тех пор, пока этот механизм обеспечивает относительные потери ОЦК, диурез у таких пациентов будет нормальным или даже повышенным (при значительной тахикардии и нормальном или повышенном артериальном давлении (АД)), что может привести к общей дегидратации организма при отсутствии адекватного восполнения.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Итак, при сепсисе наблюдается интересный феномен: ОЦК, стремясь к увеличению, подпитывается из </w:t>
      </w:r>
      <w:proofErr w:type="spellStart"/>
      <w:r w:rsidRPr="003F6665">
        <w:rPr>
          <w:color w:val="222222"/>
          <w:sz w:val="28"/>
          <w:szCs w:val="28"/>
        </w:rPr>
        <w:t>интерстиция</w:t>
      </w:r>
      <w:proofErr w:type="spellEnd"/>
      <w:r w:rsidRPr="003F6665">
        <w:rPr>
          <w:color w:val="222222"/>
          <w:sz w:val="28"/>
          <w:szCs w:val="28"/>
        </w:rPr>
        <w:t xml:space="preserve">, который опорожняется. Если этот вариант изменения гемодинамики будет продолжаться без возмещения потерь в </w:t>
      </w:r>
      <w:proofErr w:type="spellStart"/>
      <w:r w:rsidRPr="003F6665">
        <w:rPr>
          <w:color w:val="222222"/>
          <w:sz w:val="28"/>
          <w:szCs w:val="28"/>
        </w:rPr>
        <w:t>интерстиций</w:t>
      </w:r>
      <w:proofErr w:type="spellEnd"/>
      <w:r w:rsidRPr="003F6665">
        <w:rPr>
          <w:color w:val="222222"/>
          <w:sz w:val="28"/>
          <w:szCs w:val="28"/>
        </w:rPr>
        <w:t xml:space="preserve">, подпитываться организму станет не из чего и в таком случае разовьется абсолютная </w:t>
      </w:r>
      <w:proofErr w:type="spellStart"/>
      <w:r w:rsidRPr="003F6665">
        <w:rPr>
          <w:color w:val="222222"/>
          <w:sz w:val="28"/>
          <w:szCs w:val="28"/>
        </w:rPr>
        <w:t>гиповолемия</w:t>
      </w:r>
      <w:proofErr w:type="spellEnd"/>
      <w:r w:rsidRPr="003F6665">
        <w:rPr>
          <w:color w:val="222222"/>
          <w:sz w:val="28"/>
          <w:szCs w:val="28"/>
        </w:rPr>
        <w:t xml:space="preserve">, при которой отмечается снижение объема жидкости в обоих секторах внеклеточной жидкости, то есть в сосудах и </w:t>
      </w:r>
      <w:proofErr w:type="spellStart"/>
      <w:r w:rsidRPr="003F6665">
        <w:rPr>
          <w:color w:val="222222"/>
          <w:sz w:val="28"/>
          <w:szCs w:val="28"/>
        </w:rPr>
        <w:t>интерстиции</w:t>
      </w:r>
      <w:proofErr w:type="spellEnd"/>
      <w:r w:rsidRPr="003F6665">
        <w:rPr>
          <w:color w:val="222222"/>
          <w:sz w:val="28"/>
          <w:szCs w:val="28"/>
        </w:rPr>
        <w:t xml:space="preserve">. При абсолютной </w:t>
      </w:r>
      <w:proofErr w:type="spellStart"/>
      <w:r w:rsidRPr="003F6665">
        <w:rPr>
          <w:color w:val="222222"/>
          <w:sz w:val="28"/>
          <w:szCs w:val="28"/>
        </w:rPr>
        <w:t>гиповолемии</w:t>
      </w:r>
      <w:proofErr w:type="spellEnd"/>
      <w:r w:rsidRPr="003F6665">
        <w:rPr>
          <w:color w:val="222222"/>
          <w:sz w:val="28"/>
          <w:szCs w:val="28"/>
        </w:rPr>
        <w:t xml:space="preserve"> или истинном снижении объема жидкости происходит потеря воды и солей. Чаще всего такие потери встречаются при абдоминальном сепсисе, заболеваниях желудочно-кишечного тракта или кровопотере.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При присоединении инфекции к системному воспалению развивается сепсис, одним из общих клинических критериев которого является артериальная гипотензия: систолическое АД (САД) менее 90 мм рт. ст. или </w:t>
      </w:r>
      <w:proofErr w:type="spellStart"/>
      <w:r w:rsidRPr="003F6665">
        <w:rPr>
          <w:color w:val="222222"/>
          <w:sz w:val="28"/>
          <w:szCs w:val="28"/>
        </w:rPr>
        <w:t>АДср</w:t>
      </w:r>
      <w:proofErr w:type="spellEnd"/>
      <w:r w:rsidRPr="003F6665">
        <w:rPr>
          <w:color w:val="222222"/>
          <w:sz w:val="28"/>
          <w:szCs w:val="28"/>
        </w:rPr>
        <w:t xml:space="preserve"> менее 70 мм рт. ст., или понижение САД более чем на 40 мм рт. ст. (2 стандартных отклонения САД) от возрастной нормы у взрослых пациентов; отеки и положительный водный баланс в размере 20 мл/кг воды более чем за 24 ч.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Гипотензия с отеками и положительным водным балансом является следствием перехода части жидкости из капилляров обратно в </w:t>
      </w:r>
      <w:proofErr w:type="spellStart"/>
      <w:r w:rsidRPr="003F6665">
        <w:rPr>
          <w:color w:val="222222"/>
          <w:sz w:val="28"/>
          <w:szCs w:val="28"/>
        </w:rPr>
        <w:t>интерстиций</w:t>
      </w:r>
      <w:proofErr w:type="spellEnd"/>
      <w:r w:rsidRPr="003F6665">
        <w:rPr>
          <w:color w:val="222222"/>
          <w:sz w:val="28"/>
          <w:szCs w:val="28"/>
        </w:rPr>
        <w:t xml:space="preserve">. Капилляры становятся патологически проницаемыми </w:t>
      </w:r>
      <w:r w:rsidRPr="003F6665">
        <w:rPr>
          <w:color w:val="222222"/>
          <w:sz w:val="28"/>
          <w:szCs w:val="28"/>
        </w:rPr>
        <w:lastRenderedPageBreak/>
        <w:t xml:space="preserve">вследствие поражения их эндотелия продуктами распада и токсинами бактерий с развитием так называемого синдрома «капиллярной утечки». Альбумин из капилляров перемещается в </w:t>
      </w:r>
      <w:proofErr w:type="spellStart"/>
      <w:r w:rsidRPr="003F6665">
        <w:rPr>
          <w:color w:val="222222"/>
          <w:sz w:val="28"/>
          <w:szCs w:val="28"/>
        </w:rPr>
        <w:t>интерстиций</w:t>
      </w:r>
      <w:proofErr w:type="spellEnd"/>
      <w:r w:rsidRPr="003F6665">
        <w:rPr>
          <w:color w:val="222222"/>
          <w:sz w:val="28"/>
          <w:szCs w:val="28"/>
        </w:rPr>
        <w:t xml:space="preserve">, увлекая за собой жидкость, что еще больше усугубляет </w:t>
      </w:r>
      <w:proofErr w:type="spellStart"/>
      <w:r w:rsidRPr="003F6665">
        <w:rPr>
          <w:color w:val="222222"/>
          <w:sz w:val="28"/>
          <w:szCs w:val="28"/>
        </w:rPr>
        <w:t>гиповолемию</w:t>
      </w:r>
      <w:proofErr w:type="spellEnd"/>
      <w:r w:rsidRPr="003F6665">
        <w:rPr>
          <w:color w:val="222222"/>
          <w:sz w:val="28"/>
          <w:szCs w:val="28"/>
        </w:rPr>
        <w:t>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Переход сепсиса в более тяжелую стадию характеризуется еще большим прогрессированием нарушений водного баланса, что будет сопровождаться </w:t>
      </w:r>
      <w:proofErr w:type="spellStart"/>
      <w:r w:rsidRPr="003F6665">
        <w:rPr>
          <w:color w:val="222222"/>
          <w:sz w:val="28"/>
          <w:szCs w:val="28"/>
        </w:rPr>
        <w:t>олигоанурией</w:t>
      </w:r>
      <w:proofErr w:type="spellEnd"/>
      <w:r w:rsidRPr="003F6665">
        <w:rPr>
          <w:color w:val="222222"/>
          <w:sz w:val="28"/>
          <w:szCs w:val="28"/>
        </w:rPr>
        <w:t xml:space="preserve"> (темп диуреза менее 0,5 мл/кг/ч в течение 2 ч, несмотря на адекватное восполнение жидкости) и </w:t>
      </w:r>
      <w:proofErr w:type="spellStart"/>
      <w:r w:rsidRPr="003F6665">
        <w:rPr>
          <w:color w:val="222222"/>
          <w:sz w:val="28"/>
          <w:szCs w:val="28"/>
        </w:rPr>
        <w:t>гипоперфузией</w:t>
      </w:r>
      <w:proofErr w:type="spellEnd"/>
      <w:r w:rsidRPr="003F6665">
        <w:rPr>
          <w:color w:val="222222"/>
          <w:sz w:val="28"/>
          <w:szCs w:val="28"/>
        </w:rPr>
        <w:t xml:space="preserve"> тканей. При снижении доставки кислорода к тканям развивается тканевая гипоксия, признаком которой будет являться </w:t>
      </w:r>
      <w:proofErr w:type="spellStart"/>
      <w:r w:rsidRPr="003F6665">
        <w:rPr>
          <w:color w:val="222222"/>
          <w:sz w:val="28"/>
          <w:szCs w:val="28"/>
        </w:rPr>
        <w:t>гиперлактатемия</w:t>
      </w:r>
      <w:proofErr w:type="spellEnd"/>
      <w:r w:rsidRPr="003F6665">
        <w:rPr>
          <w:color w:val="222222"/>
          <w:sz w:val="28"/>
          <w:szCs w:val="28"/>
        </w:rPr>
        <w:t xml:space="preserve"> в венозной крови более 2 </w:t>
      </w:r>
      <w:proofErr w:type="spellStart"/>
      <w:r w:rsidRPr="003F6665">
        <w:rPr>
          <w:color w:val="222222"/>
          <w:sz w:val="28"/>
          <w:szCs w:val="28"/>
        </w:rPr>
        <w:t>ммоль</w:t>
      </w:r>
      <w:proofErr w:type="spellEnd"/>
      <w:r w:rsidRPr="003F6665">
        <w:rPr>
          <w:color w:val="222222"/>
          <w:sz w:val="28"/>
          <w:szCs w:val="28"/>
        </w:rPr>
        <w:t>/л.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На этой стадии сепсиса опорожнение капилляров клинически проявляется «симптомом пятна», когда при надавливании на кожу остается белое пятно более 2 с. При появлении этих признаков врач должен понимать, что ситуация продолжает усугубляться, развивается синдром ПОН, проводимая терапия неэффективна или малоэффективна. В данное время необходимо искать причину ухудшения состояния и пересматривать тактику лечения пациента.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Таким образом, в патогенезе сепсиса нарушения водного баланса играют одну из первостепенных ролей. Поэтому, учитывая первоочередность развития нарушений водного баланса у пациентов с сепсисом, врач должен понимать экстренность и правильность назначения </w:t>
      </w:r>
      <w:proofErr w:type="spellStart"/>
      <w:r w:rsidRPr="003F6665">
        <w:rPr>
          <w:color w:val="222222"/>
          <w:sz w:val="28"/>
          <w:szCs w:val="28"/>
        </w:rPr>
        <w:t>инфузионной</w:t>
      </w:r>
      <w:proofErr w:type="spellEnd"/>
      <w:r w:rsidRPr="003F6665">
        <w:rPr>
          <w:color w:val="222222"/>
          <w:sz w:val="28"/>
          <w:szCs w:val="28"/>
        </w:rPr>
        <w:t xml:space="preserve"> терапии.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4" w:name="_Toc1564175"/>
      <w:r w:rsidRPr="003F6665">
        <w:rPr>
          <w:rStyle w:val="a6"/>
          <w:rFonts w:ascii="Times New Roman" w:hAnsi="Times New Roman" w:cs="Times New Roman"/>
          <w:b/>
          <w:bCs/>
        </w:rPr>
        <w:t>Нарушения сосудистого тонуса</w:t>
      </w:r>
      <w:bookmarkEnd w:id="4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1564176"/>
      <w:r w:rsidRPr="003F6665">
        <w:rPr>
          <w:rStyle w:val="a6"/>
          <w:rFonts w:ascii="Times New Roman" w:hAnsi="Times New Roman" w:cs="Times New Roman"/>
          <w:b/>
          <w:bCs/>
          <w:sz w:val="28"/>
          <w:szCs w:val="28"/>
        </w:rPr>
        <w:t>Понижение общего периферического системного сосудистого сопротивления (ОПСС)</w:t>
      </w:r>
      <w:bookmarkEnd w:id="5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Поврежденный цитокинами эндотелий сосудов начинает вырабатывать оксид азота, который является вазодилататором, в результате чего происходит снижение системного сосудистого сопротивления. В тяжелых случаях, при наличии большого количества медиаторов воспаления, в кровотоке развивается тяжелая гипотензия, называемая септическим шоком. Патологическая </w:t>
      </w:r>
      <w:proofErr w:type="spellStart"/>
      <w:r w:rsidRPr="003F6665">
        <w:rPr>
          <w:color w:val="222222"/>
          <w:sz w:val="28"/>
          <w:szCs w:val="28"/>
        </w:rPr>
        <w:t>вазодилатация</w:t>
      </w:r>
      <w:proofErr w:type="spellEnd"/>
      <w:r w:rsidRPr="003F6665">
        <w:rPr>
          <w:color w:val="222222"/>
          <w:sz w:val="28"/>
          <w:szCs w:val="28"/>
        </w:rPr>
        <w:t xml:space="preserve"> резко снижает скорость кровотока, особенно на уровне капилляров.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lastRenderedPageBreak/>
        <w:t>Перераспределение жидкости в расширенные сосуды приводит к снижению ОЦК, несмотря на увеличенный или нормальный объем внеклеточного пространства. Такое перераспределение жидкости обычно возникает на фоне значительного снижения системного сосудистого сопротивления или дисфункции эндотелиального барьера, или того и другого, как в случае сепсиса, и часто сочетается с увеличенным сердечным выбросом (СВ) на ранних стадиях. Увеличенный сердечный выброс поддерживается тахикардией из-за повышения симпатической активности, которая носит сначала компенсаторный, а впоследствии уже патологический характер.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Тахикардия приводит к повышению сердечного выброса. При этом АД может оставаться нормальным или даже повышенным. Вариант кровообращения, при котором </w:t>
      </w:r>
      <w:proofErr w:type="spellStart"/>
      <w:r w:rsidRPr="003F6665">
        <w:rPr>
          <w:color w:val="222222"/>
          <w:sz w:val="28"/>
          <w:szCs w:val="28"/>
        </w:rPr>
        <w:t>постнагрузка</w:t>
      </w:r>
      <w:proofErr w:type="spellEnd"/>
      <w:r w:rsidRPr="003F6665">
        <w:rPr>
          <w:color w:val="222222"/>
          <w:sz w:val="28"/>
          <w:szCs w:val="28"/>
        </w:rPr>
        <w:t xml:space="preserve"> или ОПСС понижено, а СВ повышен, называется </w:t>
      </w:r>
      <w:proofErr w:type="spellStart"/>
      <w:r w:rsidRPr="003F6665">
        <w:rPr>
          <w:color w:val="222222"/>
          <w:sz w:val="28"/>
          <w:szCs w:val="28"/>
        </w:rPr>
        <w:t>гиперкинетическим</w:t>
      </w:r>
      <w:proofErr w:type="spellEnd"/>
      <w:r w:rsidRPr="003F6665">
        <w:rPr>
          <w:color w:val="222222"/>
          <w:sz w:val="28"/>
          <w:szCs w:val="28"/>
        </w:rPr>
        <w:t xml:space="preserve">. </w:t>
      </w:r>
      <w:proofErr w:type="spellStart"/>
      <w:r w:rsidRPr="003F6665">
        <w:rPr>
          <w:color w:val="222222"/>
          <w:sz w:val="28"/>
          <w:szCs w:val="28"/>
        </w:rPr>
        <w:t>Гиперкинетический</w:t>
      </w:r>
      <w:proofErr w:type="spellEnd"/>
      <w:r w:rsidRPr="003F6665">
        <w:rPr>
          <w:color w:val="222222"/>
          <w:sz w:val="28"/>
          <w:szCs w:val="28"/>
        </w:rPr>
        <w:t xml:space="preserve"> вариант кровообращения характерен для «теплой» фазы септического шока. Кожные покровы пациента при этом остаются теплыми из-за сохраненной перфузии.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Гипотензия в данном случае не устраняется введением жидкости. В этой ситуации, также исходя из первичности патогенетических механизмов, необходимо применение </w:t>
      </w:r>
      <w:proofErr w:type="spellStart"/>
      <w:r w:rsidRPr="003F6665">
        <w:rPr>
          <w:color w:val="222222"/>
          <w:sz w:val="28"/>
          <w:szCs w:val="28"/>
        </w:rPr>
        <w:t>вазопрессоров</w:t>
      </w:r>
      <w:proofErr w:type="spellEnd"/>
      <w:r w:rsidRPr="003F6665">
        <w:rPr>
          <w:color w:val="222222"/>
          <w:sz w:val="28"/>
          <w:szCs w:val="28"/>
        </w:rPr>
        <w:t xml:space="preserve">. </w:t>
      </w:r>
      <w:proofErr w:type="spellStart"/>
      <w:r w:rsidRPr="003F6665">
        <w:rPr>
          <w:color w:val="222222"/>
          <w:sz w:val="28"/>
          <w:szCs w:val="28"/>
        </w:rPr>
        <w:t>Инфузионная</w:t>
      </w:r>
      <w:proofErr w:type="spellEnd"/>
      <w:r w:rsidRPr="003F6665">
        <w:rPr>
          <w:color w:val="222222"/>
          <w:sz w:val="28"/>
          <w:szCs w:val="28"/>
        </w:rPr>
        <w:t xml:space="preserve"> терапия нужна, но она вторична, поскольку без устранения первичной </w:t>
      </w:r>
      <w:proofErr w:type="spellStart"/>
      <w:r w:rsidRPr="003F6665">
        <w:rPr>
          <w:color w:val="222222"/>
          <w:sz w:val="28"/>
          <w:szCs w:val="28"/>
        </w:rPr>
        <w:t>вазодилатации</w:t>
      </w:r>
      <w:proofErr w:type="spellEnd"/>
      <w:r w:rsidRPr="003F6665">
        <w:rPr>
          <w:color w:val="222222"/>
          <w:sz w:val="28"/>
          <w:szCs w:val="28"/>
        </w:rPr>
        <w:t xml:space="preserve"> будет малоэффективной и несёт риски электролитных нарушений и </w:t>
      </w:r>
      <w:proofErr w:type="spellStart"/>
      <w:r w:rsidRPr="003F6665">
        <w:rPr>
          <w:color w:val="222222"/>
          <w:sz w:val="28"/>
          <w:szCs w:val="28"/>
        </w:rPr>
        <w:t>гипергидратации</w:t>
      </w:r>
      <w:proofErr w:type="spellEnd"/>
      <w:r w:rsidRPr="003F6665">
        <w:rPr>
          <w:color w:val="222222"/>
          <w:sz w:val="28"/>
          <w:szCs w:val="28"/>
        </w:rPr>
        <w:t xml:space="preserve"> лёгких.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Такая тактика уже нашла отражение в современных рекомендациях по более раннему применению </w:t>
      </w:r>
      <w:proofErr w:type="spellStart"/>
      <w:r w:rsidRPr="003F6665">
        <w:rPr>
          <w:color w:val="222222"/>
          <w:sz w:val="28"/>
          <w:szCs w:val="28"/>
        </w:rPr>
        <w:t>вазопрессоров</w:t>
      </w:r>
      <w:proofErr w:type="spellEnd"/>
      <w:r w:rsidRPr="003F6665">
        <w:rPr>
          <w:color w:val="222222"/>
          <w:sz w:val="28"/>
          <w:szCs w:val="28"/>
        </w:rPr>
        <w:t xml:space="preserve">. При этом рекомендуется оценивать эффективность и безопасность </w:t>
      </w:r>
      <w:proofErr w:type="spellStart"/>
      <w:r w:rsidRPr="003F6665">
        <w:rPr>
          <w:color w:val="222222"/>
          <w:sz w:val="28"/>
          <w:szCs w:val="28"/>
        </w:rPr>
        <w:t>инфузионной</w:t>
      </w:r>
      <w:proofErr w:type="spellEnd"/>
      <w:r w:rsidRPr="003F6665">
        <w:rPr>
          <w:color w:val="222222"/>
          <w:sz w:val="28"/>
          <w:szCs w:val="28"/>
        </w:rPr>
        <w:t xml:space="preserve"> терапии, контролируя ЧСС и ЦВД при </w:t>
      </w:r>
      <w:proofErr w:type="spellStart"/>
      <w:r w:rsidRPr="003F6665">
        <w:rPr>
          <w:color w:val="222222"/>
          <w:sz w:val="28"/>
          <w:szCs w:val="28"/>
        </w:rPr>
        <w:t>инфузии</w:t>
      </w:r>
      <w:proofErr w:type="spellEnd"/>
      <w:r w:rsidRPr="003F6665">
        <w:rPr>
          <w:color w:val="222222"/>
          <w:sz w:val="28"/>
          <w:szCs w:val="28"/>
        </w:rPr>
        <w:t xml:space="preserve"> малых объёмов (200—500 мл). Но даже патогенетическая терапия </w:t>
      </w:r>
      <w:proofErr w:type="spellStart"/>
      <w:r w:rsidRPr="003F6665">
        <w:rPr>
          <w:color w:val="222222"/>
          <w:sz w:val="28"/>
          <w:szCs w:val="28"/>
        </w:rPr>
        <w:t>вазопрессорами</w:t>
      </w:r>
      <w:proofErr w:type="spellEnd"/>
      <w:r w:rsidRPr="003F6665">
        <w:rPr>
          <w:color w:val="222222"/>
          <w:sz w:val="28"/>
          <w:szCs w:val="28"/>
        </w:rPr>
        <w:t xml:space="preserve"> не всегда эффективна, так как на фоне «гуморальной бури» чувствительность артериол к катехоламинам настолько снижается, что не помогают даже большие дозы экзогенных катехоламинов. Именно с этим связано то, что методы </w:t>
      </w:r>
      <w:proofErr w:type="spellStart"/>
      <w:r w:rsidRPr="003F6665">
        <w:rPr>
          <w:color w:val="222222"/>
          <w:sz w:val="28"/>
          <w:szCs w:val="28"/>
        </w:rPr>
        <w:t>детоксикации</w:t>
      </w:r>
      <w:proofErr w:type="spellEnd"/>
      <w:r w:rsidRPr="003F6665">
        <w:rPr>
          <w:color w:val="222222"/>
          <w:sz w:val="28"/>
          <w:szCs w:val="28"/>
        </w:rPr>
        <w:t xml:space="preserve"> рекомендуют начинать проводить даже при гипотонии: доказано, что </w:t>
      </w:r>
      <w:proofErr w:type="spellStart"/>
      <w:r w:rsidRPr="003F6665">
        <w:rPr>
          <w:color w:val="222222"/>
          <w:sz w:val="28"/>
          <w:szCs w:val="28"/>
        </w:rPr>
        <w:t>детоксикация</w:t>
      </w:r>
      <w:proofErr w:type="spellEnd"/>
      <w:r w:rsidRPr="003F6665">
        <w:rPr>
          <w:color w:val="222222"/>
          <w:sz w:val="28"/>
          <w:szCs w:val="28"/>
        </w:rPr>
        <w:t xml:space="preserve"> увеличивает чувствительность к катехоламинам.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1564177"/>
      <w:r w:rsidRPr="003F6665">
        <w:rPr>
          <w:rStyle w:val="a6"/>
          <w:rFonts w:ascii="Times New Roman" w:hAnsi="Times New Roman" w:cs="Times New Roman"/>
          <w:b/>
          <w:bCs/>
          <w:sz w:val="28"/>
          <w:szCs w:val="28"/>
        </w:rPr>
        <w:t>Повышение общего периферического сосудистого сопротивления</w:t>
      </w:r>
      <w:bookmarkEnd w:id="6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Прогрессирование нарушения функции </w:t>
      </w:r>
      <w:proofErr w:type="spellStart"/>
      <w:r w:rsidRPr="003F6665">
        <w:rPr>
          <w:color w:val="222222"/>
          <w:sz w:val="28"/>
          <w:szCs w:val="28"/>
        </w:rPr>
        <w:t>эндотелиоцитов</w:t>
      </w:r>
      <w:proofErr w:type="spellEnd"/>
      <w:r w:rsidRPr="003F6665">
        <w:rPr>
          <w:color w:val="222222"/>
          <w:sz w:val="28"/>
          <w:szCs w:val="28"/>
        </w:rPr>
        <w:t xml:space="preserve"> приводит к выработке </w:t>
      </w:r>
      <w:proofErr w:type="spellStart"/>
      <w:r w:rsidRPr="003F6665">
        <w:rPr>
          <w:color w:val="222222"/>
          <w:sz w:val="28"/>
          <w:szCs w:val="28"/>
        </w:rPr>
        <w:t>тромбоксана</w:t>
      </w:r>
      <w:proofErr w:type="spellEnd"/>
      <w:r w:rsidRPr="003F6665">
        <w:rPr>
          <w:color w:val="222222"/>
          <w:sz w:val="28"/>
          <w:szCs w:val="28"/>
        </w:rPr>
        <w:t xml:space="preserve"> А2, который стимулирует агрегацию тромбоцитов. </w:t>
      </w:r>
      <w:r w:rsidRPr="003F6665">
        <w:rPr>
          <w:color w:val="222222"/>
          <w:sz w:val="28"/>
          <w:szCs w:val="28"/>
        </w:rPr>
        <w:lastRenderedPageBreak/>
        <w:t xml:space="preserve">Тканевой фактор, </w:t>
      </w:r>
      <w:proofErr w:type="spellStart"/>
      <w:r w:rsidRPr="003F6665">
        <w:rPr>
          <w:color w:val="222222"/>
          <w:sz w:val="28"/>
          <w:szCs w:val="28"/>
        </w:rPr>
        <w:t>тромбопластин</w:t>
      </w:r>
      <w:proofErr w:type="spellEnd"/>
      <w:r w:rsidRPr="003F6665">
        <w:rPr>
          <w:color w:val="222222"/>
          <w:sz w:val="28"/>
          <w:szCs w:val="28"/>
        </w:rPr>
        <w:t xml:space="preserve">, выделяющийся из поврежденных органов и тканей, влечет запуск </w:t>
      </w:r>
      <w:proofErr w:type="spellStart"/>
      <w:r w:rsidRPr="003F6665">
        <w:rPr>
          <w:color w:val="222222"/>
          <w:sz w:val="28"/>
          <w:szCs w:val="28"/>
        </w:rPr>
        <w:t>коагуляционного</w:t>
      </w:r>
      <w:proofErr w:type="spellEnd"/>
      <w:r w:rsidRPr="003F6665">
        <w:rPr>
          <w:color w:val="222222"/>
          <w:sz w:val="28"/>
          <w:szCs w:val="28"/>
        </w:rPr>
        <w:t xml:space="preserve"> каскада. Оба механизма приводят к </w:t>
      </w:r>
      <w:proofErr w:type="spellStart"/>
      <w:r w:rsidRPr="003F6665">
        <w:rPr>
          <w:color w:val="222222"/>
          <w:sz w:val="28"/>
          <w:szCs w:val="28"/>
        </w:rPr>
        <w:t>тромбообразованию</w:t>
      </w:r>
      <w:proofErr w:type="spellEnd"/>
      <w:r w:rsidRPr="003F6665">
        <w:rPr>
          <w:color w:val="222222"/>
          <w:sz w:val="28"/>
          <w:szCs w:val="28"/>
        </w:rPr>
        <w:t>. В первую очередь блокируются мелкие сосуды и капилляры, развивается диссеминированное внутрисосудистое свертывание крови (ДВС) и происходит блок микроциркуляции тромбами.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При несостоятельности кровообращения доставка кислорода перестает соответствовать потребностям, и развивается метаболический ацидоз за счет </w:t>
      </w:r>
      <w:proofErr w:type="spellStart"/>
      <w:r w:rsidRPr="003F6665">
        <w:rPr>
          <w:color w:val="222222"/>
          <w:sz w:val="28"/>
          <w:szCs w:val="28"/>
        </w:rPr>
        <w:t>гиперпродукции</w:t>
      </w:r>
      <w:proofErr w:type="spellEnd"/>
      <w:r w:rsidRPr="003F6665">
        <w:rPr>
          <w:color w:val="222222"/>
          <w:sz w:val="28"/>
          <w:szCs w:val="28"/>
        </w:rPr>
        <w:t xml:space="preserve"> </w:t>
      </w:r>
      <w:proofErr w:type="spellStart"/>
      <w:r w:rsidRPr="003F6665">
        <w:rPr>
          <w:color w:val="222222"/>
          <w:sz w:val="28"/>
          <w:szCs w:val="28"/>
        </w:rPr>
        <w:t>лактата</w:t>
      </w:r>
      <w:proofErr w:type="spellEnd"/>
      <w:r w:rsidRPr="003F6665">
        <w:rPr>
          <w:color w:val="222222"/>
          <w:sz w:val="28"/>
          <w:szCs w:val="28"/>
        </w:rPr>
        <w:t xml:space="preserve">. Клиренс </w:t>
      </w:r>
      <w:proofErr w:type="spellStart"/>
      <w:r w:rsidRPr="003F6665">
        <w:rPr>
          <w:color w:val="222222"/>
          <w:sz w:val="28"/>
          <w:szCs w:val="28"/>
        </w:rPr>
        <w:t>лактата</w:t>
      </w:r>
      <w:proofErr w:type="spellEnd"/>
      <w:r w:rsidRPr="003F6665">
        <w:rPr>
          <w:color w:val="222222"/>
          <w:sz w:val="28"/>
          <w:szCs w:val="28"/>
        </w:rPr>
        <w:t xml:space="preserve"> печенью, почками и мышцами на ранних стадиях еще остается нормальным, но при прогрессировании </w:t>
      </w:r>
      <w:proofErr w:type="spellStart"/>
      <w:r w:rsidRPr="003F6665">
        <w:rPr>
          <w:color w:val="222222"/>
          <w:sz w:val="28"/>
          <w:szCs w:val="28"/>
        </w:rPr>
        <w:t>гипоперфузии</w:t>
      </w:r>
      <w:proofErr w:type="spellEnd"/>
      <w:r w:rsidRPr="003F6665">
        <w:rPr>
          <w:color w:val="222222"/>
          <w:sz w:val="28"/>
          <w:szCs w:val="28"/>
        </w:rPr>
        <w:t xml:space="preserve"> и тканевой гипоксии этих механизмов компенсации недостаточно.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При усилении тканевой гипоксии усиливается анаэробный гликолиз с повышенной продукцией </w:t>
      </w:r>
      <w:proofErr w:type="spellStart"/>
      <w:r w:rsidRPr="003F6665">
        <w:rPr>
          <w:color w:val="222222"/>
          <w:sz w:val="28"/>
          <w:szCs w:val="28"/>
        </w:rPr>
        <w:t>лактата</w:t>
      </w:r>
      <w:proofErr w:type="spellEnd"/>
      <w:r w:rsidRPr="003F6665">
        <w:rPr>
          <w:color w:val="222222"/>
          <w:sz w:val="28"/>
          <w:szCs w:val="28"/>
        </w:rPr>
        <w:t xml:space="preserve">, которая усиливает </w:t>
      </w:r>
      <w:proofErr w:type="spellStart"/>
      <w:r w:rsidRPr="003F6665">
        <w:rPr>
          <w:color w:val="222222"/>
          <w:sz w:val="28"/>
          <w:szCs w:val="28"/>
        </w:rPr>
        <w:t>ацидемию</w:t>
      </w:r>
      <w:proofErr w:type="spellEnd"/>
      <w:r w:rsidRPr="003F6665">
        <w:rPr>
          <w:color w:val="222222"/>
          <w:sz w:val="28"/>
          <w:szCs w:val="28"/>
        </w:rPr>
        <w:t xml:space="preserve">. </w:t>
      </w:r>
      <w:proofErr w:type="spellStart"/>
      <w:r w:rsidRPr="003F6665">
        <w:rPr>
          <w:color w:val="222222"/>
          <w:sz w:val="28"/>
          <w:szCs w:val="28"/>
        </w:rPr>
        <w:t>Ацидемия</w:t>
      </w:r>
      <w:proofErr w:type="spellEnd"/>
      <w:r w:rsidRPr="003F6665">
        <w:rPr>
          <w:color w:val="222222"/>
          <w:sz w:val="28"/>
          <w:szCs w:val="28"/>
        </w:rPr>
        <w:t xml:space="preserve"> оказывает депрессивное влияние на миокард и вызывает паралич пре- и посткапиллярных сфинктеров, делая кровоток в капиллярах несостоятельным. Развивается </w:t>
      </w:r>
      <w:proofErr w:type="spellStart"/>
      <w:r w:rsidRPr="003F6665">
        <w:rPr>
          <w:color w:val="222222"/>
          <w:sz w:val="28"/>
          <w:szCs w:val="28"/>
        </w:rPr>
        <w:t>сладж</w:t>
      </w:r>
      <w:proofErr w:type="spellEnd"/>
      <w:r w:rsidRPr="003F6665">
        <w:rPr>
          <w:color w:val="222222"/>
          <w:sz w:val="28"/>
          <w:szCs w:val="28"/>
        </w:rPr>
        <w:t>, или застой, форменных элементов крови в капиллярах.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Гемодинамическая ситуация при этом резко изменяется, — </w:t>
      </w:r>
      <w:proofErr w:type="spellStart"/>
      <w:r w:rsidRPr="003F6665">
        <w:rPr>
          <w:color w:val="222222"/>
          <w:sz w:val="28"/>
          <w:szCs w:val="28"/>
        </w:rPr>
        <w:t>постнагрузка</w:t>
      </w:r>
      <w:proofErr w:type="spellEnd"/>
      <w:r w:rsidRPr="003F6665">
        <w:rPr>
          <w:color w:val="222222"/>
          <w:sz w:val="28"/>
          <w:szCs w:val="28"/>
        </w:rPr>
        <w:t xml:space="preserve"> резко повышается, так как значительно уменьшается количество проходимых капилляров. Вместе с уменьшением емкости сосудистого русла уменьшается и ОЦК, жидкость из закупоренных тромбами капилляров перемещается в </w:t>
      </w:r>
      <w:proofErr w:type="spellStart"/>
      <w:r w:rsidRPr="003F6665">
        <w:rPr>
          <w:color w:val="222222"/>
          <w:sz w:val="28"/>
          <w:szCs w:val="28"/>
        </w:rPr>
        <w:t>интерстиций</w:t>
      </w:r>
      <w:proofErr w:type="spellEnd"/>
      <w:r w:rsidRPr="003F6665">
        <w:rPr>
          <w:color w:val="222222"/>
          <w:sz w:val="28"/>
          <w:szCs w:val="28"/>
        </w:rPr>
        <w:t>, что еще больше усугубляет отеки. Повышение ОПСС сопровождается увеличением нагрузки на миокард, что приводит к уменьшению СВ.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Артериальное давление при этом прогрессивно снижается. Это уже «поздний», или «холодный», септический шок, при котором кожные покровы пациента холодные. На данной стадии септического шока развивается </w:t>
      </w:r>
      <w:proofErr w:type="spellStart"/>
      <w:r w:rsidRPr="003F6665">
        <w:rPr>
          <w:color w:val="222222"/>
          <w:sz w:val="28"/>
          <w:szCs w:val="28"/>
        </w:rPr>
        <w:t>гипокинетический</w:t>
      </w:r>
      <w:proofErr w:type="spellEnd"/>
      <w:r w:rsidRPr="003F6665">
        <w:rPr>
          <w:color w:val="222222"/>
          <w:sz w:val="28"/>
          <w:szCs w:val="28"/>
        </w:rPr>
        <w:t xml:space="preserve"> вариант кровообращения, для которого характерны увеличение ОПСС и уменьшение СВ. Кожные покровы пациента при этом холодные на ощупь.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7" w:name="_Toc1564178"/>
      <w:r w:rsidRPr="003F6665">
        <w:rPr>
          <w:rStyle w:val="a6"/>
          <w:rFonts w:ascii="Times New Roman" w:hAnsi="Times New Roman" w:cs="Times New Roman"/>
          <w:b/>
          <w:bCs/>
        </w:rPr>
        <w:t>Нарушения функции миокарда</w:t>
      </w:r>
      <w:bookmarkEnd w:id="7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Альфа- и бета-</w:t>
      </w:r>
      <w:proofErr w:type="spellStart"/>
      <w:r w:rsidRPr="003F6665">
        <w:rPr>
          <w:color w:val="222222"/>
          <w:sz w:val="28"/>
          <w:szCs w:val="28"/>
        </w:rPr>
        <w:t>адренорецепторы</w:t>
      </w:r>
      <w:proofErr w:type="spellEnd"/>
      <w:r w:rsidRPr="003F6665">
        <w:rPr>
          <w:color w:val="222222"/>
          <w:sz w:val="28"/>
          <w:szCs w:val="28"/>
        </w:rPr>
        <w:t xml:space="preserve"> в миокарде угнетаются оксидом азота, вырабатывающимся поврежденными сосудами. Активность самих катехоламинов снижается в результате окисления </w:t>
      </w:r>
      <w:proofErr w:type="spellStart"/>
      <w:r w:rsidRPr="003F6665">
        <w:rPr>
          <w:color w:val="222222"/>
          <w:sz w:val="28"/>
          <w:szCs w:val="28"/>
        </w:rPr>
        <w:t>супероксидазой</w:t>
      </w:r>
      <w:proofErr w:type="spellEnd"/>
      <w:r w:rsidRPr="003F6665">
        <w:rPr>
          <w:color w:val="222222"/>
          <w:sz w:val="28"/>
          <w:szCs w:val="28"/>
        </w:rPr>
        <w:t>. В миокарде уменьшается плотность бета-</w:t>
      </w:r>
      <w:proofErr w:type="spellStart"/>
      <w:r w:rsidRPr="003F6665">
        <w:rPr>
          <w:color w:val="222222"/>
          <w:sz w:val="28"/>
          <w:szCs w:val="28"/>
        </w:rPr>
        <w:t>адренорецепторов</w:t>
      </w:r>
      <w:proofErr w:type="spellEnd"/>
      <w:r w:rsidRPr="003F6665">
        <w:rPr>
          <w:color w:val="222222"/>
          <w:sz w:val="28"/>
          <w:szCs w:val="28"/>
        </w:rPr>
        <w:t xml:space="preserve">, нарушается </w:t>
      </w:r>
      <w:r w:rsidRPr="003F6665">
        <w:rPr>
          <w:color w:val="222222"/>
          <w:sz w:val="28"/>
          <w:szCs w:val="28"/>
        </w:rPr>
        <w:lastRenderedPageBreak/>
        <w:t>транспорт кальция внутрь клетки, а также снижается чувствительность миофибрилл к кальцию.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 результате всех этих процессов происходит снижение инотропной и </w:t>
      </w:r>
      <w:proofErr w:type="spellStart"/>
      <w:r w:rsidRPr="003F6665">
        <w:rPr>
          <w:color w:val="222222"/>
          <w:sz w:val="28"/>
          <w:szCs w:val="28"/>
        </w:rPr>
        <w:t>хронотропной</w:t>
      </w:r>
      <w:proofErr w:type="spellEnd"/>
      <w:r w:rsidRPr="003F6665">
        <w:rPr>
          <w:color w:val="222222"/>
          <w:sz w:val="28"/>
          <w:szCs w:val="28"/>
        </w:rPr>
        <w:t xml:space="preserve"> функций миокарда. Несмотря на высокий уровень катехоламинов, повреждение адренергического ответа альфа- и бета-рецепторов оксидом азота и цитокинами вызывает понижение чувствительности </w:t>
      </w:r>
      <w:proofErr w:type="spellStart"/>
      <w:r w:rsidRPr="003F6665">
        <w:rPr>
          <w:color w:val="222222"/>
          <w:sz w:val="28"/>
          <w:szCs w:val="28"/>
        </w:rPr>
        <w:t>адренорецепторов</w:t>
      </w:r>
      <w:proofErr w:type="spellEnd"/>
      <w:r w:rsidRPr="003F6665">
        <w:rPr>
          <w:color w:val="222222"/>
          <w:sz w:val="28"/>
          <w:szCs w:val="28"/>
        </w:rPr>
        <w:t xml:space="preserve"> и подавляет передачу сигнала на уровне </w:t>
      </w:r>
      <w:proofErr w:type="spellStart"/>
      <w:r w:rsidRPr="003F6665">
        <w:rPr>
          <w:color w:val="222222"/>
          <w:sz w:val="28"/>
          <w:szCs w:val="28"/>
        </w:rPr>
        <w:t>пострецепторов</w:t>
      </w:r>
      <w:proofErr w:type="spellEnd"/>
      <w:r w:rsidRPr="003F6665">
        <w:rPr>
          <w:color w:val="222222"/>
          <w:sz w:val="28"/>
          <w:szCs w:val="28"/>
        </w:rPr>
        <w:t>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 дальнейшем адренергический ответ «притупляется» </w:t>
      </w:r>
      <w:proofErr w:type="spellStart"/>
      <w:r w:rsidRPr="003F6665">
        <w:rPr>
          <w:color w:val="222222"/>
          <w:sz w:val="28"/>
          <w:szCs w:val="28"/>
        </w:rPr>
        <w:t>нейрональным</w:t>
      </w:r>
      <w:proofErr w:type="spellEnd"/>
      <w:r w:rsidRPr="003F6665">
        <w:rPr>
          <w:color w:val="222222"/>
          <w:sz w:val="28"/>
          <w:szCs w:val="28"/>
        </w:rPr>
        <w:t xml:space="preserve"> </w:t>
      </w:r>
      <w:proofErr w:type="spellStart"/>
      <w:r w:rsidRPr="003F6665">
        <w:rPr>
          <w:color w:val="222222"/>
          <w:sz w:val="28"/>
          <w:szCs w:val="28"/>
        </w:rPr>
        <w:t>апоптозом</w:t>
      </w:r>
      <w:proofErr w:type="spellEnd"/>
      <w:r w:rsidRPr="003F6665">
        <w:rPr>
          <w:color w:val="222222"/>
          <w:sz w:val="28"/>
          <w:szCs w:val="28"/>
        </w:rPr>
        <w:t xml:space="preserve"> </w:t>
      </w:r>
      <w:proofErr w:type="spellStart"/>
      <w:r w:rsidRPr="003F6665">
        <w:rPr>
          <w:color w:val="222222"/>
          <w:sz w:val="28"/>
          <w:szCs w:val="28"/>
        </w:rPr>
        <w:t>миокардиоцитов</w:t>
      </w:r>
      <w:proofErr w:type="spellEnd"/>
      <w:r w:rsidRPr="003F6665">
        <w:rPr>
          <w:color w:val="222222"/>
          <w:sz w:val="28"/>
          <w:szCs w:val="28"/>
        </w:rPr>
        <w:t xml:space="preserve"> в кардиоваскулярных автономных центрах и </w:t>
      </w:r>
      <w:proofErr w:type="spellStart"/>
      <w:r w:rsidRPr="003F6665">
        <w:rPr>
          <w:color w:val="222222"/>
          <w:sz w:val="28"/>
          <w:szCs w:val="28"/>
        </w:rPr>
        <w:t>инактивацией</w:t>
      </w:r>
      <w:proofErr w:type="spellEnd"/>
      <w:r w:rsidRPr="003F6665">
        <w:rPr>
          <w:color w:val="222222"/>
          <w:sz w:val="28"/>
          <w:szCs w:val="28"/>
        </w:rPr>
        <w:t xml:space="preserve"> катехоламинов свободными радикалами кислорода.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Таким образом, нарушение регуляции а- и β-рецепторов является одним из ведущих механизмов септической </w:t>
      </w:r>
      <w:proofErr w:type="spellStart"/>
      <w:r w:rsidRPr="003F6665">
        <w:rPr>
          <w:color w:val="222222"/>
          <w:sz w:val="28"/>
          <w:szCs w:val="28"/>
        </w:rPr>
        <w:t>кардиваскулярной</w:t>
      </w:r>
      <w:proofErr w:type="spellEnd"/>
      <w:r w:rsidRPr="003F6665">
        <w:rPr>
          <w:color w:val="222222"/>
          <w:sz w:val="28"/>
          <w:szCs w:val="28"/>
        </w:rPr>
        <w:t xml:space="preserve"> дисфункции, которая требует дополнительного экзогенного введения катехоламинов для поддержания органной перфузии. Иногда необходимы чрезмерные дозы </w:t>
      </w:r>
      <w:proofErr w:type="spellStart"/>
      <w:r w:rsidRPr="003F6665">
        <w:rPr>
          <w:color w:val="222222"/>
          <w:sz w:val="28"/>
          <w:szCs w:val="28"/>
        </w:rPr>
        <w:t>допамина</w:t>
      </w:r>
      <w:proofErr w:type="spellEnd"/>
      <w:r w:rsidRPr="003F6665">
        <w:rPr>
          <w:color w:val="222222"/>
          <w:sz w:val="28"/>
          <w:szCs w:val="28"/>
        </w:rPr>
        <w:t xml:space="preserve"> и норадреналина, чтобы достичь терапевтических целей. Экзогенные катехоламины в дальнейшем также повышают ЧСС и риск развития </w:t>
      </w:r>
      <w:proofErr w:type="spellStart"/>
      <w:r w:rsidRPr="003F6665">
        <w:rPr>
          <w:color w:val="222222"/>
          <w:sz w:val="28"/>
          <w:szCs w:val="28"/>
        </w:rPr>
        <w:t>тахиаритмии</w:t>
      </w:r>
      <w:proofErr w:type="spellEnd"/>
      <w:r w:rsidRPr="003F6665">
        <w:rPr>
          <w:color w:val="222222"/>
          <w:sz w:val="28"/>
          <w:szCs w:val="28"/>
        </w:rPr>
        <w:t>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Тахикардия при сепсисе классически считается основным компенсаторным механизмом для поддержания адекватного сердечного выброса. Нарушения </w:t>
      </w:r>
      <w:proofErr w:type="spellStart"/>
      <w:r w:rsidRPr="003F6665">
        <w:rPr>
          <w:color w:val="222222"/>
          <w:sz w:val="28"/>
          <w:szCs w:val="28"/>
        </w:rPr>
        <w:t>хронотропной</w:t>
      </w:r>
      <w:proofErr w:type="spellEnd"/>
      <w:r w:rsidRPr="003F6665">
        <w:rPr>
          <w:color w:val="222222"/>
          <w:sz w:val="28"/>
          <w:szCs w:val="28"/>
        </w:rPr>
        <w:t xml:space="preserve"> функции миокарда выражаются в развитии патологической тахикардии, которая уже не носит компенсаторный характер. Такая тахикардия, как правило, </w:t>
      </w:r>
      <w:proofErr w:type="spellStart"/>
      <w:r w:rsidRPr="003F6665">
        <w:rPr>
          <w:color w:val="222222"/>
          <w:sz w:val="28"/>
          <w:szCs w:val="28"/>
        </w:rPr>
        <w:t>резистентна</w:t>
      </w:r>
      <w:proofErr w:type="spellEnd"/>
      <w:r w:rsidRPr="003F6665">
        <w:rPr>
          <w:color w:val="222222"/>
          <w:sz w:val="28"/>
          <w:szCs w:val="28"/>
        </w:rPr>
        <w:t xml:space="preserve"> даже к интенсивной жидкостной терапии из-за поврежденного </w:t>
      </w:r>
      <w:proofErr w:type="spellStart"/>
      <w:r w:rsidRPr="003F6665">
        <w:rPr>
          <w:color w:val="222222"/>
          <w:sz w:val="28"/>
          <w:szCs w:val="28"/>
        </w:rPr>
        <w:t>хронотропного</w:t>
      </w:r>
      <w:proofErr w:type="spellEnd"/>
      <w:r w:rsidRPr="003F6665">
        <w:rPr>
          <w:color w:val="222222"/>
          <w:sz w:val="28"/>
          <w:szCs w:val="28"/>
        </w:rPr>
        <w:t xml:space="preserve"> эффекта.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При проведении так называемой </w:t>
      </w:r>
      <w:proofErr w:type="spellStart"/>
      <w:r w:rsidRPr="003F6665">
        <w:rPr>
          <w:color w:val="222222"/>
          <w:sz w:val="28"/>
          <w:szCs w:val="28"/>
        </w:rPr>
        <w:t>мезатоновой</w:t>
      </w:r>
      <w:proofErr w:type="spellEnd"/>
      <w:r w:rsidRPr="003F6665">
        <w:rPr>
          <w:color w:val="222222"/>
          <w:sz w:val="28"/>
          <w:szCs w:val="28"/>
        </w:rPr>
        <w:t xml:space="preserve"> пробы (подкожное или </w:t>
      </w:r>
      <w:proofErr w:type="spellStart"/>
      <w:r w:rsidRPr="003F6665">
        <w:rPr>
          <w:color w:val="222222"/>
          <w:sz w:val="28"/>
          <w:szCs w:val="28"/>
        </w:rPr>
        <w:t>болюсное</w:t>
      </w:r>
      <w:proofErr w:type="spellEnd"/>
      <w:r w:rsidRPr="003F6665">
        <w:rPr>
          <w:color w:val="222222"/>
          <w:sz w:val="28"/>
          <w:szCs w:val="28"/>
        </w:rPr>
        <w:t xml:space="preserve"> внутривенное введение небольших доз </w:t>
      </w:r>
      <w:proofErr w:type="spellStart"/>
      <w:r w:rsidRPr="003F6665">
        <w:rPr>
          <w:color w:val="222222"/>
          <w:sz w:val="28"/>
          <w:szCs w:val="28"/>
        </w:rPr>
        <w:t>мезатона</w:t>
      </w:r>
      <w:proofErr w:type="spellEnd"/>
      <w:r w:rsidRPr="003F6665">
        <w:rPr>
          <w:color w:val="222222"/>
          <w:sz w:val="28"/>
          <w:szCs w:val="28"/>
        </w:rPr>
        <w:t xml:space="preserve">) тахикардия не уменьшается при повышении ОПСС </w:t>
      </w:r>
      <w:proofErr w:type="spellStart"/>
      <w:r w:rsidRPr="003F6665">
        <w:rPr>
          <w:color w:val="222222"/>
          <w:sz w:val="28"/>
          <w:szCs w:val="28"/>
        </w:rPr>
        <w:t>мезатоном</w:t>
      </w:r>
      <w:proofErr w:type="spellEnd"/>
      <w:r w:rsidRPr="003F6665">
        <w:rPr>
          <w:color w:val="222222"/>
          <w:sz w:val="28"/>
          <w:szCs w:val="28"/>
        </w:rPr>
        <w:t>, а сердечный выброс, наоборот, снижается еще больше. Патологическое повышение ЧСС может быть также результатом действия входных сигналов из периферических симпатических афферентных волокон, которые активируются метаболическими сигналами в периферических тканях при тканевой ишемии и воспалении, которые типично развиваются при септическом шоке.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 итоге непосредственное влияние оксида азота и цитокинов на </w:t>
      </w:r>
      <w:proofErr w:type="spellStart"/>
      <w:r w:rsidRPr="003F6665">
        <w:rPr>
          <w:color w:val="222222"/>
          <w:sz w:val="28"/>
          <w:szCs w:val="28"/>
        </w:rPr>
        <w:t>миокардиоциты</w:t>
      </w:r>
      <w:proofErr w:type="spellEnd"/>
      <w:r w:rsidRPr="003F6665">
        <w:rPr>
          <w:color w:val="222222"/>
          <w:sz w:val="28"/>
          <w:szCs w:val="28"/>
        </w:rPr>
        <w:t xml:space="preserve"> водителя ритма повреждает </w:t>
      </w:r>
      <w:proofErr w:type="spellStart"/>
      <w:r w:rsidRPr="003F6665">
        <w:rPr>
          <w:color w:val="222222"/>
          <w:sz w:val="28"/>
          <w:szCs w:val="28"/>
        </w:rPr>
        <w:t>хронотропный</w:t>
      </w:r>
      <w:proofErr w:type="spellEnd"/>
      <w:r w:rsidRPr="003F6665">
        <w:rPr>
          <w:color w:val="222222"/>
          <w:sz w:val="28"/>
          <w:szCs w:val="28"/>
        </w:rPr>
        <w:t xml:space="preserve"> эффект миокарда. Оксид азота изменяет процесс нескольких ионных потоков и </w:t>
      </w:r>
      <w:r w:rsidRPr="003F6665">
        <w:rPr>
          <w:color w:val="222222"/>
          <w:sz w:val="28"/>
          <w:szCs w:val="28"/>
        </w:rPr>
        <w:lastRenderedPageBreak/>
        <w:t xml:space="preserve">тем самым может стимулировать </w:t>
      </w:r>
      <w:proofErr w:type="spellStart"/>
      <w:r w:rsidRPr="003F6665">
        <w:rPr>
          <w:color w:val="222222"/>
          <w:sz w:val="28"/>
          <w:szCs w:val="28"/>
        </w:rPr>
        <w:t>синоатриальный</w:t>
      </w:r>
      <w:proofErr w:type="spellEnd"/>
      <w:r w:rsidRPr="003F6665">
        <w:rPr>
          <w:color w:val="222222"/>
          <w:sz w:val="28"/>
          <w:szCs w:val="28"/>
        </w:rPr>
        <w:t xml:space="preserve"> узел. Такая стимуляция впоследствии вносит весомый вклад в развитие синусовой тахикардии при септическом шоке. Таким образом, патологическая тахикардия при сепсисе является ранней манифестацией </w:t>
      </w:r>
      <w:proofErr w:type="spellStart"/>
      <w:r w:rsidRPr="003F6665">
        <w:rPr>
          <w:color w:val="222222"/>
          <w:sz w:val="28"/>
          <w:szCs w:val="28"/>
        </w:rPr>
        <w:t>миокардиальной</w:t>
      </w:r>
      <w:proofErr w:type="spellEnd"/>
      <w:r w:rsidRPr="003F6665">
        <w:rPr>
          <w:color w:val="222222"/>
          <w:sz w:val="28"/>
          <w:szCs w:val="28"/>
        </w:rPr>
        <w:t xml:space="preserve"> дисфункции.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Нарушения сократимости миокарда выражаются в снижении СВ и усугублении гипотензии. Сердце преодолевает повышенную </w:t>
      </w:r>
      <w:proofErr w:type="spellStart"/>
      <w:r w:rsidRPr="003F6665">
        <w:rPr>
          <w:color w:val="222222"/>
          <w:sz w:val="28"/>
          <w:szCs w:val="28"/>
        </w:rPr>
        <w:t>постнагрузку</w:t>
      </w:r>
      <w:proofErr w:type="spellEnd"/>
      <w:r w:rsidRPr="003F6665">
        <w:rPr>
          <w:color w:val="222222"/>
          <w:sz w:val="28"/>
          <w:szCs w:val="28"/>
        </w:rPr>
        <w:t xml:space="preserve"> и работает в режиме </w:t>
      </w:r>
      <w:proofErr w:type="spellStart"/>
      <w:r w:rsidRPr="003F6665">
        <w:rPr>
          <w:color w:val="222222"/>
          <w:sz w:val="28"/>
          <w:szCs w:val="28"/>
        </w:rPr>
        <w:t>гиперстимуляции</w:t>
      </w:r>
      <w:proofErr w:type="spellEnd"/>
      <w:r w:rsidRPr="003F6665">
        <w:rPr>
          <w:color w:val="222222"/>
          <w:sz w:val="28"/>
          <w:szCs w:val="28"/>
        </w:rPr>
        <w:t xml:space="preserve"> за счет тахикардии. В условиях метаболического ацидоза и тканевой гипоксии, как правило, быстро развивается декомпенсация сердечной недостаточности, которая клинически выражается в резком повышении ЦВД на фоне тахикардии, поскольку ЦВД является критерием производительности сердечной мышцы, а не уровня </w:t>
      </w:r>
      <w:proofErr w:type="spellStart"/>
      <w:r w:rsidRPr="003F6665">
        <w:rPr>
          <w:color w:val="222222"/>
          <w:sz w:val="28"/>
          <w:szCs w:val="28"/>
        </w:rPr>
        <w:t>волемии</w:t>
      </w:r>
      <w:proofErr w:type="spellEnd"/>
      <w:r w:rsidRPr="003F6665">
        <w:rPr>
          <w:color w:val="222222"/>
          <w:sz w:val="28"/>
          <w:szCs w:val="28"/>
        </w:rPr>
        <w:t>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ЦВД может повыситься при увеличении давления в малом круге кровообращения при ИВЛ и поражении легких, что также необходимо учитывать при его измерении. В данной ситуации необходимо подключать инотропную поддержку для обеспечения оптимальной доставки кислорода к тканям. Критерием адекватности доставки кислорода и соответствия потребностям организма является уровень </w:t>
      </w:r>
      <w:proofErr w:type="spellStart"/>
      <w:r w:rsidRPr="003F6665">
        <w:rPr>
          <w:color w:val="222222"/>
          <w:sz w:val="28"/>
          <w:szCs w:val="28"/>
        </w:rPr>
        <w:t>лактата</w:t>
      </w:r>
      <w:proofErr w:type="spellEnd"/>
      <w:r w:rsidRPr="003F6665">
        <w:rPr>
          <w:color w:val="222222"/>
          <w:sz w:val="28"/>
          <w:szCs w:val="28"/>
        </w:rPr>
        <w:t xml:space="preserve"> в венозной крови.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Действие цитокинов опосредует стрессовую реактивность организма, выражающуюся в активации симпатоадреналовой системы, высвобождении кортизола и адренокортикотропного гормона. Это также приводит к повреждению </w:t>
      </w:r>
      <w:proofErr w:type="spellStart"/>
      <w:r w:rsidRPr="003F6665">
        <w:rPr>
          <w:color w:val="222222"/>
          <w:sz w:val="28"/>
          <w:szCs w:val="28"/>
        </w:rPr>
        <w:t>хронотропного</w:t>
      </w:r>
      <w:proofErr w:type="spellEnd"/>
      <w:r w:rsidRPr="003F6665">
        <w:rPr>
          <w:color w:val="222222"/>
          <w:sz w:val="28"/>
          <w:szCs w:val="28"/>
        </w:rPr>
        <w:t xml:space="preserve"> эффекта в миокарде. Чем </w:t>
      </w:r>
      <w:proofErr w:type="spellStart"/>
      <w:r w:rsidRPr="003F6665">
        <w:rPr>
          <w:color w:val="222222"/>
          <w:sz w:val="28"/>
          <w:szCs w:val="28"/>
        </w:rPr>
        <w:t>выраженнее</w:t>
      </w:r>
      <w:proofErr w:type="spellEnd"/>
      <w:r w:rsidRPr="003F6665">
        <w:rPr>
          <w:color w:val="222222"/>
          <w:sz w:val="28"/>
          <w:szCs w:val="28"/>
        </w:rPr>
        <w:t xml:space="preserve"> воспаление, тем сильнее стрессовый ответ нейроэндокринной системы. Поскольку в миокарде большинство рецепторов составляют β-</w:t>
      </w:r>
      <w:proofErr w:type="spellStart"/>
      <w:r w:rsidRPr="003F6665">
        <w:rPr>
          <w:color w:val="222222"/>
          <w:sz w:val="28"/>
          <w:szCs w:val="28"/>
        </w:rPr>
        <w:t>адренорецепторы</w:t>
      </w:r>
      <w:proofErr w:type="spellEnd"/>
      <w:r w:rsidRPr="003F6665">
        <w:rPr>
          <w:color w:val="222222"/>
          <w:sz w:val="28"/>
          <w:szCs w:val="28"/>
        </w:rPr>
        <w:t xml:space="preserve">, сердце — основной орган-мишень, подвергающийся избыточной </w:t>
      </w:r>
      <w:proofErr w:type="spellStart"/>
      <w:r w:rsidRPr="003F6665">
        <w:rPr>
          <w:color w:val="222222"/>
          <w:sz w:val="28"/>
          <w:szCs w:val="28"/>
        </w:rPr>
        <w:t>адреностимуляции</w:t>
      </w:r>
      <w:proofErr w:type="spellEnd"/>
      <w:r w:rsidRPr="003F6665">
        <w:rPr>
          <w:color w:val="222222"/>
          <w:sz w:val="28"/>
          <w:szCs w:val="28"/>
        </w:rPr>
        <w:t xml:space="preserve">. </w:t>
      </w:r>
      <w:proofErr w:type="spellStart"/>
      <w:r w:rsidRPr="003F6665">
        <w:rPr>
          <w:color w:val="222222"/>
          <w:sz w:val="28"/>
          <w:szCs w:val="28"/>
        </w:rPr>
        <w:t>Сверхстимуляция</w:t>
      </w:r>
      <w:proofErr w:type="spellEnd"/>
      <w:r w:rsidRPr="003F6665">
        <w:rPr>
          <w:color w:val="222222"/>
          <w:sz w:val="28"/>
          <w:szCs w:val="28"/>
        </w:rPr>
        <w:t xml:space="preserve"> в дальнейшем поддерживается за счет высокого уровня катехоламинов, вырабатывающихся в пищеварительном тракте, лимфоцитах, макрофагах и нейтрофилах.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При сепсисе развивается автономная сердечная </w:t>
      </w:r>
      <w:proofErr w:type="spellStart"/>
      <w:r w:rsidRPr="003F6665">
        <w:rPr>
          <w:color w:val="222222"/>
          <w:sz w:val="28"/>
          <w:szCs w:val="28"/>
        </w:rPr>
        <w:t>нейропатия</w:t>
      </w:r>
      <w:proofErr w:type="spellEnd"/>
      <w:r w:rsidRPr="003F6665">
        <w:rPr>
          <w:color w:val="222222"/>
          <w:sz w:val="28"/>
          <w:szCs w:val="28"/>
        </w:rPr>
        <w:t>, которая выражается в нарушении баланса между парасимпатической и симпатической системами. При повышении тонуса блуждающего нерва на фоне тахикардии у пациентов периодически может развиваться и брадикардия.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Цитокины и токсины бактерий играют центральную роль в нарушении нервных взаимодействий при передаче эфферентных, афферентных и центральных сигналов в автономной нервной системе. </w:t>
      </w:r>
      <w:proofErr w:type="spellStart"/>
      <w:r w:rsidRPr="003F6665">
        <w:rPr>
          <w:color w:val="222222"/>
          <w:sz w:val="28"/>
          <w:szCs w:val="28"/>
        </w:rPr>
        <w:t>Оксирадикальный</w:t>
      </w:r>
      <w:proofErr w:type="spellEnd"/>
      <w:r w:rsidRPr="003F6665">
        <w:rPr>
          <w:color w:val="222222"/>
          <w:sz w:val="28"/>
          <w:szCs w:val="28"/>
        </w:rPr>
        <w:t xml:space="preserve"> стресс также вносит свой вклад в </w:t>
      </w:r>
      <w:proofErr w:type="spellStart"/>
      <w:r w:rsidRPr="003F6665">
        <w:rPr>
          <w:color w:val="222222"/>
          <w:sz w:val="28"/>
          <w:szCs w:val="28"/>
        </w:rPr>
        <w:t>аутоповреждения</w:t>
      </w:r>
      <w:proofErr w:type="spellEnd"/>
      <w:r w:rsidRPr="003F6665">
        <w:rPr>
          <w:color w:val="222222"/>
          <w:sz w:val="28"/>
          <w:szCs w:val="28"/>
        </w:rPr>
        <w:t xml:space="preserve"> в автономной нервной системе каждого органа, в том числе сердца.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8" w:name="_Toc1564179"/>
      <w:r w:rsidRPr="003F6665">
        <w:rPr>
          <w:rStyle w:val="a6"/>
          <w:rFonts w:ascii="Times New Roman" w:hAnsi="Times New Roman" w:cs="Times New Roman"/>
          <w:b/>
          <w:bCs/>
        </w:rPr>
        <w:t>Обсуждение</w:t>
      </w:r>
      <w:bookmarkEnd w:id="8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 ходе многоцентрового эпидемиологического </w:t>
      </w:r>
      <w:proofErr w:type="spellStart"/>
      <w:r w:rsidRPr="003F6665">
        <w:rPr>
          <w:color w:val="222222"/>
          <w:sz w:val="28"/>
          <w:szCs w:val="28"/>
        </w:rPr>
        <w:t>когортного</w:t>
      </w:r>
      <w:proofErr w:type="spellEnd"/>
      <w:r w:rsidRPr="003F6665">
        <w:rPr>
          <w:color w:val="222222"/>
          <w:sz w:val="28"/>
          <w:szCs w:val="28"/>
        </w:rPr>
        <w:t xml:space="preserve"> </w:t>
      </w:r>
      <w:proofErr w:type="spellStart"/>
      <w:r w:rsidRPr="003F6665">
        <w:rPr>
          <w:color w:val="222222"/>
          <w:sz w:val="28"/>
          <w:szCs w:val="28"/>
        </w:rPr>
        <w:t>проспективного</w:t>
      </w:r>
      <w:proofErr w:type="spellEnd"/>
      <w:r w:rsidRPr="003F6665">
        <w:rPr>
          <w:color w:val="222222"/>
          <w:sz w:val="28"/>
          <w:szCs w:val="28"/>
        </w:rPr>
        <w:t xml:space="preserve"> исследования, охватившего 14 364 пациента, 28 отделений реанимации и интенсивной терапии Европы, Израиля и Канады, установлено, что пациенты с сепсисом составляют 17,4% (сепсис, тяжёлый сепсис, септический шок) от всех больных, прошедших через интенсивный этап лечения, при этом в 63,2% случаев сепсис стал осложнением госпитальных инфекций.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Во всех случаях сепсис являлся основной причиной смерти в отделениях интенсивной терапии </w:t>
      </w:r>
      <w:proofErr w:type="spellStart"/>
      <w:r w:rsidRPr="003F6665">
        <w:rPr>
          <w:color w:val="222222"/>
          <w:sz w:val="28"/>
          <w:szCs w:val="28"/>
        </w:rPr>
        <w:t>некоронарного</w:t>
      </w:r>
      <w:proofErr w:type="spellEnd"/>
      <w:r w:rsidRPr="003F6665">
        <w:rPr>
          <w:color w:val="222222"/>
          <w:sz w:val="28"/>
          <w:szCs w:val="28"/>
        </w:rPr>
        <w:t xml:space="preserve"> профиля и занял 11-е место среди всех причин летальности. Данные по распространённости сепсиса в различных странах значительно варьируют: в США — 300 случаев на 100 тыс. населения (</w:t>
      </w:r>
      <w:proofErr w:type="spellStart"/>
      <w:r w:rsidRPr="003F6665">
        <w:rPr>
          <w:color w:val="222222"/>
          <w:sz w:val="28"/>
          <w:szCs w:val="28"/>
        </w:rPr>
        <w:t>Angus</w:t>
      </w:r>
      <w:proofErr w:type="spellEnd"/>
      <w:r w:rsidRPr="003F6665">
        <w:rPr>
          <w:color w:val="222222"/>
          <w:sz w:val="28"/>
          <w:szCs w:val="28"/>
        </w:rPr>
        <w:t xml:space="preserve"> D., 2001), во Франции — 95 случаев на 100 тыс. населения (</w:t>
      </w:r>
      <w:proofErr w:type="spellStart"/>
      <w:r w:rsidRPr="003F6665">
        <w:rPr>
          <w:color w:val="222222"/>
          <w:sz w:val="28"/>
          <w:szCs w:val="28"/>
        </w:rPr>
        <w:t>Episepsis</w:t>
      </w:r>
      <w:proofErr w:type="spellEnd"/>
      <w:r w:rsidRPr="003F6665">
        <w:rPr>
          <w:color w:val="222222"/>
          <w:sz w:val="28"/>
          <w:szCs w:val="28"/>
        </w:rPr>
        <w:t>, 2004), в Австралии и Новой Зеландии — 77 на 100 тыс. населения (ANZICS, 2004).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Отечественные данные по эпидемиологии сепсиса отсутствуют. Оставаясь ведущей причиной летальности в ОРИТ в развитых странах, в клиниках Республики Казахстан нередко в посмертном и патологоанатомическом диагнозе сепсис не выставляется как осложнение основного заболевания или перенесенной операции.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Причиной этому является плохая осведомленность не только врачей, но и патологоанатомов о современных критериях диагностики и патоморфологической верификации сепсиса, а также отсутствие самых простых знаний об этой патологии. До сих пор даже врачи, непосредственно имеющие отношение к лечению инфекции, называют сепсис «эндогенной интоксикацией».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Нередко клиницисты ждут результатов бактериологического подтверждения инфекции, не зная, что на современном этапе достаточно просто предположения наличия инфекции и двух или более клинико-лабораторных критериев системного воспалительного ответа. Это приводит к значительной задержке лечения и, соответственно, плохим его результатам. Возможно, по этой причине даже в развитых странах летальность от сепсиса превосходит по цифрам летальность от сердечно-сосудистых и других социально значимых заболеваний.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Ограничения в снабжении и оснащении стационаров нередко делают реализацию результатов лечения сепсиса проблематичной, тем не менее, такие важные компоненты лечения, как </w:t>
      </w:r>
      <w:proofErr w:type="spellStart"/>
      <w:r w:rsidRPr="003F6665">
        <w:rPr>
          <w:color w:val="222222"/>
          <w:sz w:val="28"/>
          <w:szCs w:val="28"/>
        </w:rPr>
        <w:t>инфузионная</w:t>
      </w:r>
      <w:proofErr w:type="spellEnd"/>
      <w:r w:rsidRPr="003F6665">
        <w:rPr>
          <w:color w:val="222222"/>
          <w:sz w:val="28"/>
          <w:szCs w:val="28"/>
        </w:rPr>
        <w:t xml:space="preserve"> терапия, раннее назначение </w:t>
      </w:r>
      <w:proofErr w:type="spellStart"/>
      <w:r w:rsidRPr="003F6665">
        <w:rPr>
          <w:color w:val="222222"/>
          <w:sz w:val="28"/>
          <w:szCs w:val="28"/>
        </w:rPr>
        <w:t>вазопрессоров</w:t>
      </w:r>
      <w:proofErr w:type="spellEnd"/>
      <w:r w:rsidRPr="003F6665">
        <w:rPr>
          <w:color w:val="222222"/>
          <w:sz w:val="28"/>
          <w:szCs w:val="28"/>
        </w:rPr>
        <w:t xml:space="preserve">, своевременное назначение инотропных препаратов и вазодилататоров, </w:t>
      </w:r>
      <w:proofErr w:type="spellStart"/>
      <w:r w:rsidRPr="003F6665">
        <w:rPr>
          <w:color w:val="222222"/>
          <w:sz w:val="28"/>
          <w:szCs w:val="28"/>
        </w:rPr>
        <w:t>кислородотерапии</w:t>
      </w:r>
      <w:proofErr w:type="spellEnd"/>
      <w:r w:rsidRPr="003F6665">
        <w:rPr>
          <w:color w:val="222222"/>
          <w:sz w:val="28"/>
          <w:szCs w:val="28"/>
        </w:rPr>
        <w:t xml:space="preserve"> базируются на знании патофизиологии нарушений кровообращения и осуществимы в любой больнице. Процесс обучения и изменения мышления позволяет добиться более позитивных результатов в борьбе против самой частой причины смерти у пациентов в отделениях интенсивной терапии по всему миру.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1"/>
        <w:rPr>
          <w:rFonts w:ascii="Times New Roman" w:hAnsi="Times New Roman" w:cs="Times New Roman"/>
        </w:rPr>
      </w:pPr>
      <w:bookmarkStart w:id="9" w:name="_Toc1564180"/>
      <w:r w:rsidRPr="003F6665">
        <w:rPr>
          <w:rStyle w:val="a6"/>
          <w:rFonts w:ascii="Times New Roman" w:hAnsi="Times New Roman" w:cs="Times New Roman"/>
          <w:b/>
          <w:bCs/>
        </w:rPr>
        <w:t>Заключение</w:t>
      </w:r>
      <w:bookmarkEnd w:id="9"/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Патологические изменения кровообращения при сепсисе неразрывно взаимосвязаны и развиваются последовательно. Тяжесть этих нарушений обусловлена выбросом в кровь большого количества биологически активных веществ, называемых цитокинами.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> </w:t>
      </w:r>
    </w:p>
    <w:p w:rsidR="00BD3CD8" w:rsidRPr="003F6665" w:rsidRDefault="00BD3CD8" w:rsidP="00BD3CD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F6665">
        <w:rPr>
          <w:color w:val="222222"/>
          <w:sz w:val="28"/>
          <w:szCs w:val="28"/>
        </w:rPr>
        <w:t xml:space="preserve">Знание клиницистами патофизиологии этих нарушений позволит своевременно распознавать и адекватно проводить их коррекцию. Это, несомненно, приведет к улучшению клинических результатов лечения и снижению смертности от сепсиса. Врачам необходимо своевременно подключать вазопрессорную поддержку, не дожидаясь манифестации шока, а также учитывать возможности сердца справляться с жидкостной терапией и </w:t>
      </w:r>
      <w:proofErr w:type="spellStart"/>
      <w:r w:rsidRPr="003F6665">
        <w:rPr>
          <w:color w:val="222222"/>
          <w:sz w:val="28"/>
          <w:szCs w:val="28"/>
        </w:rPr>
        <w:t>гиперстимуляцией</w:t>
      </w:r>
      <w:proofErr w:type="spellEnd"/>
      <w:r w:rsidRPr="003F6665">
        <w:rPr>
          <w:color w:val="222222"/>
          <w:sz w:val="28"/>
          <w:szCs w:val="28"/>
        </w:rPr>
        <w:t xml:space="preserve"> катехоламинами при проведении коррекции патологической тахикардии и осуществлении инотропной поддержки.</w:t>
      </w:r>
    </w:p>
    <w:bookmarkEnd w:id="1"/>
    <w:p w:rsidR="00F454B1" w:rsidRPr="00F454B1" w:rsidRDefault="00F454B1" w:rsidP="00F454B1">
      <w:pPr>
        <w:spacing w:after="0" w:line="360" w:lineRule="auto"/>
        <w:ind w:firstLine="709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>.</w:t>
      </w:r>
    </w:p>
    <w:p w:rsidR="00CE7BE2" w:rsidRPr="00F454B1" w:rsidRDefault="00CE7BE2" w:rsidP="00F454B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2462F" w:rsidRPr="00F454B1" w:rsidRDefault="0002462F" w:rsidP="00F454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454B1" w:rsidRDefault="00F454B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2F" w:rsidRPr="006F3BEB" w:rsidRDefault="0002462F" w:rsidP="00AA3750">
      <w:pPr>
        <w:pStyle w:val="1"/>
        <w:jc w:val="both"/>
      </w:pPr>
      <w:r>
        <w:t xml:space="preserve"> </w:t>
      </w:r>
      <w:bookmarkStart w:id="10" w:name="_Toc1564181"/>
      <w:r>
        <w:t>Литература</w:t>
      </w:r>
      <w:bookmarkEnd w:id="10"/>
    </w:p>
    <w:p w:rsidR="0002462F" w:rsidRPr="00624165" w:rsidRDefault="0002462F" w:rsidP="006E25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24165">
        <w:t xml:space="preserve">Эдвард Морган-мл. </w:t>
      </w:r>
      <w:proofErr w:type="spellStart"/>
      <w:r w:rsidRPr="00624165">
        <w:t>Мэгид</w:t>
      </w:r>
      <w:proofErr w:type="spellEnd"/>
      <w:r w:rsidRPr="00624165">
        <w:t xml:space="preserve"> С. Михаил Клиническая анестезиология</w:t>
      </w:r>
    </w:p>
    <w:p w:rsidR="00F454B1" w:rsidRDefault="00BD3CD8" w:rsidP="006E25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Марино П. Интенсивная терапия</w:t>
      </w:r>
    </w:p>
    <w:p w:rsidR="00EE03D1" w:rsidRPr="00624165" w:rsidRDefault="00BD3CD8" w:rsidP="006E25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Гельфанд А.Г. – Национальное руководство по интенсивной терапии</w:t>
      </w:r>
    </w:p>
    <w:p w:rsidR="00624165" w:rsidRPr="00BD3CD8" w:rsidRDefault="00BD3CD8" w:rsidP="006E25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Лебединский А.В. Кровообращение и анестезия</w:t>
      </w:r>
    </w:p>
    <w:sectPr w:rsidR="00624165" w:rsidRPr="00BD3CD8" w:rsidSect="00185387">
      <w:footerReference w:type="even" r:id="rId11"/>
      <w:type w:val="continuous"/>
      <w:pgSz w:w="11909" w:h="16834"/>
      <w:pgMar w:top="1440" w:right="1440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F5" w:rsidRDefault="00363AF5" w:rsidP="00185387">
      <w:pPr>
        <w:spacing w:after="0" w:line="240" w:lineRule="auto"/>
      </w:pPr>
      <w:r>
        <w:separator/>
      </w:r>
    </w:p>
  </w:endnote>
  <w:endnote w:type="continuationSeparator" w:id="0">
    <w:p w:rsidR="00363AF5" w:rsidRDefault="00363AF5" w:rsidP="0018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10907"/>
      <w:docPartObj>
        <w:docPartGallery w:val="Page Numbers (Bottom of Page)"/>
        <w:docPartUnique/>
      </w:docPartObj>
    </w:sdtPr>
    <w:sdtEndPr/>
    <w:sdtContent>
      <w:p w:rsidR="0002462F" w:rsidRDefault="006E251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462F" w:rsidRDefault="000246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F5" w:rsidRDefault="00363AF5" w:rsidP="00185387">
      <w:pPr>
        <w:spacing w:after="0" w:line="240" w:lineRule="auto"/>
      </w:pPr>
      <w:r>
        <w:separator/>
      </w:r>
    </w:p>
  </w:footnote>
  <w:footnote w:type="continuationSeparator" w:id="0">
    <w:p w:rsidR="00363AF5" w:rsidRDefault="00363AF5" w:rsidP="0018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</w:abstractNum>
  <w:abstractNum w:abstractNumId="4" w15:restartNumberingAfterBreak="0">
    <w:nsid w:val="06FD360A"/>
    <w:multiLevelType w:val="multilevel"/>
    <w:tmpl w:val="BA4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66C86"/>
    <w:multiLevelType w:val="hybridMultilevel"/>
    <w:tmpl w:val="44F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9F"/>
    <w:rsid w:val="00007CD7"/>
    <w:rsid w:val="0002462F"/>
    <w:rsid w:val="00155AAA"/>
    <w:rsid w:val="00185387"/>
    <w:rsid w:val="002E109C"/>
    <w:rsid w:val="003300CB"/>
    <w:rsid w:val="003546F8"/>
    <w:rsid w:val="00363AF5"/>
    <w:rsid w:val="00384D9F"/>
    <w:rsid w:val="003F597D"/>
    <w:rsid w:val="003F6665"/>
    <w:rsid w:val="004C7FDD"/>
    <w:rsid w:val="005F0B83"/>
    <w:rsid w:val="00624165"/>
    <w:rsid w:val="006E2518"/>
    <w:rsid w:val="006F3BEB"/>
    <w:rsid w:val="00776320"/>
    <w:rsid w:val="007C2FD5"/>
    <w:rsid w:val="007F1455"/>
    <w:rsid w:val="00843A5A"/>
    <w:rsid w:val="00AA3750"/>
    <w:rsid w:val="00AC27DF"/>
    <w:rsid w:val="00B928CC"/>
    <w:rsid w:val="00BB1808"/>
    <w:rsid w:val="00BD3CD8"/>
    <w:rsid w:val="00BE451B"/>
    <w:rsid w:val="00C24150"/>
    <w:rsid w:val="00CE7BE2"/>
    <w:rsid w:val="00E761E5"/>
    <w:rsid w:val="00EE03D1"/>
    <w:rsid w:val="00EF76E1"/>
    <w:rsid w:val="00F454B1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8398-C369-4F12-84E1-682942F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454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D9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4">
    <w:name w:val="List Paragraph"/>
    <w:basedOn w:val="a"/>
    <w:uiPriority w:val="34"/>
    <w:qFormat/>
    <w:rsid w:val="00384D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CD7"/>
    <w:rPr>
      <w:b/>
      <w:bCs/>
    </w:rPr>
  </w:style>
  <w:style w:type="character" w:styleId="a7">
    <w:name w:val="Hyperlink"/>
    <w:basedOn w:val="a0"/>
    <w:uiPriority w:val="99"/>
    <w:unhideWhenUsed/>
    <w:rsid w:val="00007CD7"/>
    <w:rPr>
      <w:color w:val="0000FF"/>
      <w:u w:val="single"/>
    </w:rPr>
  </w:style>
  <w:style w:type="character" w:styleId="a8">
    <w:name w:val="Emphasis"/>
    <w:basedOn w:val="a0"/>
    <w:uiPriority w:val="20"/>
    <w:qFormat/>
    <w:rsid w:val="00007CD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CD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538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5387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1853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3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85387"/>
    <w:pPr>
      <w:spacing w:after="100"/>
      <w:ind w:left="440"/>
    </w:pPr>
  </w:style>
  <w:style w:type="paragraph" w:styleId="af1">
    <w:name w:val="No Spacing"/>
    <w:link w:val="af2"/>
    <w:uiPriority w:val="1"/>
    <w:qFormat/>
    <w:rsid w:val="00185387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85387"/>
    <w:rPr>
      <w:rFonts w:eastAsiaTheme="minorEastAsia"/>
    </w:rPr>
  </w:style>
  <w:style w:type="character" w:customStyle="1" w:styleId="fontstyle01">
    <w:name w:val="fontstyle01"/>
    <w:basedOn w:val="a0"/>
    <w:rsid w:val="003300C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3300C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E7BE2"/>
    <w:pPr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E7BE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Name">
    <w:name w:val="Table_Name"/>
    <w:basedOn w:val="a"/>
    <w:uiPriority w:val="99"/>
    <w:semiHidden/>
    <w:rsid w:val="00CE7BE2"/>
    <w:pPr>
      <w:keepLines/>
      <w:widowControl w:val="0"/>
      <w:suppressAutoHyphens/>
      <w:overflowPunct w:val="0"/>
      <w:autoSpaceDE w:val="0"/>
      <w:spacing w:before="120" w:after="160" w:line="240" w:lineRule="auto"/>
      <w:ind w:left="1021" w:hanging="1021"/>
      <w:jc w:val="both"/>
    </w:pPr>
    <w:rPr>
      <w:rFonts w:ascii="Arial" w:eastAsia="Times New Roman" w:hAnsi="Arial" w:cs="Arial"/>
      <w:b/>
      <w:color w:val="000080"/>
      <w:sz w:val="16"/>
      <w:lang w:val="en-US" w:eastAsia="zh-CN"/>
    </w:rPr>
  </w:style>
  <w:style w:type="character" w:customStyle="1" w:styleId="FontStyle44">
    <w:name w:val="Font Style44"/>
    <w:rsid w:val="00CE7BE2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rsid w:val="00CE7BE2"/>
    <w:rPr>
      <w:rFonts w:ascii="Calibri" w:hAnsi="Calibri" w:cs="Calibri" w:hint="default"/>
      <w:b/>
      <w:bCs/>
      <w:sz w:val="22"/>
      <w:szCs w:val="22"/>
    </w:rPr>
  </w:style>
  <w:style w:type="character" w:customStyle="1" w:styleId="FontStyle42">
    <w:name w:val="Font Style42"/>
    <w:rsid w:val="00CE7BE2"/>
    <w:rPr>
      <w:rFonts w:ascii="Calibri" w:hAnsi="Calibri" w:cs="Calibri" w:hint="default"/>
      <w:b/>
      <w:bCs/>
      <w:sz w:val="16"/>
      <w:szCs w:val="16"/>
    </w:rPr>
  </w:style>
  <w:style w:type="character" w:customStyle="1" w:styleId="FontStyle46">
    <w:name w:val="Font Style46"/>
    <w:rsid w:val="00CE7BE2"/>
    <w:rPr>
      <w:rFonts w:ascii="Calibri" w:hAnsi="Calibri" w:cs="Calibri" w:hint="default"/>
      <w:sz w:val="16"/>
      <w:szCs w:val="16"/>
    </w:rPr>
  </w:style>
  <w:style w:type="character" w:customStyle="1" w:styleId="hps">
    <w:name w:val="hps"/>
    <w:basedOn w:val="a0"/>
    <w:rsid w:val="00CE7BE2"/>
  </w:style>
  <w:style w:type="character" w:customStyle="1" w:styleId="translation-chunk">
    <w:name w:val="translation-chunk"/>
    <w:basedOn w:val="a0"/>
    <w:rsid w:val="00CE7BE2"/>
  </w:style>
  <w:style w:type="character" w:customStyle="1" w:styleId="50">
    <w:name w:val="Заголовок 5 Знак"/>
    <w:basedOn w:val="a0"/>
    <w:link w:val="5"/>
    <w:uiPriority w:val="9"/>
    <w:rsid w:val="00F454B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F454B1"/>
  </w:style>
  <w:style w:type="character" w:customStyle="1" w:styleId="apple-converted-space">
    <w:name w:val="apple-converted-space"/>
    <w:basedOn w:val="a0"/>
    <w:rsid w:val="00F454B1"/>
  </w:style>
  <w:style w:type="table" w:customStyle="1" w:styleId="13">
    <w:name w:val="Сетка таблицы1"/>
    <w:basedOn w:val="a1"/>
    <w:next w:val="ab"/>
    <w:uiPriority w:val="59"/>
    <w:rsid w:val="00F454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urname">
    <w:name w:val="surname"/>
    <w:basedOn w:val="a"/>
    <w:rsid w:val="00F4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rasgmu.ru/index.php?page%5bcommon%5d=search&amp;cat=user&amp;c%5bscititle%5d=1" TargetMode="External"/><Relationship Id="rId4" Type="http://schemas.openxmlformats.org/officeDocument/2006/relationships/styles" Target="styles.xml"/><Relationship Id="rId9" Type="http://schemas.openxmlformats.org/officeDocument/2006/relationships/hyperlink" Target="https://krasgmu.ru/index.php?page%5bcommon%5d=search&amp;cat=user&amp;c%5bscititle%5d=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FB6E19FE0463C9C92D5BC29851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044E-C857-4E52-9DA4-895B2C7FB2EB}"/>
      </w:docPartPr>
      <w:docPartBody>
        <w:p w:rsidR="00052958" w:rsidRDefault="00052958" w:rsidP="00052958">
          <w:pPr>
            <w:pStyle w:val="983FB6E19FE0463C9C92D5BC298514A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C835A7AFD3842E4BA4E65DAE12F4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3337-960B-49B4-934D-37E776A03C51}"/>
      </w:docPartPr>
      <w:docPartBody>
        <w:p w:rsidR="00052958" w:rsidRDefault="00052958" w:rsidP="00052958">
          <w:pPr>
            <w:pStyle w:val="DC835A7AFD3842E4BA4E65DAE12F421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22C72D385CD4181ABCDE4FFA0634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D07CE-FDDA-431E-82C5-47D7E369DC88}"/>
      </w:docPartPr>
      <w:docPartBody>
        <w:p w:rsidR="00052958" w:rsidRDefault="00052958" w:rsidP="00052958">
          <w:pPr>
            <w:pStyle w:val="222C72D385CD4181ABCDE4FFA06341C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958"/>
    <w:rsid w:val="00052958"/>
    <w:rsid w:val="00174583"/>
    <w:rsid w:val="004137F1"/>
    <w:rsid w:val="00E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FB6E19FE0463C9C92D5BC298514A1">
    <w:name w:val="983FB6E19FE0463C9C92D5BC298514A1"/>
    <w:rsid w:val="00052958"/>
  </w:style>
  <w:style w:type="paragraph" w:customStyle="1" w:styleId="DC835A7AFD3842E4BA4E65DAE12F421C">
    <w:name w:val="DC835A7AFD3842E4BA4E65DAE12F421C"/>
    <w:rsid w:val="00052958"/>
  </w:style>
  <w:style w:type="paragraph" w:customStyle="1" w:styleId="222C72D385CD4181ABCDE4FFA06341C5">
    <w:name w:val="222C72D385CD4181ABCDE4FFA06341C5"/>
    <w:rsid w:val="00052958"/>
  </w:style>
  <w:style w:type="paragraph" w:customStyle="1" w:styleId="C6667D37BB62406F88C822FC476B5196">
    <w:name w:val="C6667D37BB62406F88C822FC476B5196"/>
    <w:rsid w:val="00052958"/>
  </w:style>
  <w:style w:type="paragraph" w:customStyle="1" w:styleId="0F748559D10C402C9C0839E05E5E1C4C">
    <w:name w:val="0F748559D10C402C9C0839E05E5E1C4C"/>
    <w:rsid w:val="00052958"/>
  </w:style>
  <w:style w:type="paragraph" w:customStyle="1" w:styleId="36995F98B62F49E58AA7D1ABABD6A029">
    <w:name w:val="36995F98B62F49E58AA7D1ABABD6A029"/>
    <w:rsid w:val="00052958"/>
  </w:style>
  <w:style w:type="paragraph" w:customStyle="1" w:styleId="50EBD9AF2F2D49808C0107291F7B8747">
    <w:name w:val="50EBD9AF2F2D49808C0107291F7B8747"/>
    <w:rsid w:val="00052958"/>
  </w:style>
  <w:style w:type="paragraph" w:customStyle="1" w:styleId="0469812B1C394AFFA034BD857FCCEDDA">
    <w:name w:val="0469812B1C394AFFA034BD857FCCEDDA"/>
    <w:rsid w:val="00052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Красноярск 2019г.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8DC6F-7423-4DBE-8080-765B002E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Company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Гемодинамика при сепсисе</dc:subject>
  <dc:creator>Nicolar Nico</dc:creator>
  <cp:lastModifiedBy>nicolar387</cp:lastModifiedBy>
  <cp:revision>3</cp:revision>
  <dcterms:created xsi:type="dcterms:W3CDTF">2019-02-20T07:09:00Z</dcterms:created>
  <dcterms:modified xsi:type="dcterms:W3CDTF">2019-02-25T03:41:00Z</dcterms:modified>
</cp:coreProperties>
</file>