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867"/>
        <w:gridCol w:w="485"/>
        <w:gridCol w:w="3168"/>
        <w:gridCol w:w="485"/>
        <w:gridCol w:w="2832"/>
      </w:tblGrid>
      <w:tr w:rsidR="00D47EE5" w:rsidTr="00D47EE5">
        <w:tc>
          <w:tcPr>
            <w:tcW w:w="1008" w:type="dxa"/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274320</wp:posOffset>
                      </wp:positionV>
                      <wp:extent cx="457835" cy="457835"/>
                      <wp:effectExtent l="0" t="0" r="0" b="12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EE5" w:rsidRDefault="00D47EE5" w:rsidP="00D47EE5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РК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21.6pt;width:36.05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" o:allowincell="f" stroked="f" strokeweight="1pt">
                      <v:textbox inset="1pt,1pt,1pt,1pt">
                        <w:txbxContent>
                          <w:p w:rsidR="00D47EE5" w:rsidRDefault="00D47EE5" w:rsidP="00D47EE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РК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2867" w:type="dxa"/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5013 Регистрационная карта</w:t>
            </w:r>
          </w:p>
        </w:tc>
        <w:tc>
          <w:tcPr>
            <w:tcW w:w="485" w:type="dxa"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3168" w:type="dxa"/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5418 Исходящий номер, дата</w:t>
            </w:r>
          </w:p>
        </w:tc>
        <w:tc>
          <w:tcPr>
            <w:tcW w:w="485" w:type="dxa"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2832" w:type="dxa"/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5436 Регистрационный номер</w:t>
            </w:r>
          </w:p>
        </w:tc>
      </w:tr>
      <w:tr w:rsidR="00D47EE5" w:rsidTr="00D47EE5">
        <w:trPr>
          <w:cantSplit/>
        </w:trPr>
        <w:tc>
          <w:tcPr>
            <w:tcW w:w="1008" w:type="dxa"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67" w:type="dxa"/>
          </w:tcPr>
          <w:p w:rsidR="00D47EE5" w:rsidRDefault="00D47EE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85" w:type="dxa"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85" w:type="dxa"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</w:tr>
      <w:tr w:rsidR="00D47EE5" w:rsidTr="00D47EE5">
        <w:trPr>
          <w:cantSplit/>
        </w:trPr>
        <w:tc>
          <w:tcPr>
            <w:tcW w:w="1008" w:type="dxa"/>
            <w:hideMark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640080</wp:posOffset>
                      </wp:positionH>
                      <wp:positionV relativeFrom="margin">
                        <wp:posOffset>548640</wp:posOffset>
                      </wp:positionV>
                      <wp:extent cx="274955" cy="274320"/>
                      <wp:effectExtent l="11430" t="15240" r="889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47EE5" w:rsidRDefault="00D47EE5" w:rsidP="00D47EE5">
                                  <w:pPr>
                                    <w:spacing w:before="80"/>
                                    <w:jc w:val="center"/>
                                  </w:pPr>
                                  <w:r>
                                    <w:rPr>
                                      <w:rFonts w:ascii="Peterburg" w:hAnsi="Peterburg" w:cs="Peterburg"/>
                                      <w:sz w:val="19"/>
                                      <w:szCs w:val="19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margin-left:50.4pt;margin-top:43.2pt;width:21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" o:allowincell="f" filled="f" strokeweight="1pt">
                      <v:textbox inset="1pt,1pt,1pt,1pt">
                        <w:txbxContent>
                          <w:p w:rsidR="00D47EE5" w:rsidRDefault="00D47EE5" w:rsidP="00D47EE5">
                            <w:pPr>
                              <w:spacing w:before="80"/>
                              <w:jc w:val="center"/>
                            </w:pPr>
                            <w:r>
                              <w:rPr>
                                <w:rFonts w:ascii="Peterburg" w:hAnsi="Peterburg" w:cs="Peterburg"/>
                                <w:sz w:val="19"/>
                                <w:szCs w:val="19"/>
                              </w:rPr>
                              <w:t>01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2867" w:type="dxa"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85" w:type="dxa"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EE5" w:rsidRDefault="00D47EE5">
            <w:pPr>
              <w:overflowPunct/>
              <w:autoSpaceDE/>
              <w:autoSpaceDN/>
              <w:adjustRightInd/>
              <w:rPr>
                <w:color w:val="000000"/>
                <w:sz w:val="19"/>
                <w:szCs w:val="19"/>
              </w:rPr>
            </w:pPr>
          </w:p>
        </w:tc>
        <w:tc>
          <w:tcPr>
            <w:tcW w:w="485" w:type="dxa"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EE5" w:rsidRDefault="00D47EE5">
            <w:pPr>
              <w:overflowPunct/>
              <w:autoSpaceDE/>
              <w:autoSpaceDN/>
              <w:adjustRightInd/>
              <w:rPr>
                <w:color w:val="000000"/>
                <w:sz w:val="19"/>
                <w:szCs w:val="19"/>
              </w:rPr>
            </w:pPr>
          </w:p>
        </w:tc>
      </w:tr>
      <w:tr w:rsidR="00D47EE5" w:rsidTr="00D47EE5">
        <w:trPr>
          <w:cantSplit/>
        </w:trPr>
        <w:tc>
          <w:tcPr>
            <w:tcW w:w="1008" w:type="dxa"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67" w:type="dxa"/>
            <w:hideMark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Регистрация НИОКР</w:t>
            </w:r>
          </w:p>
        </w:tc>
        <w:tc>
          <w:tcPr>
            <w:tcW w:w="485" w:type="dxa"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EE5" w:rsidRDefault="00D47EE5">
            <w:pPr>
              <w:overflowPunct/>
              <w:autoSpaceDE/>
              <w:autoSpaceDN/>
              <w:adjustRightInd/>
              <w:rPr>
                <w:color w:val="000000"/>
                <w:sz w:val="19"/>
                <w:szCs w:val="19"/>
              </w:rPr>
            </w:pPr>
          </w:p>
        </w:tc>
        <w:tc>
          <w:tcPr>
            <w:tcW w:w="485" w:type="dxa"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EE5" w:rsidRDefault="00D47EE5">
            <w:pPr>
              <w:overflowPunct/>
              <w:autoSpaceDE/>
              <w:autoSpaceDN/>
              <w:adjustRightInd/>
              <w:rPr>
                <w:color w:val="000000"/>
                <w:sz w:val="19"/>
                <w:szCs w:val="19"/>
              </w:rPr>
            </w:pPr>
          </w:p>
        </w:tc>
      </w:tr>
    </w:tbl>
    <w:p w:rsidR="00D47EE5" w:rsidRDefault="00D47EE5" w:rsidP="00D47EE5">
      <w:pPr>
        <w:rPr>
          <w:color w:val="000000"/>
          <w:sz w:val="19"/>
          <w:szCs w:val="19"/>
        </w:rPr>
      </w:pPr>
    </w:p>
    <w:tbl>
      <w:tblPr>
        <w:tblW w:w="0" w:type="dxa"/>
        <w:tblInd w:w="6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410"/>
        <w:gridCol w:w="697"/>
        <w:gridCol w:w="2867"/>
        <w:gridCol w:w="2803"/>
      </w:tblGrid>
      <w:tr w:rsidR="00D47EE5" w:rsidTr="00D47EE5">
        <w:tc>
          <w:tcPr>
            <w:tcW w:w="4410" w:type="dxa"/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5517 Регистрационный номер изменяемой РК</w:t>
            </w:r>
          </w:p>
        </w:tc>
        <w:tc>
          <w:tcPr>
            <w:tcW w:w="697" w:type="dxa"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5670" w:type="dxa"/>
            <w:gridSpan w:val="2"/>
            <w:hideMark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Сроки выполнения работы</w:t>
            </w:r>
          </w:p>
        </w:tc>
      </w:tr>
      <w:tr w:rsidR="00D47EE5" w:rsidTr="00D47EE5">
        <w:trPr>
          <w:cantSplit/>
        </w:trPr>
        <w:tc>
          <w:tcPr>
            <w:tcW w:w="4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697" w:type="dxa"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2867" w:type="dxa"/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7353 Начало</w:t>
            </w:r>
          </w:p>
        </w:tc>
        <w:tc>
          <w:tcPr>
            <w:tcW w:w="2803" w:type="dxa"/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7362 Окончание</w:t>
            </w:r>
          </w:p>
        </w:tc>
      </w:tr>
      <w:tr w:rsidR="00D47EE5" w:rsidTr="00D47EE5">
        <w:trPr>
          <w:cantSplit/>
          <w:trHeight w:hRule="exact" w:val="360"/>
        </w:trPr>
        <w:tc>
          <w:tcPr>
            <w:tcW w:w="4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EE5" w:rsidRDefault="00D47EE5">
            <w:pPr>
              <w:overflowPunct/>
              <w:autoSpaceDE/>
              <w:autoSpaceDN/>
              <w:adjustRightInd/>
              <w:rPr>
                <w:color w:val="000000"/>
                <w:sz w:val="19"/>
                <w:szCs w:val="19"/>
              </w:rPr>
            </w:pPr>
          </w:p>
        </w:tc>
        <w:tc>
          <w:tcPr>
            <w:tcW w:w="697" w:type="dxa"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Сентябрь 202</w:t>
            </w:r>
            <w:r>
              <w:rPr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color w:val="000000"/>
                <w:sz w:val="19"/>
                <w:szCs w:val="19"/>
              </w:rPr>
              <w:t>г.</w:t>
            </w:r>
          </w:p>
        </w:tc>
        <w:tc>
          <w:tcPr>
            <w:tcW w:w="2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Май 202</w:t>
            </w:r>
            <w:r>
              <w:rPr>
                <w:color w:val="000000"/>
                <w:sz w:val="19"/>
                <w:szCs w:val="19"/>
                <w:lang w:val="en-US"/>
              </w:rPr>
              <w:t>5</w:t>
            </w:r>
            <w:r>
              <w:rPr>
                <w:color w:val="000000"/>
                <w:sz w:val="19"/>
                <w:szCs w:val="19"/>
              </w:rPr>
              <w:t>г.</w:t>
            </w:r>
          </w:p>
        </w:tc>
      </w:tr>
    </w:tbl>
    <w:p w:rsidR="00D47EE5" w:rsidRDefault="00D47EE5" w:rsidP="00D47EE5">
      <w:pPr>
        <w:rPr>
          <w:color w:val="000000"/>
          <w:sz w:val="19"/>
          <w:szCs w:val="19"/>
        </w:rPr>
      </w:pPr>
    </w:p>
    <w:tbl>
      <w:tblPr>
        <w:tblW w:w="0" w:type="dxa"/>
        <w:tblInd w:w="6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540"/>
        <w:gridCol w:w="2977"/>
        <w:gridCol w:w="3260"/>
      </w:tblGrid>
      <w:tr w:rsidR="00D47EE5" w:rsidTr="00D47EE5">
        <w:tc>
          <w:tcPr>
            <w:tcW w:w="4540" w:type="dxa"/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7146  </w:t>
            </w:r>
            <w:r>
              <w:rPr>
                <w:color w:val="000000"/>
                <w:spacing w:val="20"/>
                <w:sz w:val="19"/>
                <w:szCs w:val="19"/>
              </w:rPr>
              <w:t>Основание для проведения НИОКР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07 </w:t>
            </w:r>
            <w:r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20"/>
                <w:sz w:val="19"/>
                <w:szCs w:val="19"/>
              </w:rPr>
              <w:t>Федеральная целевая НТ программа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pacing w:val="2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25 </w:t>
            </w:r>
            <w:r>
              <w:rPr>
                <w:i/>
                <w:iCs/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20"/>
                <w:sz w:val="19"/>
                <w:szCs w:val="19"/>
              </w:rPr>
              <w:t>Межгосударственная программа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 61 </w:t>
            </w:r>
            <w:r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20"/>
                <w:sz w:val="19"/>
                <w:szCs w:val="19"/>
              </w:rPr>
              <w:t>Региональная программа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 34 </w:t>
            </w:r>
            <w:r>
              <w:rPr>
                <w:i/>
                <w:iCs/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20"/>
                <w:sz w:val="19"/>
                <w:szCs w:val="19"/>
              </w:rPr>
              <w:t>Задание министерства (ведомства)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z w:val="19"/>
                <w:szCs w:val="19"/>
                <w:u w:val="single"/>
              </w:rPr>
            </w:pPr>
            <w:r>
              <w:rPr>
                <w:i/>
                <w:iCs/>
                <w:color w:val="000000"/>
                <w:sz w:val="19"/>
                <w:szCs w:val="19"/>
                <w:u w:val="single"/>
              </w:rPr>
              <w:t xml:space="preserve">   </w:t>
            </w:r>
            <w:r>
              <w:rPr>
                <w:color w:val="000000"/>
                <w:sz w:val="19"/>
                <w:szCs w:val="19"/>
                <w:u w:val="single"/>
              </w:rPr>
              <w:t>52  </w:t>
            </w:r>
            <w:r>
              <w:rPr>
                <w:color w:val="000000"/>
                <w:spacing w:val="20"/>
                <w:sz w:val="19"/>
                <w:szCs w:val="19"/>
                <w:u w:val="single"/>
              </w:rPr>
              <w:t>Договор с организацией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pacing w:val="20"/>
                <w:sz w:val="19"/>
                <w:szCs w:val="19"/>
                <w:u w:val="single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 xml:space="preserve">   43</w:t>
            </w:r>
            <w:r>
              <w:rPr>
                <w:i/>
                <w:iCs/>
                <w:color w:val="000000"/>
                <w:sz w:val="19"/>
                <w:szCs w:val="19"/>
                <w:u w:val="single"/>
              </w:rPr>
              <w:t xml:space="preserve">  </w:t>
            </w:r>
            <w:r>
              <w:rPr>
                <w:color w:val="000000"/>
                <w:spacing w:val="20"/>
                <w:sz w:val="19"/>
                <w:szCs w:val="19"/>
                <w:u w:val="single"/>
              </w:rPr>
              <w:t>Инициативная</w:t>
            </w:r>
          </w:p>
          <w:p w:rsidR="00D47EE5" w:rsidRDefault="00D47EE5">
            <w:pPr>
              <w:spacing w:before="60"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2977" w:type="dxa"/>
            <w:hideMark/>
          </w:tcPr>
          <w:p w:rsidR="00D47EE5" w:rsidRDefault="00D47EE5">
            <w:pPr>
              <w:spacing w:before="60"/>
              <w:rPr>
                <w:color w:val="000000"/>
                <w:spacing w:val="2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7137 </w:t>
            </w:r>
            <w:r>
              <w:rPr>
                <w:color w:val="000000"/>
                <w:spacing w:val="20"/>
                <w:sz w:val="19"/>
                <w:szCs w:val="19"/>
              </w:rPr>
              <w:t xml:space="preserve"> Источники </w:t>
            </w:r>
          </w:p>
          <w:p w:rsidR="00D47EE5" w:rsidRDefault="00D47EE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20"/>
                <w:sz w:val="19"/>
                <w:szCs w:val="19"/>
              </w:rPr>
              <w:t xml:space="preserve">      финансирования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13</w:t>
            </w:r>
            <w:r>
              <w:rPr>
                <w:i/>
                <w:iCs/>
                <w:color w:val="000000"/>
                <w:sz w:val="19"/>
                <w:szCs w:val="19"/>
              </w:rPr>
              <w:t xml:space="preserve">  </w:t>
            </w:r>
            <w:r>
              <w:rPr>
                <w:color w:val="000000"/>
                <w:spacing w:val="20"/>
                <w:sz w:val="19"/>
                <w:szCs w:val="19"/>
              </w:rPr>
              <w:t>Средства госбюджета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 22</w:t>
            </w:r>
            <w:r>
              <w:rPr>
                <w:i/>
                <w:iCs/>
                <w:color w:val="000000"/>
                <w:sz w:val="19"/>
                <w:szCs w:val="19"/>
              </w:rPr>
              <w:t xml:space="preserve">  </w:t>
            </w:r>
            <w:r>
              <w:rPr>
                <w:color w:val="000000"/>
                <w:spacing w:val="20"/>
                <w:sz w:val="19"/>
                <w:szCs w:val="19"/>
              </w:rPr>
              <w:t>Средства заказчика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 xml:space="preserve"> 04</w:t>
            </w:r>
            <w:r>
              <w:rPr>
                <w:i/>
                <w:iCs/>
                <w:color w:val="000000"/>
                <w:sz w:val="19"/>
                <w:szCs w:val="19"/>
              </w:rPr>
              <w:t> </w:t>
            </w:r>
            <w:r>
              <w:rPr>
                <w:i/>
                <w:iCs/>
                <w:color w:val="000000"/>
                <w:spacing w:val="20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20"/>
                <w:sz w:val="19"/>
                <w:szCs w:val="19"/>
              </w:rPr>
              <w:t>Собственные средства</w:t>
            </w:r>
          </w:p>
          <w:p w:rsidR="00D47EE5" w:rsidRDefault="00D47EE5">
            <w:pPr>
              <w:spacing w:before="60"/>
              <w:rPr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 xml:space="preserve">31  </w:t>
            </w:r>
            <w:r>
              <w:rPr>
                <w:color w:val="000000"/>
                <w:spacing w:val="20"/>
                <w:sz w:val="19"/>
                <w:szCs w:val="19"/>
              </w:rPr>
              <w:t>Прочие</w:t>
            </w:r>
          </w:p>
        </w:tc>
        <w:tc>
          <w:tcPr>
            <w:tcW w:w="3260" w:type="dxa"/>
            <w:hideMark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7191  </w:t>
            </w:r>
            <w:r>
              <w:rPr>
                <w:color w:val="000000"/>
                <w:spacing w:val="20"/>
                <w:sz w:val="19"/>
                <w:szCs w:val="19"/>
              </w:rPr>
              <w:t>Вид работы</w:t>
            </w:r>
          </w:p>
          <w:p w:rsidR="00D47EE5" w:rsidRDefault="00D47EE5">
            <w:pPr>
              <w:spacing w:before="60"/>
              <w:rPr>
                <w:color w:val="000000"/>
                <w:sz w:val="19"/>
                <w:szCs w:val="19"/>
                <w:u w:val="single"/>
              </w:rPr>
            </w:pPr>
            <w:r>
              <w:rPr>
                <w:color w:val="000000"/>
                <w:sz w:val="19"/>
                <w:szCs w:val="19"/>
              </w:rPr>
              <w:t>   </w:t>
            </w:r>
            <w:r>
              <w:rPr>
                <w:color w:val="000000"/>
                <w:sz w:val="19"/>
                <w:szCs w:val="19"/>
                <w:u w:val="single"/>
              </w:rPr>
              <w:t>39  </w:t>
            </w:r>
            <w:r>
              <w:rPr>
                <w:color w:val="000000"/>
                <w:spacing w:val="20"/>
                <w:sz w:val="19"/>
                <w:szCs w:val="19"/>
                <w:u w:val="single"/>
              </w:rPr>
              <w:t>НИР фундаментальная</w:t>
            </w:r>
            <w:r>
              <w:rPr>
                <w:i/>
                <w:iCs/>
                <w:color w:val="000000"/>
                <w:spacing w:val="20"/>
                <w:sz w:val="19"/>
                <w:szCs w:val="19"/>
                <w:u w:val="single"/>
              </w:rPr>
              <w:t xml:space="preserve">     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pacing w:val="2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   </w:t>
            </w:r>
            <w:r>
              <w:rPr>
                <w:color w:val="000000"/>
                <w:sz w:val="19"/>
                <w:szCs w:val="19"/>
              </w:rPr>
              <w:t>48</w:t>
            </w:r>
            <w:r>
              <w:rPr>
                <w:i/>
                <w:iCs/>
                <w:color w:val="000000"/>
                <w:sz w:val="19"/>
                <w:szCs w:val="19"/>
              </w:rPr>
              <w:t xml:space="preserve">  </w:t>
            </w:r>
            <w:r>
              <w:rPr>
                <w:color w:val="000000"/>
                <w:spacing w:val="20"/>
                <w:sz w:val="19"/>
                <w:szCs w:val="19"/>
              </w:rPr>
              <w:t>НИР прикладная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   </w:t>
            </w:r>
            <w:r>
              <w:rPr>
                <w:color w:val="000000"/>
                <w:sz w:val="19"/>
                <w:szCs w:val="19"/>
              </w:rPr>
              <w:t>57 </w:t>
            </w:r>
            <w:r>
              <w:rPr>
                <w:color w:val="000000"/>
                <w:spacing w:val="20"/>
                <w:sz w:val="19"/>
                <w:szCs w:val="19"/>
              </w:rPr>
              <w:t xml:space="preserve"> ОКР, ПКР, ПТР</w:t>
            </w:r>
          </w:p>
          <w:p w:rsidR="00D47EE5" w:rsidRDefault="00D47EE5">
            <w:pPr>
              <w:spacing w:before="120"/>
              <w:rPr>
                <w:color w:val="000000"/>
                <w:spacing w:val="2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7380  П</w:t>
            </w:r>
            <w:r>
              <w:rPr>
                <w:color w:val="000000"/>
                <w:spacing w:val="20"/>
                <w:sz w:val="19"/>
                <w:szCs w:val="19"/>
              </w:rPr>
              <w:t>ланируемый</w:t>
            </w:r>
          </w:p>
          <w:p w:rsidR="00D47EE5" w:rsidRDefault="00D47EE5">
            <w:pPr>
              <w:spacing w:before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20"/>
                <w:sz w:val="19"/>
                <w:szCs w:val="19"/>
              </w:rPr>
              <w:t xml:space="preserve">      результат НИОКР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  27  </w:t>
            </w:r>
            <w:r>
              <w:rPr>
                <w:color w:val="000000"/>
                <w:spacing w:val="20"/>
                <w:sz w:val="19"/>
                <w:szCs w:val="19"/>
              </w:rPr>
              <w:t>Отчет о НИОКР</w:t>
            </w:r>
          </w:p>
          <w:p w:rsidR="00D47EE5" w:rsidRDefault="00D47EE5">
            <w:pPr>
              <w:spacing w:before="60"/>
              <w:rPr>
                <w:i/>
                <w:iCs/>
                <w:color w:val="000000"/>
                <w:spacing w:val="2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  36</w:t>
            </w:r>
            <w:r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 </w:t>
            </w:r>
            <w:r>
              <w:rPr>
                <w:color w:val="000000"/>
                <w:spacing w:val="20"/>
                <w:sz w:val="19"/>
                <w:szCs w:val="19"/>
              </w:rPr>
              <w:t>Техническая</w:t>
            </w:r>
            <w:r>
              <w:rPr>
                <w:i/>
                <w:iCs/>
                <w:color w:val="000000"/>
                <w:spacing w:val="20"/>
                <w:sz w:val="19"/>
                <w:szCs w:val="19"/>
              </w:rPr>
              <w:t xml:space="preserve"> </w:t>
            </w:r>
          </w:p>
          <w:p w:rsidR="00D47EE5" w:rsidRDefault="00D47EE5">
            <w:pPr>
              <w:spacing w:before="60"/>
              <w:rPr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20"/>
                <w:sz w:val="19"/>
                <w:szCs w:val="19"/>
              </w:rPr>
              <w:t xml:space="preserve">       </w:t>
            </w:r>
            <w:r>
              <w:rPr>
                <w:color w:val="000000"/>
                <w:spacing w:val="20"/>
                <w:sz w:val="19"/>
                <w:szCs w:val="19"/>
              </w:rPr>
              <w:t>документация</w:t>
            </w:r>
          </w:p>
        </w:tc>
      </w:tr>
      <w:tr w:rsidR="00D47EE5" w:rsidTr="00D47EE5">
        <w:tc>
          <w:tcPr>
            <w:tcW w:w="4540" w:type="dxa"/>
            <w:hideMark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7020 Шифр федеральной целевой </w:t>
            </w:r>
            <w:r>
              <w:rPr>
                <w:color w:val="000000"/>
                <w:sz w:val="19"/>
                <w:szCs w:val="19"/>
              </w:rPr>
              <w:br/>
              <w:t xml:space="preserve">       научно-технической программы</w:t>
            </w:r>
          </w:p>
        </w:tc>
        <w:tc>
          <w:tcPr>
            <w:tcW w:w="2977" w:type="dxa"/>
          </w:tcPr>
          <w:p w:rsidR="00D47EE5" w:rsidRDefault="00D47EE5">
            <w:pPr>
              <w:spacing w:before="60"/>
              <w:rPr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hideMark/>
          </w:tcPr>
          <w:p w:rsidR="00D47EE5" w:rsidRDefault="00D47EE5">
            <w:pPr>
              <w:spacing w:before="60"/>
              <w:ind w:left="216"/>
              <w:rPr>
                <w:color w:val="000000"/>
                <w:sz w:val="19"/>
                <w:szCs w:val="19"/>
                <w:u w:val="single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>45</w:t>
            </w:r>
            <w:r>
              <w:rPr>
                <w:i/>
                <w:iCs/>
                <w:color w:val="000000"/>
                <w:sz w:val="19"/>
                <w:szCs w:val="19"/>
                <w:u w:val="single"/>
              </w:rPr>
              <w:t xml:space="preserve">  </w:t>
            </w:r>
            <w:r>
              <w:rPr>
                <w:color w:val="000000"/>
                <w:spacing w:val="20"/>
                <w:sz w:val="19"/>
                <w:szCs w:val="19"/>
                <w:u w:val="single"/>
              </w:rPr>
              <w:t>Публикация</w:t>
            </w:r>
            <w:r>
              <w:rPr>
                <w:color w:val="000000"/>
                <w:u w:val="single"/>
              </w:rPr>
              <w:t> </w:t>
            </w:r>
          </w:p>
        </w:tc>
      </w:tr>
      <w:tr w:rsidR="00D47EE5" w:rsidTr="00D47EE5">
        <w:trPr>
          <w:trHeight w:hRule="exact" w:val="360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</w:p>
        </w:tc>
        <w:tc>
          <w:tcPr>
            <w:tcW w:w="2977" w:type="dxa"/>
          </w:tcPr>
          <w:p w:rsidR="00D47EE5" w:rsidRDefault="00D47EE5">
            <w:pPr>
              <w:spacing w:before="60"/>
              <w:rPr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  <w:hideMark/>
          </w:tcPr>
          <w:p w:rsidR="00D47EE5" w:rsidRDefault="00D47EE5">
            <w:pPr>
              <w:rPr>
                <w:color w:val="000000"/>
                <w:sz w:val="19"/>
                <w:szCs w:val="19"/>
                <w:u w:val="single"/>
              </w:rPr>
            </w:pPr>
            <w:r>
              <w:rPr>
                <w:color w:val="000000"/>
                <w:u w:val="single"/>
              </w:rPr>
              <w:t>     </w:t>
            </w:r>
            <w:r>
              <w:rPr>
                <w:color w:val="000000"/>
                <w:sz w:val="19"/>
                <w:szCs w:val="19"/>
                <w:u w:val="single"/>
              </w:rPr>
              <w:t>54  </w:t>
            </w:r>
            <w:r>
              <w:rPr>
                <w:color w:val="000000"/>
                <w:spacing w:val="20"/>
                <w:sz w:val="19"/>
                <w:szCs w:val="19"/>
                <w:u w:val="single"/>
              </w:rPr>
              <w:t>Прочее</w:t>
            </w:r>
          </w:p>
        </w:tc>
      </w:tr>
    </w:tbl>
    <w:p w:rsidR="00D47EE5" w:rsidRDefault="00D47EE5" w:rsidP="00D47EE5">
      <w:pPr>
        <w:pStyle w:val="a4"/>
        <w:spacing w:before="12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Сведения об организации-исполнителе</w:t>
      </w:r>
    </w:p>
    <w:tbl>
      <w:tblPr>
        <w:tblW w:w="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2122"/>
        <w:gridCol w:w="5267"/>
      </w:tblGrid>
      <w:tr w:rsidR="00D47EE5" w:rsidTr="00D47EE5">
        <w:tc>
          <w:tcPr>
            <w:tcW w:w="1728" w:type="dxa"/>
            <w:hideMark/>
          </w:tcPr>
          <w:p w:rsidR="00D47EE5" w:rsidRDefault="00D47EE5">
            <w:pPr>
              <w:spacing w:before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2457 Код ОКПО</w:t>
            </w:r>
          </w:p>
        </w:tc>
        <w:tc>
          <w:tcPr>
            <w:tcW w:w="1728" w:type="dxa"/>
            <w:hideMark/>
          </w:tcPr>
          <w:p w:rsidR="00D47EE5" w:rsidRDefault="00D47EE5">
            <w:pPr>
              <w:spacing w:before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2934 Телефон</w:t>
            </w:r>
          </w:p>
        </w:tc>
        <w:tc>
          <w:tcPr>
            <w:tcW w:w="2122" w:type="dxa"/>
            <w:hideMark/>
          </w:tcPr>
          <w:p w:rsidR="00D47EE5" w:rsidRDefault="00D47EE5">
            <w:pPr>
              <w:spacing w:before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2394 Телефакс</w:t>
            </w:r>
          </w:p>
        </w:tc>
        <w:tc>
          <w:tcPr>
            <w:tcW w:w="5267" w:type="dxa"/>
            <w:hideMark/>
          </w:tcPr>
          <w:p w:rsidR="00D47EE5" w:rsidRDefault="00D47EE5">
            <w:pPr>
              <w:spacing w:before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2754 Город</w:t>
            </w:r>
          </w:p>
        </w:tc>
      </w:tr>
      <w:tr w:rsidR="00D47EE5" w:rsidTr="00D47EE5">
        <w:trPr>
          <w:trHeight w:hRule="exact" w:val="36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01962882</w:t>
            </w:r>
          </w:p>
          <w:p w:rsidR="00D47EE5" w:rsidRDefault="00D47EE5">
            <w:pPr>
              <w:spacing w:after="60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02067942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(391)220-13-95</w:t>
            </w:r>
          </w:p>
          <w:p w:rsidR="00D47EE5" w:rsidRDefault="00D47EE5">
            <w:pPr>
              <w:spacing w:after="60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(391)228-08-60</w:t>
            </w:r>
          </w:p>
          <w:p w:rsidR="00D47EE5" w:rsidRDefault="00D47EE5">
            <w:pPr>
              <w:rPr>
                <w:color w:val="000000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Красноярск</w:t>
            </w:r>
          </w:p>
        </w:tc>
      </w:tr>
    </w:tbl>
    <w:p w:rsidR="00D47EE5" w:rsidRDefault="00D47EE5" w:rsidP="00D47EE5">
      <w:pPr>
        <w:rPr>
          <w:color w:val="000000"/>
        </w:rPr>
      </w:pPr>
    </w:p>
    <w:tbl>
      <w:tblPr>
        <w:tblW w:w="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056"/>
        <w:gridCol w:w="448"/>
        <w:gridCol w:w="3341"/>
      </w:tblGrid>
      <w:tr w:rsidR="00D47EE5" w:rsidTr="00D47EE5">
        <w:tc>
          <w:tcPr>
            <w:tcW w:w="7056" w:type="dxa"/>
            <w:hideMark/>
          </w:tcPr>
          <w:p w:rsidR="00D47EE5" w:rsidRDefault="00D47EE5">
            <w:pPr>
              <w:spacing w:before="60"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1332 Сокращенное наименование министерства (ведомства)</w:t>
            </w:r>
          </w:p>
        </w:tc>
        <w:tc>
          <w:tcPr>
            <w:tcW w:w="448" w:type="dxa"/>
          </w:tcPr>
          <w:p w:rsidR="00D47EE5" w:rsidRDefault="00D47EE5">
            <w:pPr>
              <w:spacing w:before="60"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3341" w:type="dxa"/>
            <w:hideMark/>
          </w:tcPr>
          <w:p w:rsidR="00D47EE5" w:rsidRDefault="00D47EE5">
            <w:pPr>
              <w:spacing w:before="60"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2403 Код ВНТИЦ</w:t>
            </w:r>
          </w:p>
        </w:tc>
      </w:tr>
      <w:tr w:rsidR="00D47EE5" w:rsidTr="00D47EE5">
        <w:trPr>
          <w:trHeight w:hRule="exact" w:val="360"/>
        </w:trPr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Минздрав России</w:t>
            </w:r>
          </w:p>
        </w:tc>
        <w:tc>
          <w:tcPr>
            <w:tcW w:w="448" w:type="dxa"/>
          </w:tcPr>
          <w:p w:rsidR="00D47EE5" w:rsidRDefault="00D47EE5">
            <w:pPr>
              <w:spacing w:before="60"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spacing w:before="60" w:after="60"/>
              <w:rPr>
                <w:color w:val="000000"/>
                <w:sz w:val="19"/>
                <w:szCs w:val="19"/>
              </w:rPr>
            </w:pPr>
          </w:p>
        </w:tc>
      </w:tr>
    </w:tbl>
    <w:p w:rsidR="00D47EE5" w:rsidRDefault="00D47EE5" w:rsidP="00D47EE5">
      <w:pPr>
        <w:spacing w:before="120" w:after="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2151 Полное наименование организации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3"/>
      </w:tblGrid>
      <w:tr w:rsidR="00D47EE5" w:rsidTr="00D47EE5">
        <w:trPr>
          <w:trHeight w:val="751"/>
        </w:trPr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 xml:space="preserve">ФГБОУ ВО «Красноярский государственный медицинский университет </w:t>
            </w:r>
          </w:p>
          <w:p w:rsidR="00D47EE5" w:rsidRDefault="00D47E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имени профессора В.Ф. Войно-Ясенецкого» Министерства здравоохранения Российской Федерации</w:t>
            </w:r>
          </w:p>
        </w:tc>
      </w:tr>
    </w:tbl>
    <w:p w:rsidR="00D47EE5" w:rsidRDefault="00D47EE5" w:rsidP="00D47EE5">
      <w:pPr>
        <w:rPr>
          <w:color w:val="000000"/>
          <w:sz w:val="19"/>
          <w:szCs w:val="19"/>
        </w:rPr>
      </w:pPr>
    </w:p>
    <w:tbl>
      <w:tblPr>
        <w:tblW w:w="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62"/>
        <w:gridCol w:w="230"/>
        <w:gridCol w:w="5953"/>
      </w:tblGrid>
      <w:tr w:rsidR="00D47EE5" w:rsidTr="00D47EE5">
        <w:trPr>
          <w:trHeight w:hRule="exact" w:val="823"/>
        </w:trPr>
        <w:tc>
          <w:tcPr>
            <w:tcW w:w="4662" w:type="dxa"/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2358 Сокращенное наименование организации</w:t>
            </w:r>
          </w:p>
        </w:tc>
        <w:tc>
          <w:tcPr>
            <w:tcW w:w="230" w:type="dxa"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pStyle w:val="1"/>
              <w:rPr>
                <w:b w:val="0"/>
                <w:color w:val="000000"/>
              </w:rPr>
            </w:pPr>
            <w:r>
              <w:rPr>
                <w:color w:val="000000"/>
              </w:rPr>
              <w:t>ФГБОУ ВО КрасГМУ им. проф. В.Ф.Войно-Ясенецкого Минздрава России</w:t>
            </w:r>
          </w:p>
        </w:tc>
      </w:tr>
    </w:tbl>
    <w:p w:rsidR="00D47EE5" w:rsidRDefault="00D47EE5" w:rsidP="00D47EE5">
      <w:pPr>
        <w:spacing w:before="120" w:after="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2655 Адрес организации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3"/>
      </w:tblGrid>
      <w:tr w:rsidR="00D47EE5" w:rsidTr="00D47EE5">
        <w:trPr>
          <w:trHeight w:val="709"/>
        </w:trPr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660022   г. Красноярск, ул. П/Железняка, 1.</w:t>
            </w:r>
          </w:p>
          <w:p w:rsidR="00D47EE5" w:rsidRDefault="00D47E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Научно-организационный отдел</w:t>
            </w:r>
          </w:p>
        </w:tc>
      </w:tr>
    </w:tbl>
    <w:p w:rsidR="00D47EE5" w:rsidRDefault="00D47EE5" w:rsidP="00D47EE5">
      <w:pPr>
        <w:spacing w:before="120" w:after="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2142 Организации-соисполнители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3"/>
      </w:tblGrid>
      <w:tr w:rsidR="00D47EE5" w:rsidTr="00D47EE5">
        <w:trPr>
          <w:trHeight w:val="1013"/>
        </w:trPr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D47EE5" w:rsidRDefault="00D47EE5" w:rsidP="00D47EE5">
      <w:pPr>
        <w:spacing w:before="120" w:after="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9126 Заказчик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3"/>
      </w:tblGrid>
      <w:tr w:rsidR="00D47EE5" w:rsidTr="00D47EE5">
        <w:trPr>
          <w:trHeight w:val="975"/>
        </w:trPr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D47EE5" w:rsidRDefault="00D47EE5" w:rsidP="00D47EE5">
      <w:pPr>
        <w:spacing w:after="60"/>
        <w:rPr>
          <w:color w:val="000000"/>
          <w:sz w:val="19"/>
          <w:szCs w:val="19"/>
          <w:lang w:val="en-US"/>
        </w:rPr>
      </w:pPr>
    </w:p>
    <w:p w:rsidR="00D47EE5" w:rsidRDefault="00D47EE5" w:rsidP="00D47EE5">
      <w:pPr>
        <w:spacing w:after="60"/>
        <w:rPr>
          <w:color w:val="000000"/>
          <w:sz w:val="19"/>
          <w:szCs w:val="19"/>
          <w:lang w:val="en-US"/>
        </w:rPr>
      </w:pPr>
    </w:p>
    <w:p w:rsidR="00D47EE5" w:rsidRDefault="00D47EE5" w:rsidP="00D47EE5">
      <w:pPr>
        <w:spacing w:after="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9027 Наименование работы                                           Шифр работы, присвоенный организацией _____________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3"/>
      </w:tblGrid>
      <w:tr w:rsidR="00D47EE5" w:rsidTr="00D47EE5">
        <w:trPr>
          <w:trHeight w:val="1695"/>
        </w:trPr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Ближайшие и отдаленные результаты полного традиционного и бимаммарного коронарного шунтирования у пациентов с многососудистым коронарным поражением</w:t>
            </w:r>
          </w:p>
        </w:tc>
      </w:tr>
    </w:tbl>
    <w:p w:rsidR="00D47EE5" w:rsidRDefault="00D47EE5" w:rsidP="00D47EE5">
      <w:pPr>
        <w:spacing w:before="120" w:after="1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9117 Аннотация</w:t>
      </w:r>
    </w:p>
    <w:tbl>
      <w:tblPr>
        <w:tblW w:w="0" w:type="dxa"/>
        <w:tblInd w:w="-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440"/>
        <w:gridCol w:w="270"/>
        <w:gridCol w:w="1440"/>
        <w:gridCol w:w="1008"/>
        <w:gridCol w:w="225"/>
        <w:gridCol w:w="115"/>
        <w:gridCol w:w="920"/>
        <w:gridCol w:w="432"/>
        <w:gridCol w:w="270"/>
        <w:gridCol w:w="999"/>
        <w:gridCol w:w="1134"/>
      </w:tblGrid>
      <w:tr w:rsidR="00D47EE5" w:rsidTr="00D47EE5">
        <w:trPr>
          <w:trHeight w:val="5593"/>
        </w:trPr>
        <w:tc>
          <w:tcPr>
            <w:tcW w:w="1084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47EE5" w:rsidRDefault="00D47EE5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Объект ис</w:t>
            </w:r>
            <w:r>
              <w:rPr>
                <w:b/>
                <w:color w:val="000000"/>
                <w:sz w:val="28"/>
                <w:lang w:val="en-US"/>
              </w:rPr>
              <w:t>c</w:t>
            </w:r>
            <w:r>
              <w:rPr>
                <w:b/>
                <w:color w:val="000000"/>
                <w:sz w:val="28"/>
              </w:rPr>
              <w:t>ледования</w:t>
            </w:r>
            <w:r>
              <w:rPr>
                <w:color w:val="000000"/>
                <w:sz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356 пациентов с ИБС после коронарного шунтирования, из них, 178 пациентов, которым выполнена полная бимаммарная реваскуляризация миокарда и 178 пациентов, прооперированных методикой традиционного коронарного шунтирования (контрольная группа). </w:t>
            </w:r>
          </w:p>
          <w:p w:rsidR="00D47EE5" w:rsidRDefault="00D47EE5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 xml:space="preserve"> Цель исследования</w:t>
            </w:r>
            <w:r>
              <w:rPr>
                <w:color w:val="000000"/>
                <w:sz w:val="28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Изучить </w:t>
            </w:r>
            <w:r>
              <w:rPr>
                <w:color w:val="000000"/>
                <w:sz w:val="28"/>
                <w:szCs w:val="28"/>
              </w:rPr>
              <w:t xml:space="preserve">ближайшие и отдаленные результаты </w:t>
            </w:r>
            <w:r>
              <w:rPr>
                <w:rFonts w:eastAsia="+mj-ea"/>
                <w:color w:val="000000"/>
                <w:kern w:val="24"/>
                <w:sz w:val="28"/>
                <w:szCs w:val="28"/>
              </w:rPr>
              <w:t>полного традиционного и бимаммарного шунтирования у пациентов с многососудистым коронарным поражением</w:t>
            </w:r>
            <w:r>
              <w:rPr>
                <w:color w:val="000000"/>
                <w:kern w:val="24"/>
                <w:sz w:val="28"/>
                <w:szCs w:val="28"/>
              </w:rPr>
              <w:t>.</w:t>
            </w:r>
          </w:p>
          <w:p w:rsidR="00D47EE5" w:rsidRDefault="00D47E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 xml:space="preserve"> Ожидаемые результаты</w:t>
            </w:r>
            <w:r>
              <w:rPr>
                <w:color w:val="000000"/>
                <w:sz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Хирургическая реваскуляризация миокарда с использованием обеих внутренних грудных артерий снижает частоту кардиальных осложнений и увеличивает выживаемость пациентов в отдаленном послеоперационном периоде</w:t>
            </w:r>
          </w:p>
          <w:p w:rsidR="00D47EE5" w:rsidRDefault="00D47EE5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28"/>
              </w:rPr>
              <w:t xml:space="preserve"> Возможная область применения</w:t>
            </w:r>
            <w:r>
              <w:rPr>
                <w:color w:val="000000"/>
                <w:sz w:val="28"/>
              </w:rPr>
              <w:t>: Практическое здравоохранение – кардиология, сердечно-сосудистая хирургия, терапия</w:t>
            </w:r>
          </w:p>
        </w:tc>
      </w:tr>
      <w:tr w:rsidR="00D47EE5" w:rsidTr="00D47EE5">
        <w:trPr>
          <w:trHeight w:val="360"/>
        </w:trPr>
        <w:tc>
          <w:tcPr>
            <w:tcW w:w="7090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5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5436</w:t>
            </w:r>
          </w:p>
        </w:tc>
      </w:tr>
      <w:tr w:rsidR="00D47EE5" w:rsidTr="00D47EE5">
        <w:trPr>
          <w:trHeight w:val="360"/>
        </w:trPr>
        <w:tc>
          <w:tcPr>
            <w:tcW w:w="709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rPr>
                <w:color w:val="000000"/>
                <w:sz w:val="19"/>
                <w:szCs w:val="19"/>
              </w:rPr>
            </w:pPr>
          </w:p>
        </w:tc>
      </w:tr>
      <w:tr w:rsidR="00D47EE5" w:rsidTr="00D47EE5">
        <w:tc>
          <w:tcPr>
            <w:tcW w:w="259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before="60"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3150" w:type="dxa"/>
            <w:gridSpan w:val="3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60"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Фамилия, инициалы</w:t>
            </w:r>
          </w:p>
        </w:tc>
        <w:tc>
          <w:tcPr>
            <w:tcW w:w="2268" w:type="dxa"/>
            <w:gridSpan w:val="4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60"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Должность</w:t>
            </w:r>
          </w:p>
        </w:tc>
        <w:tc>
          <w:tcPr>
            <w:tcW w:w="1701" w:type="dxa"/>
            <w:gridSpan w:val="3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60"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-20"/>
                <w:sz w:val="19"/>
                <w:szCs w:val="19"/>
              </w:rPr>
              <w:t>Уч. степень, звание</w:t>
            </w:r>
          </w:p>
        </w:tc>
        <w:tc>
          <w:tcPr>
            <w:tcW w:w="1134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60"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Подпись</w:t>
            </w:r>
            <w:r>
              <w:rPr>
                <w:color w:val="000000"/>
                <w:spacing w:val="-20"/>
                <w:sz w:val="19"/>
                <w:szCs w:val="19"/>
              </w:rPr>
              <w:t>МП</w:t>
            </w:r>
          </w:p>
        </w:tc>
      </w:tr>
      <w:tr w:rsidR="00D47EE5" w:rsidTr="00D47EE5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Руководитель организации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6111 </w:t>
            </w:r>
            <w:r>
              <w:rPr>
                <w:color w:val="000000"/>
                <w:szCs w:val="24"/>
              </w:rPr>
              <w:t>Протопопов А.В.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6311 </w:t>
            </w:r>
            <w:r>
              <w:rPr>
                <w:color w:val="000000"/>
                <w:szCs w:val="24"/>
              </w:rPr>
              <w:t>Ректор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6210 д.м.н., доцент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</w:p>
        </w:tc>
      </w:tr>
      <w:tr w:rsidR="00D47EE5" w:rsidTr="00D47EE5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Руководитель работы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6120 </w:t>
            </w:r>
            <w:r>
              <w:rPr>
                <w:color w:val="000000"/>
                <w:szCs w:val="24"/>
              </w:rPr>
              <w:t>Гринштейн Ю.И.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6320 </w:t>
            </w:r>
            <w:r>
              <w:rPr>
                <w:color w:val="000000"/>
                <w:szCs w:val="24"/>
              </w:rPr>
              <w:t>Зав. кафедрой терапии ИПО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6228 д.м.н., профессор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before="120"/>
              <w:rPr>
                <w:color w:val="000000"/>
                <w:sz w:val="19"/>
                <w:szCs w:val="19"/>
              </w:rPr>
            </w:pPr>
          </w:p>
        </w:tc>
      </w:tr>
      <w:tr w:rsidR="00D47EE5" w:rsidTr="00D47EE5">
        <w:tc>
          <w:tcPr>
            <w:tcW w:w="4032" w:type="dxa"/>
            <w:gridSpan w:val="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after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5634 Индексы УДК</w:t>
            </w:r>
          </w:p>
        </w:tc>
        <w:tc>
          <w:tcPr>
            <w:tcW w:w="27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2448" w:type="dxa"/>
            <w:gridSpan w:val="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Cs w:val="24"/>
              </w:rPr>
              <w:t>5274 Шифр геолфонда</w:t>
            </w:r>
          </w:p>
        </w:tc>
        <w:tc>
          <w:tcPr>
            <w:tcW w:w="22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1467" w:type="dxa"/>
            <w:gridSpan w:val="3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7434 Дата</w:t>
            </w:r>
          </w:p>
        </w:tc>
        <w:tc>
          <w:tcPr>
            <w:tcW w:w="27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2133" w:type="dxa"/>
            <w:gridSpan w:val="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7506 Входящий номер</w:t>
            </w:r>
          </w:p>
        </w:tc>
      </w:tr>
      <w:tr w:rsidR="00D47EE5" w:rsidTr="00D47EE5">
        <w:trPr>
          <w:trHeight w:val="360"/>
        </w:trPr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27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22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after="60"/>
              <w:rPr>
                <w:color w:val="000000"/>
              </w:rPr>
            </w:pPr>
          </w:p>
        </w:tc>
        <w:tc>
          <w:tcPr>
            <w:tcW w:w="27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after="60"/>
              <w:rPr>
                <w:color w:val="000000"/>
                <w:sz w:val="19"/>
                <w:szCs w:val="19"/>
              </w:rPr>
            </w:pP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47EE5" w:rsidRDefault="00D47EE5">
            <w:pPr>
              <w:spacing w:after="60"/>
              <w:rPr>
                <w:color w:val="000000"/>
              </w:rPr>
            </w:pPr>
          </w:p>
        </w:tc>
      </w:tr>
    </w:tbl>
    <w:p w:rsidR="00D47EE5" w:rsidRDefault="00D47EE5" w:rsidP="00D47EE5">
      <w:pPr>
        <w:spacing w:before="120" w:after="120"/>
        <w:rPr>
          <w:color w:val="000000"/>
          <w:sz w:val="20"/>
        </w:rPr>
      </w:pPr>
      <w:r>
        <w:rPr>
          <w:color w:val="000000"/>
        </w:rPr>
        <w:t>5616 Коды тематических рубрик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901"/>
        <w:gridCol w:w="288"/>
        <w:gridCol w:w="1915"/>
        <w:gridCol w:w="288"/>
        <w:gridCol w:w="1901"/>
        <w:gridCol w:w="288"/>
        <w:gridCol w:w="1915"/>
        <w:gridCol w:w="288"/>
        <w:gridCol w:w="2061"/>
      </w:tblGrid>
      <w:tr w:rsidR="00D47EE5" w:rsidTr="00D47EE5">
        <w:trPr>
          <w:trHeight w:val="180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47EE5" w:rsidRDefault="00D47EE5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76.00.00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7EE5" w:rsidRDefault="00D47EE5">
            <w:pPr>
              <w:spacing w:before="12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EE5" w:rsidRDefault="00D47EE5">
            <w:pPr>
              <w:spacing w:after="120"/>
              <w:rPr>
                <w:color w:val="00000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7EE5" w:rsidRDefault="00D47EE5">
            <w:pPr>
              <w:spacing w:before="120"/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EE5" w:rsidRDefault="00D47EE5">
            <w:pPr>
              <w:spacing w:after="120"/>
              <w:rPr>
                <w:color w:val="00000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7EE5" w:rsidRDefault="00D47EE5">
            <w:pPr>
              <w:spacing w:before="120"/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EE5" w:rsidRDefault="00D47EE5">
            <w:pPr>
              <w:spacing w:after="120"/>
              <w:rPr>
                <w:color w:val="00000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7EE5" w:rsidRDefault="00D47EE5">
            <w:pPr>
              <w:spacing w:before="120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EE5" w:rsidRDefault="00D47EE5">
            <w:pPr>
              <w:spacing w:before="120"/>
              <w:rPr>
                <w:color w:val="000000"/>
              </w:rPr>
            </w:pPr>
          </w:p>
        </w:tc>
      </w:tr>
      <w:tr w:rsidR="00D47EE5" w:rsidTr="00D47EE5">
        <w:trPr>
          <w:trHeight w:val="379"/>
        </w:trPr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sym w:font="Wingdings" w:char="F09F"/>
            </w: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sym w:font="Wingdings" w:char="F09F"/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47EE5" w:rsidRDefault="00D47EE5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sym w:font="Wingdings" w:char="F09F"/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sym w:font="Wingdings" w:char="F09F"/>
            </w: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sym w:font="Wingdings" w:char="F09F"/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47EE5" w:rsidRDefault="00D47EE5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sym w:font="Wingdings" w:char="F09F"/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sym w:font="Wingdings" w:char="F09F"/>
            </w: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sym w:font="Wingdings" w:char="F09F"/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47EE5" w:rsidRDefault="00D47EE5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sym w:font="Wingdings" w:char="F09F"/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sym w:font="Wingdings" w:char="F09F"/>
            </w: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sym w:font="Wingdings" w:char="F09F"/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47EE5" w:rsidRDefault="00D47EE5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sym w:font="Wingdings" w:char="F09F"/>
            </w: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EE5" w:rsidRDefault="00D47EE5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sym w:font="Wingdings" w:char="F09F"/>
            </w: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sym w:font="Wingdings" w:char="F09F"/>
            </w:r>
          </w:p>
        </w:tc>
      </w:tr>
    </w:tbl>
    <w:p w:rsidR="00D47EE5" w:rsidRDefault="00D47EE5" w:rsidP="00D47EE5">
      <w:pPr>
        <w:spacing w:before="120" w:after="120"/>
        <w:rPr>
          <w:color w:val="000000"/>
          <w:sz w:val="20"/>
        </w:rPr>
      </w:pPr>
      <w:r>
        <w:rPr>
          <w:color w:val="000000"/>
        </w:rPr>
        <w:t>5643 Ключевое слово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3"/>
      </w:tblGrid>
      <w:tr w:rsidR="00D47EE5" w:rsidTr="00D47EE5"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spacing w:before="60"/>
              <w:rPr>
                <w:color w:val="000000"/>
              </w:rPr>
            </w:pPr>
          </w:p>
        </w:tc>
      </w:tr>
      <w:tr w:rsidR="00D47EE5" w:rsidTr="00D47EE5"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spacing w:before="60"/>
              <w:rPr>
                <w:color w:val="000000"/>
              </w:rPr>
            </w:pPr>
          </w:p>
        </w:tc>
      </w:tr>
      <w:tr w:rsidR="00D47EE5" w:rsidTr="00D47EE5"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spacing w:before="60"/>
              <w:rPr>
                <w:color w:val="000000"/>
              </w:rPr>
            </w:pPr>
          </w:p>
        </w:tc>
      </w:tr>
      <w:tr w:rsidR="00D47EE5" w:rsidTr="00D47EE5"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spacing w:before="60"/>
              <w:rPr>
                <w:color w:val="000000"/>
              </w:rPr>
            </w:pPr>
          </w:p>
        </w:tc>
      </w:tr>
      <w:tr w:rsidR="00D47EE5" w:rsidTr="00D47EE5"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E5" w:rsidRDefault="00D47EE5">
            <w:pPr>
              <w:spacing w:before="60"/>
              <w:rPr>
                <w:color w:val="000000"/>
              </w:rPr>
            </w:pPr>
          </w:p>
        </w:tc>
      </w:tr>
    </w:tbl>
    <w:p w:rsidR="00D47EE5" w:rsidRDefault="00D47EE5" w:rsidP="00D47EE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РАСШИРЕННАЯ    АННОТАЦИЯ    к    РК _________</w:t>
      </w:r>
    </w:p>
    <w:p w:rsidR="00D47EE5" w:rsidRDefault="00D47EE5" w:rsidP="00D47EE5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Fonts w:ascii="Arial" w:hAnsi="Arial" w:cs="Arial"/>
          <w:b/>
          <w:i/>
          <w:color w:val="000000"/>
          <w:sz w:val="28"/>
          <w:szCs w:val="28"/>
        </w:rPr>
        <w:t>Название   работы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Ближайшие и отдаленные результаты полного традиционного и бимаммарного коронарного шунтирования у пациентов с многососудистым коронарным поражением</w:t>
      </w:r>
    </w:p>
    <w:p w:rsidR="00D47EE5" w:rsidRDefault="00D47EE5" w:rsidP="00D47EE5">
      <w:pPr>
        <w:spacing w:line="360" w:lineRule="auto"/>
        <w:ind w:left="-18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     Научный руководитель(и</w:t>
      </w:r>
      <w:r>
        <w:rPr>
          <w:rFonts w:ascii="Arial" w:hAnsi="Arial" w:cs="Arial"/>
          <w:i/>
          <w:color w:val="000000"/>
          <w:sz w:val="28"/>
          <w:szCs w:val="28"/>
        </w:rPr>
        <w:t xml:space="preserve">): </w:t>
      </w:r>
      <w:r>
        <w:rPr>
          <w:b/>
          <w:bCs/>
          <w:color w:val="000000"/>
          <w:sz w:val="28"/>
          <w:szCs w:val="28"/>
        </w:rPr>
        <w:t>Гринштейн Ю.И.</w:t>
      </w:r>
    </w:p>
    <w:p w:rsidR="00D47EE5" w:rsidRDefault="00D47EE5" w:rsidP="00D47EE5">
      <w:pPr>
        <w:spacing w:line="360" w:lineRule="auto"/>
        <w:ind w:left="-18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     Исполнитель: Мурадов А.Г.</w:t>
      </w:r>
    </w:p>
    <w:p w:rsidR="00D47EE5" w:rsidRDefault="00D47EE5" w:rsidP="00D47EE5">
      <w:pPr>
        <w:spacing w:line="360" w:lineRule="auto"/>
        <w:ind w:left="-18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     Специальность</w:t>
      </w:r>
      <w:r>
        <w:rPr>
          <w:rFonts w:ascii="Arial" w:hAnsi="Arial" w:cs="Arial"/>
          <w:i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i/>
          <w:color w:val="000000"/>
          <w:sz w:val="28"/>
          <w:szCs w:val="28"/>
        </w:rPr>
        <w:t>14.01.05 Кардиология</w:t>
      </w:r>
    </w:p>
    <w:p w:rsidR="00D47EE5" w:rsidRDefault="00D47EE5" w:rsidP="00D47EE5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Объект исследования:</w:t>
      </w:r>
      <w:r>
        <w:rPr>
          <w:color w:val="000000"/>
          <w:sz w:val="28"/>
          <w:szCs w:val="28"/>
        </w:rPr>
        <w:t xml:space="preserve"> 356 пациентов с ИБС после коронарного шунтирования, из них, 178 пациентов, которым выполнена полная бимаммарная реваскуляризация миокарда и 178 пациентов, прооперированных методикой традиционного коронарного шунтирования (контрольная группа).</w:t>
      </w:r>
    </w:p>
    <w:p w:rsidR="00D47EE5" w:rsidRDefault="00D47EE5" w:rsidP="00D47EE5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Цель и задачи:</w:t>
      </w:r>
      <w:r>
        <w:rPr>
          <w:color w:val="000000"/>
          <w:sz w:val="28"/>
          <w:szCs w:val="28"/>
        </w:rPr>
        <w:t xml:space="preserve"> Цель - изучить ближайшие и отдаленные результаты полного традиционного и бимаммарного шунтирования у пациентов с многососудистым коронарным поражением.</w:t>
      </w:r>
    </w:p>
    <w:p w:rsidR="00D47EE5" w:rsidRDefault="00D47EE5" w:rsidP="00D47EE5">
      <w:pPr>
        <w:overflowPunct/>
        <w:autoSpaceDE/>
        <w:adjustRightInd/>
        <w:spacing w:line="36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исследования:</w:t>
      </w:r>
    </w:p>
    <w:p w:rsidR="00D47EE5" w:rsidRDefault="00D47EE5" w:rsidP="00D47EE5">
      <w:pPr>
        <w:overflowPunct/>
        <w:autoSpaceDE/>
        <w:adjustRightInd/>
        <w:spacing w:line="36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Оценить эффективность полного бимаммарного и традиционного коронарного шунтирования на госпитальном этапе </w:t>
      </w:r>
    </w:p>
    <w:p w:rsidR="00D47EE5" w:rsidRDefault="00D47EE5" w:rsidP="00D47EE5">
      <w:pPr>
        <w:overflowPunct/>
        <w:autoSpaceDE/>
        <w:adjustRightInd/>
        <w:spacing w:line="36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Провести анализ результатов бимаммарного коронарного шунтирования в зависимости от условий проведения операции (на работающем сердце и в условиях искусственного кровообращения)</w:t>
      </w:r>
    </w:p>
    <w:p w:rsidR="00D47EE5" w:rsidRDefault="00D47EE5" w:rsidP="00D47EE5">
      <w:pPr>
        <w:overflowPunct/>
        <w:autoSpaceDE/>
        <w:adjustRightInd/>
        <w:spacing w:line="36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Провести сравнительную оценку результатов использования методик бимаммарного коронарного шунтирования: «in situ» и «Y» - графт </w:t>
      </w:r>
    </w:p>
    <w:p w:rsidR="00D47EE5" w:rsidRDefault="00D47EE5" w:rsidP="00D47EE5">
      <w:pPr>
        <w:overflowPunct/>
        <w:autoSpaceDE/>
        <w:adjustRightInd/>
        <w:spacing w:line="36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Оценить отдаленные результаты полной реваскуляризации миокарда методом бимаммарного и традиционного коронарного шунтирования </w:t>
      </w:r>
    </w:p>
    <w:p w:rsidR="00D47EE5" w:rsidRDefault="00D47EE5" w:rsidP="00D47EE5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Используемые средства: </w:t>
      </w:r>
      <w:r>
        <w:rPr>
          <w:color w:val="000000"/>
          <w:sz w:val="28"/>
          <w:szCs w:val="28"/>
        </w:rPr>
        <w:t xml:space="preserve">Электрокардиограф «Aspel AsCard Green» (ASPEL, Польша) и «Shiller Cardiovit AT – 101» (Shiller AG, </w:t>
      </w:r>
      <w:r>
        <w:rPr>
          <w:color w:val="000000"/>
          <w:sz w:val="28"/>
          <w:szCs w:val="28"/>
        </w:rPr>
        <w:lastRenderedPageBreak/>
        <w:t xml:space="preserve">Швейцария) со скоростью записи 50 мм/с в трех стандартных отведениях (I, II, III), трех дополнительных (aVR, aVL, aVF) и в шести грудных (V1-V6). Эхокардиография на ультразвуковой системе </w:t>
      </w:r>
      <w:r>
        <w:rPr>
          <w:color w:val="000000"/>
          <w:sz w:val="28"/>
          <w:szCs w:val="28"/>
          <w:lang w:val="en-US"/>
        </w:rPr>
        <w:t>VIVID</w:t>
      </w:r>
      <w:r>
        <w:rPr>
          <w:color w:val="000000"/>
          <w:sz w:val="28"/>
          <w:szCs w:val="28"/>
        </w:rPr>
        <w:t xml:space="preserve"> 7 </w:t>
      </w:r>
      <w:r>
        <w:rPr>
          <w:color w:val="000000"/>
          <w:sz w:val="28"/>
          <w:szCs w:val="28"/>
          <w:lang w:val="en-US"/>
        </w:rPr>
        <w:t>Dimension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GE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Healthcare</w:t>
      </w:r>
      <w:r>
        <w:rPr>
          <w:color w:val="000000"/>
          <w:sz w:val="28"/>
          <w:szCs w:val="28"/>
        </w:rPr>
        <w:t xml:space="preserve">, США) с использованием матричных датчиков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(1,5-4</w:t>
      </w:r>
      <w:r>
        <w:rPr>
          <w:color w:val="000000"/>
          <w:sz w:val="28"/>
          <w:szCs w:val="28"/>
          <w:lang w:val="en-US"/>
        </w:rPr>
        <w:t>MHz</w:t>
      </w:r>
      <w:r>
        <w:rPr>
          <w:color w:val="000000"/>
          <w:sz w:val="28"/>
          <w:szCs w:val="28"/>
        </w:rPr>
        <w:t xml:space="preserve">) 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(1,5-4,3</w:t>
      </w:r>
      <w:r>
        <w:rPr>
          <w:color w:val="000000"/>
          <w:sz w:val="28"/>
          <w:szCs w:val="28"/>
          <w:lang w:val="en-US"/>
        </w:rPr>
        <w:t>MHz</w:t>
      </w:r>
      <w:r>
        <w:rPr>
          <w:color w:val="000000"/>
          <w:sz w:val="28"/>
          <w:szCs w:val="28"/>
        </w:rPr>
        <w:t>). Селективная коронарная ангиография по методике М. Judkins на аппарате ALLURA XPER FD20 (Phillips, Нидерланды) и Artis Q ceiling (Siemens, Германия). Контрастная мультиспиральная компьютерная томография и шунтография на аппарате GE Revolution EVO (GE Healthcare, США). Интраоперационная ультразвуковая флоуметрия шунтов на аппарате Medistim MiraQ (Medistim, Норвегия).</w:t>
      </w:r>
    </w:p>
    <w:p w:rsidR="00D47EE5" w:rsidRDefault="00D47EE5" w:rsidP="00D47EE5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Методы исследования:</w:t>
      </w:r>
      <w:r>
        <w:rPr>
          <w:color w:val="000000"/>
          <w:sz w:val="28"/>
          <w:szCs w:val="28"/>
        </w:rPr>
        <w:t xml:space="preserve"> - клинический: развёрнутый анализ крови, биохимический анализ крови</w:t>
      </w:r>
    </w:p>
    <w:p w:rsidR="00D47EE5" w:rsidRDefault="00D47EE5" w:rsidP="00D47EE5">
      <w:pPr>
        <w:overflowPunct/>
        <w:autoSpaceDE/>
        <w:adjustRightInd/>
        <w:spacing w:line="36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-инструментальные: ЭКГ, ЭХОКГ, КАГ; ДС с ЦДК БЦА, МСКТ- шунтография</w:t>
      </w:r>
    </w:p>
    <w:p w:rsidR="00D47EE5" w:rsidRDefault="00D47EE5" w:rsidP="00D47EE5">
      <w:pPr>
        <w:overflowPunct/>
        <w:autoSpaceDE/>
        <w:adjustRightInd/>
        <w:spacing w:line="36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анкетирование пациентов в отдаленном периоде: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модифицированный опросник Роуза на выявление стенокардии</w:t>
      </w:r>
    </w:p>
    <w:p w:rsidR="00D47EE5" w:rsidRDefault="00D47EE5" w:rsidP="00D47EE5">
      <w:pPr>
        <w:overflowPunct/>
        <w:autoSpaceDE/>
        <w:adjustRightInd/>
        <w:spacing w:line="36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статистический с использованием ЭВМ.</w:t>
      </w:r>
    </w:p>
    <w:p w:rsidR="00D47EE5" w:rsidRDefault="00D47EE5" w:rsidP="00D47EE5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Новизна исследований:</w:t>
      </w:r>
      <w:r>
        <w:rPr>
          <w:color w:val="000000"/>
          <w:sz w:val="28"/>
          <w:szCs w:val="28"/>
        </w:rPr>
        <w:t xml:space="preserve"> Впервые, в Сибирском регионе проведен анализ ближайших и отдаленных результатов полной реваскуляризации миокарда с использованием обеих внутренних грудных артерий  в сравнении с традиционной методикой хирургической реваскуляризации миокарда с использованием левой внутренней грудной артерии для шунтирования передней нисходящей артерии и большой подкожной аутовены для реваскуляризации других пораженных артерий у пациентов с многососудистым поражением коронарных артерий; проведена оценка безопасности и клинической эффективности операции коронарного шунтирования с использованием двух ВГА на работающем сердце и в условиях искусственного кровообращения. Результаты исследования показали, </w:t>
      </w:r>
      <w:r>
        <w:rPr>
          <w:color w:val="000000"/>
          <w:sz w:val="28"/>
          <w:szCs w:val="28"/>
        </w:rPr>
        <w:lastRenderedPageBreak/>
        <w:t>что применение методики бимаммарного коронарного шунтирования позволяет выполнить полную реваскуляризацию миокарда.  В ходе исследования, планируется установить, улучшит ли бимаммарное коронарное шунтирование выживаемость пациентов в отдаленном периоде, свободу от инфарктов миокарда, возвратной стенокардии и инсультов в сравнении с пациентами где использовалась традиционная методика реваскуляризации миокарда. Оценить эффективность бимаммарного коронарного шунтирования в отдаленном периоде у пациентов высокого риска.</w:t>
      </w:r>
    </w:p>
    <w:p w:rsidR="00D47EE5" w:rsidRDefault="00D47EE5" w:rsidP="00D47EE5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Годовые этапы исследований: </w:t>
      </w:r>
    </w:p>
    <w:p w:rsidR="00D47EE5" w:rsidRDefault="00D47EE5" w:rsidP="00D47EE5">
      <w:pPr>
        <w:tabs>
          <w:tab w:val="num" w:pos="180"/>
        </w:tabs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2022-2023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г.г</w:t>
      </w:r>
      <w:r>
        <w:rPr>
          <w:color w:val="000000"/>
          <w:sz w:val="28"/>
          <w:szCs w:val="28"/>
        </w:rPr>
        <w:t>. – ВЫПОЛНЕНО: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1.  Проведен патентно-информационный поиск.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2.  Освоены методики исследования.</w:t>
      </w:r>
    </w:p>
    <w:p w:rsidR="00D47EE5" w:rsidRDefault="00D47EE5" w:rsidP="00D47EE5">
      <w:pPr>
        <w:spacing w:line="360" w:lineRule="auto"/>
        <w:ind w:left="-180"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3.  Обследовано 125 пациентов из группы бимаммарного шунтирования и 132 пациента из группы традиционного коронарного шунтирования (группа контроля).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ПЛАНИРУЕТСЯ: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>2022-2023 г.г.</w:t>
      </w:r>
      <w:r>
        <w:rPr>
          <w:color w:val="000000"/>
          <w:sz w:val="28"/>
          <w:szCs w:val="28"/>
        </w:rPr>
        <w:t xml:space="preserve"> - 1.  Работа с литературой по изучаемой проблеме.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2. Провести обследование 80-100 пациентов (ЭКГ, ЭХОКГ, МСКТ –шунтография, 6 минутный шаговый тест (при отсутствии противопоказаний), провести анкетирование пациентов по модифицированному опроснику Роуза на выявление стенокардии, прием кардиолога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Подготовка доклада на XXV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Всероссийский съезд сердечно-сосудистых хирургов (г. Москва):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Ближайшие результаты полного бимаммарного и традиционного шунтирования у пациентов с многососудистым коронарным поражением; подготовка доклада на XX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 Всероссийский съезд сердечно-сосудистых хирургов (г. Москва):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Отдаленные результаты полного бимаммарного и традиционного шунтирования у пациентов с многососудистым коронарным поражением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Провести статобработку материалов.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Подготовить к публикации 1 статью.</w:t>
      </w:r>
      <w:r>
        <w:rPr>
          <w:color w:val="000000"/>
          <w:sz w:val="28"/>
          <w:szCs w:val="28"/>
        </w:rPr>
        <w:tab/>
        <w:t xml:space="preserve">  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Написание и представление диссертации к защите.</w:t>
      </w:r>
    </w:p>
    <w:p w:rsidR="00D47EE5" w:rsidRDefault="00D47EE5" w:rsidP="00D47EE5">
      <w:pPr>
        <w:spacing w:line="360" w:lineRule="auto"/>
        <w:ind w:left="-180"/>
        <w:jc w:val="both"/>
        <w:rPr>
          <w:bCs/>
          <w:iC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7.  Ожидаемые результаты: </w:t>
      </w:r>
      <w:r>
        <w:rPr>
          <w:bCs/>
          <w:iCs/>
          <w:color w:val="000000"/>
          <w:sz w:val="28"/>
          <w:szCs w:val="28"/>
        </w:rPr>
        <w:t xml:space="preserve">Применение методики бимаммарного коронарного шунтирования позволяет сформировать необходимое количество анастомозов при множественном поражении коронарных артерий и тем самым, повысить эффективность лечения ИБС в ближайшем и отдаленном послеоперационных периодах. Полученные преимущества реваскуляризации миокарда с использованием обеих внутренних грудных артерий, по сравнению с традиционной операцией коронарного шунтирования, позволят рекомендовать данный вид хирургической реваскуляризации миокарда для широкого применения в клинической практике у пациентов с ИБС, в т.ч., и у пациентов с высоким риском развития осложнений. 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 </w:t>
      </w:r>
      <w:r>
        <w:rPr>
          <w:b/>
          <w:i/>
          <w:color w:val="000000"/>
          <w:sz w:val="28"/>
          <w:szCs w:val="28"/>
        </w:rPr>
        <w:t>Возможная область применения:</w:t>
      </w:r>
      <w:r>
        <w:rPr>
          <w:color w:val="000000"/>
          <w:sz w:val="28"/>
          <w:szCs w:val="28"/>
        </w:rPr>
        <w:t xml:space="preserve"> практическое здравоохранение – кардиология, сердечно-сосудистая хирургия, терапия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9. Формы внедрения:</w:t>
      </w:r>
      <w:r>
        <w:rPr>
          <w:color w:val="000000"/>
          <w:sz w:val="28"/>
          <w:szCs w:val="28"/>
        </w:rPr>
        <w:t xml:space="preserve"> 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1.  </w:t>
      </w:r>
      <w:r>
        <w:rPr>
          <w:color w:val="000000"/>
          <w:sz w:val="28"/>
          <w:szCs w:val="28"/>
          <w:u w:val="single"/>
        </w:rPr>
        <w:t>Выступления</w:t>
      </w:r>
      <w:r>
        <w:rPr>
          <w:color w:val="000000"/>
          <w:sz w:val="28"/>
          <w:szCs w:val="28"/>
        </w:rPr>
        <w:t xml:space="preserve"> на конференциях (Всероссийский съезд сердечно-сосудистых хирургов 2022-2023г.г., ежегодная Сессия НМИЦ ССХ им. А.Н. Бакулева 2023г. и др.). 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2.  </w:t>
      </w:r>
      <w:r>
        <w:rPr>
          <w:color w:val="000000"/>
          <w:sz w:val="28"/>
          <w:szCs w:val="28"/>
          <w:u w:val="single"/>
        </w:rPr>
        <w:t>Публикации</w:t>
      </w:r>
      <w:r>
        <w:rPr>
          <w:color w:val="000000"/>
          <w:sz w:val="28"/>
          <w:szCs w:val="28"/>
        </w:rPr>
        <w:t xml:space="preserve"> (5 публикаций в журналах ВАК индексируемых в РИНЦ, SCOPUS).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:rsidR="00D47EE5" w:rsidRDefault="00D47EE5" w:rsidP="00D47EE5">
      <w:pPr>
        <w:spacing w:line="360" w:lineRule="auto"/>
        <w:ind w:left="-180"/>
        <w:jc w:val="both"/>
        <w:rPr>
          <w:color w:val="000000"/>
          <w:sz w:val="28"/>
          <w:szCs w:val="28"/>
        </w:rPr>
      </w:pPr>
    </w:p>
    <w:p w:rsidR="002A7CDC" w:rsidRDefault="002A7CDC">
      <w:bookmarkStart w:id="0" w:name="_GoBack"/>
      <w:bookmarkEnd w:id="0"/>
    </w:p>
    <w:sectPr w:rsidR="002A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60070"/>
    <w:multiLevelType w:val="hybridMultilevel"/>
    <w:tmpl w:val="79BA37EE"/>
    <w:lvl w:ilvl="0" w:tplc="E430BB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C2"/>
    <w:rsid w:val="002A7CDC"/>
    <w:rsid w:val="003862C2"/>
    <w:rsid w:val="00D4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624B5-77A5-4926-B26B-AE89E90D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7EE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E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47EE5"/>
    <w:pPr>
      <w:overflowPunct/>
      <w:autoSpaceDE/>
      <w:autoSpaceDN/>
      <w:adjustRightInd/>
      <w:ind w:left="708"/>
    </w:pPr>
    <w:rPr>
      <w:sz w:val="20"/>
    </w:rPr>
  </w:style>
  <w:style w:type="paragraph" w:customStyle="1" w:styleId="a4">
    <w:name w:val="выделение"/>
    <w:basedOn w:val="a"/>
    <w:rsid w:val="00D47EE5"/>
    <w:pPr>
      <w:overflowPunct/>
      <w:autoSpaceDE/>
      <w:autoSpaceDN/>
      <w:adjustRightInd/>
      <w:spacing w:after="120"/>
    </w:pPr>
    <w:rPr>
      <w:rFonts w:ascii="Peterburg" w:hAnsi="Peterburg" w:cs="Peterburg"/>
      <w:b/>
      <w:bCs/>
      <w:spacing w:val="3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Мурадов Асим Гасанович</dc:creator>
  <cp:keywords/>
  <dc:description/>
  <cp:lastModifiedBy>Мурадов Асим Гасанович</cp:lastModifiedBy>
  <cp:revision>3</cp:revision>
  <dcterms:created xsi:type="dcterms:W3CDTF">2023-02-12T04:09:00Z</dcterms:created>
  <dcterms:modified xsi:type="dcterms:W3CDTF">2023-02-12T04:09:00Z</dcterms:modified>
</cp:coreProperties>
</file>