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8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ФГБОУ  ВО ''Красноярский государственный медицинский университет им. проф. В.Ф.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100EF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100EF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100EF3">
        <w:rPr>
          <w:rFonts w:ascii="Times New Roman" w:hAnsi="Times New Roman" w:cs="Times New Roman"/>
          <w:sz w:val="24"/>
          <w:szCs w:val="24"/>
        </w:rPr>
        <w:t xml:space="preserve"> с курсом косметологии и ПО им. проф.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В.И.Прохоренкова</w:t>
      </w:r>
      <w:proofErr w:type="spellEnd"/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Зав.кафедрой:</w:t>
      </w:r>
    </w:p>
    <w:p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д.м.н., проф. Ю.В.Карачева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Реферат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Плоскоклеточный рак. Дифференциальная диагностика.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Выполнила</w:t>
      </w:r>
      <w:r w:rsidR="005C3587" w:rsidRPr="00100EF3">
        <w:rPr>
          <w:rFonts w:ascii="Times New Roman" w:hAnsi="Times New Roman" w:cs="Times New Roman"/>
          <w:sz w:val="24"/>
          <w:szCs w:val="24"/>
        </w:rPr>
        <w:t>: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Ординатор 1 года обучения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Сафина Екатерина Олеговна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Проверила: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д.м.н., проф.. Карачева 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Юлия Викторовна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5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Красноярск 2019</w:t>
      </w:r>
    </w:p>
    <w:p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P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587" w:rsidRPr="00100EF3" w:rsidRDefault="0074466A" w:rsidP="005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Рец</w:t>
      </w:r>
      <w:r w:rsidR="005C3587" w:rsidRPr="00100EF3">
        <w:rPr>
          <w:rFonts w:ascii="Times New Roman" w:hAnsi="Times New Roman" w:cs="Times New Roman"/>
          <w:sz w:val="24"/>
          <w:szCs w:val="24"/>
        </w:rPr>
        <w:t>ензия</w:t>
      </w:r>
    </w:p>
    <w:p w:rsidR="005C3587" w:rsidRPr="00100EF3" w:rsidRDefault="005C3587" w:rsidP="005C3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Актуальность заявленной темы реферата в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100EF3">
        <w:rPr>
          <w:rFonts w:ascii="Times New Roman" w:hAnsi="Times New Roman" w:cs="Times New Roman"/>
          <w:sz w:val="24"/>
          <w:szCs w:val="24"/>
        </w:rPr>
        <w:t xml:space="preserve"> очевидна.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Подобную обоснованность выбора темы автор реферата дала в вводной части. Ординатор раскрыла суть изучаемой проблемы, поставила цель, обратив внимание на предпосылки изучаемой темы. Приведены различные точки зрения в этиологии и патогенезе. Подробна рассмотрена проблема изучения данной патологии в медицине.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Четко соблюдены требования к оформлению реферата: титульный лист, план-оглавление со страницами, введение, основная часть, заключение, списки литературы, источников, ссылки в соответствии со стандартами.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Содержание изложенного материала грамотно и логично.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100EF3" w:rsidRPr="00100EF3">
        <w:rPr>
          <w:rFonts w:ascii="Times New Roman" w:hAnsi="Times New Roman" w:cs="Times New Roman"/>
          <w:sz w:val="24"/>
          <w:szCs w:val="24"/>
        </w:rPr>
        <w:t>реферата 5 (отлично).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Проверил: д.м.н. профессор Карачева Ю.В.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Подпись:</w:t>
      </w:r>
    </w:p>
    <w:p w:rsidR="005C3587" w:rsidRDefault="005C3587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Pr="00100EF3" w:rsidRDefault="00100EF3" w:rsidP="00100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EF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Введение ...................................................................................................................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Эпидемиология ........................................................................................................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Этиология и патогенез 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5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Клиническая картина ..............................................................................................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5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Диагностика ............................................................................................................. 8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9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Лечение ................................................................................................................... 10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Заключение ............................................................................................................ 11 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Список литературы ..................................................................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............................. 11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312D95" w:rsidRPr="00312D95" w:rsidRDefault="00312D95" w:rsidP="00312D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Плоскоклеточный рак кожи (ПКРК) (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спиноцеллюлярный рак, сквамозно-клеточная карцинома, плоскоклеточная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эпителиома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эпидермоидный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спиналиома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— самая злокачественная эпителиальная опухоль кожи и слизистых оболочек с плоскоклеточной дифференцировкой, ра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звивающаяся из </w:t>
      </w:r>
      <w:proofErr w:type="spellStart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кератиноцитов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ПКРК входит в группу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немеланомных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злокачественных новообразований кожи (НМЗНК) и характеризуется агрессивным течением за счет большой ве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роятности метастазирования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ПКРК характеризуется деструктивным ростом с постепенным прогрессированием опухолевого процесса и инфильтрацией подлежащих тканей, метастазированием в регионарные и отдаленные лимфатические узлы (ЛУ) (в 85% случаев), также гематогенным распространением метастазов во внутренние органы (в 15%), такие как легкие и кости, что может привести к смерти больного.</w:t>
      </w:r>
    </w:p>
    <w:p w:rsid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 всем мире отмечается неуклонный рост числа впервые диагностированных случаев НМЗНК, в связи с чем в настоящее время рак кожи специалисты оцени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вают как «тихую эпидемию»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анализе статистических данных по РФ за последние 7 лет отмечается тенденция к росту заболева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емости новообразованиями кожи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Опухоли эпителиального происхождения занимают первое место в структуре заболеваемости всеми злокачественными новообразованиями кожи, на долю ПКРК приходится около 20% [4, 5]. Самая высокая заболеваемость в России наблюдается в Краснодарском и Ставропольском крае, в Астраханской и Ростовской областях, что отражает важную роль интенсивного воздействия ультрафиолетовых (УФ) лучей в этиологии забо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левания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Пациенты с диагнозом ПКРК находятся в группе повышенного риска развития рака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внекожной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кализации и другого НМЗНК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 последние десятилетия рост заболеваемости ПКРК сопровождался снижением уровня смертности на 20%, что связано с улучшением качества диагностики заболевания на ранних ст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адиях и активным лечением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Предполагают, что в результате истончения озонового слоя и соответственно возрастания интенсивности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УФ-излучения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заболеваемость раком кожи будет увеличиваться до тех пор, пока поведенческие привычки человека не поменяются с целью уменьшения воздействия на нег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солнечного облучения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Pr="00100EF3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EF3" w:rsidRPr="00312D95" w:rsidRDefault="00100EF3" w:rsidP="00312D9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Клиническая картина</w:t>
      </w:r>
    </w:p>
    <w:p w:rsidR="00312D95" w:rsidRPr="00100EF3" w:rsidRDefault="00312D95" w:rsidP="00312D9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 ПКРК, как правило, представляет собой единичный очаг,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 может встречаться несколько.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Опухоль обычно локализуется на открытых участках кожи. В 70% случаев поражается лицо (нос,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периорбитальные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ушные раковины, в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исочная область, лоб)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Чаще всего наблюдается поражение кожи в переходных зонах между плоским эпителием и слизистой оболочкой (красная кайма губ, наружные половые органы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перианальная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область)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Наиболее частой локализацией ПКРК на слизистой оболочке полости рта является небо и язык, обычно развивается на фоне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эритроплакии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чаще протекает бессимптомно, постепенно превращаясь в твердый узел или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ритонзилярный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абсцесс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 нижней губе ПКРК развивается на фоне актинического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хейлита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чешуйчатой лейкоплакии и в последующем медленно прогрес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сирует в опухолевый узел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 вульве ПКРК часто развивается на фоне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склероатрофического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лихена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ПКРК шейки матки ассоциирован с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ВПЧ-инфекцией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16-го типа, а ПКРК полового члена часто развивается н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 фоне </w:t>
      </w:r>
      <w:proofErr w:type="spellStart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эритроплазии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Кейра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 основании клинических признаков выделяют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экзофитную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эндофитную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роста опухоли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Экзофитная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(папиллярная) форма роста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Первичный узелок увеличивается в размере, возвышаясь над уровнем окружающей кожи, образуется большое количество роговых масс, очаг приобретает бугристый вид темно-красного или коричневого цвета с множеством расширенных мелких кровеносных сосудов и углублением в центре. Основание опухоли широкое и малоподвижное за счет прорастания в подлежащие ткани. Позднее происходит изъязвление опухоли с переходом в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эндофитную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 роста [6, 10, 11].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Экзофитная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ПКРК может приобретать вид желто- или красно-коричневого очага, с неровной поверхностью, покрытой коркой с гиперкератозом и бородавчатыми разрастаниями (так называемая 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веррукозная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форма роста ПКРК, для которой характерен медленный рост, редкое метастазирование и тенденция к образованию на местах хронического раздражения кожи; может проявляться в виде «кожного рога») [6, 14, 15].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зависимости от локализации выделяют четыре варианта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веррукозной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карциномы: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Тип I. Цветущий 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папилломатоз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ротовой полости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Опухоль полости рта, преимущественно на слизистой щек, языка, десен и дна полости рта у пациентов, жующих табак.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Тип II. 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Аногенитальный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тип.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 мошонке, головке полового члена, в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перианальной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на наружных половых органах женщин.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 III. Подошвенная карцинома.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Опухоль на подошвах у пожилых мужчин.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Тип IV. 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Веррукозная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карцинома на остальных участках кожного покрова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(кожа волосистой части головы, туловища, конечностей) [6].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Эндофитная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(язвенно-инфильтративная) форма роста</w:t>
      </w:r>
    </w:p>
    <w:p w:rsidR="00312D95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Первичным элементом является папула, которая впоследствии преобразуется в плотный узел, спаянный с подкожно-жировой клетчаткой. Через несколько месяцев узел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изъязвляется с образованием язвы неправильной формы с шероховатым, плотным дном и белесоватой пленкой на поверхности, края язвы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кратерообр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азно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приподняты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прикосновении узел может кровоточить. Данная форма ПКРК быстро распространяется на подлежащие ткани, мышцы, сосуды, хрящи и кости, характеризуется частыми рецидивами и метастазами [1, 6, 15].</w:t>
      </w:r>
    </w:p>
    <w:p w:rsidR="00100EF3" w:rsidRPr="00100EF3" w:rsidRDefault="00100EF3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Гистопатология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Гистологически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различают две формы ПКРК.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Ороговевающая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форма: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высокодифференцированная;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малодифференцированная.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Неороговевающая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(недифференцированная).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</w:t>
      </w: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ороговевающей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форме ПКРК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отмечается доброкачественное течение, медленный рост, инвазия в глубь тканей постепенная.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Кератинизация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выражена хорошо, отмечаются так называемые роговые жемчужины — очаги гиперкератоза округлой формы с признаками незавершенной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кератинизации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центре.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Пальпаторно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очаги плотной консистенции, обнаруживаются признаки ороговения. Визуально определяются папула, бляшка или узел, покрытые плотными роговыми чешуйками, в центре образования — эрозия или язва, покрытые коркой; края плотные, приподнятые, ороговевшие. При надавливании могут иногда выд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еляться роговые массы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Неороговевающая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 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характеризуется более злокачественным течением, быстрой инвазией в глубокие слои дермы, частым метастазированием. При данной форме ПКРК признаки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кератинизации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отсутствуют,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атипизм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 резко выражен, они имеют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гиперхромные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распадающиеся ядра, наблюдается множество патологических митозов. Клинически данная форма представлена узлами или папулами с элементами вегетации, ороговение практически не наблюдается, в последующем происходит быстрое развитие эрозии или язвы с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некротизированным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дном и конта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ктной кровоточивостью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A.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Broders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(1932) предложил различать четыре степени злокачественности ПКРК в зависимости от соотношения в опухоли дифференцированных и недифференцированных клеток, а также от степени их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атипии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глубины инвазии (табл. 1)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1. Классификация ПКРК по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Broders</w:t>
      </w:r>
      <w:proofErr w:type="spellEnd"/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гистологической классификации опухолей кожи ВОЗ (1996)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указаны следующие варианты ПКРК: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веретеноклеточный;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акантолитический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веррукозный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формированием кожного рога;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лимфоэпителиальный.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Веретеноклеточный тип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характеризуется выраженным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инвазивным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ростом, частым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рецидивированием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метастазированием и неблагоприятным прогнозом.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Гистологически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обнаруживают структуры, состоящие из веретеноклеточных элементов, при этом четких признаков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кератинизации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нет. Может напоминать саркому и веретеноклеточную меланому, однако при электронной микроскопии эпителиальное происхождение доказано на основании обнаружения десмосом и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тонофи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ламентов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Акантолитический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тип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развивается на фоне актинического кератоза.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Гистологически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отмечают деструкцию опухолевых комплексов и тяжей, их превращение в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тубулярные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псевдоальвеолярные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структуры, выстланные одним или несколькими рядами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атипичных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клеток, при этом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кератинизация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отмечается не всегда. Иногда обнаруживают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акантолитические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кератотические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клетки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Веррукозный</w:t>
      </w:r>
      <w:proofErr w:type="spellEnd"/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тип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 образованием кожного рога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характеризует выраженный гиперкератоз в поверхностных отделах опухоли с образова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нием рогового выроста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Лимфоэпителиальный тип 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 тяжами и ячейками низкодифференцированных опухолевых клеток, расположенных в густом лимфоидном инфильтрате. В связи с отсутствием связи с эпидермисом и обнаружением внутрицитоплазматической слизи в опухолевых клетках предполагают, что данный гистологический вариант скорее является низкодифференцированной опухолью из придатков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кожи, чем истинным ПКРК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0EF3" w:rsidRPr="00100EF3" w:rsidRDefault="00100EF3" w:rsidP="00312D9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Диагностика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связи с наличием прямой зависимости эффективности лечения от стадии онкологического процесса существует три уровня диагностики ПКРК: ранняя, своевременная и поздняя.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ранней диагностике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ПКРК выявляется на стадии </w:t>
      </w:r>
      <w:proofErr w:type="spellStart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</w:t>
      </w:r>
      <w:proofErr w:type="spellEnd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situ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в I клинической стадии, когда еще нет метастазирования. При выборе адекватной тактики лечения возможно полное выздоровление пациента.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Своевременным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считают диагноз ПКРК, пост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авленный на стадии Т1—Т2N0M0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Поздняя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диагностика заключается в установлении диагноза на стадии Т3—Т4 и характеризуется неблагоприятным прогнозом из-за сложности или невозможности проведения радикального лечения, так как на этой стадии уже имеются регионарные или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отдаленные метастазы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«Золотым стандартом» верификации ПКРК является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морфологическая диагностика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Так, особенно информативны иммунологические методы исследования. В связи с наружной локализацией опухоли и легкостью получения материала для исследования морфологическа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верификация достигает 99%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гистологическом заключении должны быть указаны: гистологический тип опухоли, степень дифференцировки (по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Broders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толщина опухоли, степень инвазии в дерму (по Кларку), отсутствие или наличие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периневральной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околососудистой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ерилимфатической</w:t>
      </w:r>
      <w:proofErr w:type="spellEnd"/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инвазии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Диагностическими критериями ПКРК при </w:t>
      </w:r>
      <w:proofErr w:type="spellStart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дерматоскопии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служат центральные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кератиновые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пробки, центральное древовидное ветвление сосудов, сосуды по типу шпилек для волос в периферическом 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венчике молочного цвета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для диагностики ПКРК можно использовать </w:t>
      </w:r>
      <w:proofErr w:type="spellStart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лазероиндуцированную</w:t>
      </w:r>
      <w:proofErr w:type="spellEnd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флюоресцентную</w:t>
      </w:r>
      <w:proofErr w:type="spellEnd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 спектральную диагностику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фотосенсибилизатором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ультразвуковое диагностическое сканирование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конфокальную лазерную сканирующую микроскопию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всех формах ПКРК, помимо тщательного сбора анамнеза и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физикального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осмотра всего кожного покрова и слизистой оболочки полости рта, необходимо также проводить оценку лимфатических узлов (ЛУ). При необходимости показано проведение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диагностической </w:t>
      </w:r>
      <w:proofErr w:type="spellStart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тонкоигольной</w:t>
      </w:r>
      <w:proofErr w:type="spellEnd"/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аспирации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(ТИА) и дополнительных </w:t>
      </w:r>
      <w:r w:rsidRPr="00100E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визуальных методов исследования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(рентгенография, ангиография, компьютерная томография, ультразвуковая диагностика, эндоскопия) для обнаружения регионарных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отдаленных метастазов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312D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Pr="00100EF3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EF3" w:rsidRPr="00100EF3" w:rsidRDefault="00100EF3" w:rsidP="00312D9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Дифференциальная диагностика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Дифференциальный диагноз при ПКРК проводят с актиническим кератозом,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себорейным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кератозом,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базально-клеточным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раком кожи,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кератоакантомой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бородавчатой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дискератомой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псевдокарциноматозной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гиперплазией эпидермиса,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амеланотической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злокачественной меланомой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0EF3" w:rsidRPr="00100EF3" w:rsidRDefault="00100EF3" w:rsidP="00312D9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лечения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план лечения больных ПКРК определяет консилиум врачей, состоящий из онколога, дерматолога, хирурга, радиолога и 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химиотерапевта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Многим пациентам может понадобиться дополнительная психологическая поддержка. Все специалисты, работающие с онкологическими больными, должны обладать специальны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навыками общения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Pr="00100EF3" w:rsidRDefault="00100EF3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Выбор первичного метода лечения должен учитывать индивидуальные факторы риска и потребности пациента, обеспечивать полную, </w:t>
      </w:r>
      <w:proofErr w:type="spellStart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гистологически</w:t>
      </w:r>
      <w:proofErr w:type="spellEnd"/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подтвержденную элиминацию опухолевых клеток и всех метастазов, сохранение функции пораженного органа и наиболее приемлемый ко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сметический результат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выборе метода лечения необходимо учитывать факторы, связанные с самим опухолевым процессом: локализация и размер очага, клиническая форма, степень дифференцировки, наличие первичного очага или рецидива, ПКРК единичный или множественный, глубина инвазии, скорость роста, возможность опр</w:t>
      </w:r>
      <w:r w:rsidR="0031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еделения границ очага </w:t>
      </w:r>
      <w:r w:rsidRPr="00100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Pr="00F14C61" w:rsidRDefault="00F14C61" w:rsidP="00F14C6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Список литературы: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Европейское руководство по лечению дерматологических 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болезней. Под ред. </w:t>
      </w:r>
      <w:proofErr w:type="spellStart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Кацамбаса</w:t>
      </w:r>
      <w:proofErr w:type="spellEnd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</w:t>
      </w:r>
      <w:proofErr w:type="spellStart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Лотти</w:t>
      </w:r>
      <w:proofErr w:type="spellEnd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Пер. с англ. 3-е изд. М. 2014.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Клинико-практическое руководство Общенациональной сети по борьбе против рака (NCCN).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США. 2012.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Анищенко И.С., Важенин А.В.</w:t>
      </w: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Плоскоклеточный рак кожи: клиника, диагностика, лечение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Челябинск. 2000.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М.И., Аксель Е.М. Статистика злокачественных новообразований в России и странах СНГ в 2009 г.</w:t>
      </w: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Вестник РОНЦ им. H.H. Блохина РАМН</w:t>
      </w:r>
      <w:r w:rsidRPr="00BE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2011.</w:t>
      </w:r>
    </w:p>
    <w:p w:rsidR="00F14C61" w:rsidRPr="00100EF3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sectPr w:rsidR="00F14C61" w:rsidRPr="00100EF3" w:rsidSect="005661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E6" w:rsidRDefault="00410CE6" w:rsidP="00312D95">
      <w:pPr>
        <w:spacing w:after="0" w:line="240" w:lineRule="auto"/>
      </w:pPr>
      <w:r>
        <w:separator/>
      </w:r>
    </w:p>
  </w:endnote>
  <w:endnote w:type="continuationSeparator" w:id="0">
    <w:p w:rsidR="00410CE6" w:rsidRDefault="00410CE6" w:rsidP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9374"/>
      <w:docPartObj>
        <w:docPartGallery w:val="Page Numbers (Bottom of Page)"/>
        <w:docPartUnique/>
      </w:docPartObj>
    </w:sdtPr>
    <w:sdtContent>
      <w:p w:rsidR="00F14C61" w:rsidRDefault="00A351E6">
        <w:pPr>
          <w:pStyle w:val="a6"/>
          <w:jc w:val="right"/>
        </w:pPr>
        <w:fldSimple w:instr=" PAGE   \* MERGEFORMAT ">
          <w:r w:rsidR="0074466A">
            <w:rPr>
              <w:noProof/>
            </w:rPr>
            <w:t>2</w:t>
          </w:r>
        </w:fldSimple>
      </w:p>
    </w:sdtContent>
  </w:sdt>
  <w:p w:rsidR="00312D95" w:rsidRDefault="00312D95" w:rsidP="00F14C61">
    <w:pPr>
      <w:pStyle w:val="a6"/>
      <w:tabs>
        <w:tab w:val="left" w:pos="113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E6" w:rsidRDefault="00410CE6" w:rsidP="00312D95">
      <w:pPr>
        <w:spacing w:after="0" w:line="240" w:lineRule="auto"/>
      </w:pPr>
      <w:r>
        <w:separator/>
      </w:r>
    </w:p>
  </w:footnote>
  <w:footnote w:type="continuationSeparator" w:id="0">
    <w:p w:rsidR="00410CE6" w:rsidRDefault="00410CE6" w:rsidP="0031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74B"/>
    <w:multiLevelType w:val="multilevel"/>
    <w:tmpl w:val="1768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29B1"/>
    <w:rsid w:val="00100EF3"/>
    <w:rsid w:val="002329B1"/>
    <w:rsid w:val="00312D95"/>
    <w:rsid w:val="00410CE6"/>
    <w:rsid w:val="00566158"/>
    <w:rsid w:val="005C3587"/>
    <w:rsid w:val="0074466A"/>
    <w:rsid w:val="00A351E6"/>
    <w:rsid w:val="00BB6691"/>
    <w:rsid w:val="00BE6AAE"/>
    <w:rsid w:val="00E04D40"/>
    <w:rsid w:val="00EF72E3"/>
    <w:rsid w:val="00F1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58"/>
  </w:style>
  <w:style w:type="paragraph" w:styleId="3">
    <w:name w:val="heading 3"/>
    <w:basedOn w:val="a"/>
    <w:link w:val="30"/>
    <w:uiPriority w:val="9"/>
    <w:qFormat/>
    <w:rsid w:val="0010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D95"/>
  </w:style>
  <w:style w:type="paragraph" w:styleId="a6">
    <w:name w:val="footer"/>
    <w:basedOn w:val="a"/>
    <w:link w:val="a7"/>
    <w:uiPriority w:val="99"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76BC-E65A-4547-A65A-F9133AD7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2019-04-16T10:03:00Z</dcterms:created>
  <dcterms:modified xsi:type="dcterms:W3CDTF">2019-04-17T09:44:00Z</dcterms:modified>
</cp:coreProperties>
</file>