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37" w:rsidRDefault="00532637" w:rsidP="0053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 «Поликлиническая терапия»</w:t>
      </w:r>
    </w:p>
    <w:p w:rsidR="00532637" w:rsidRDefault="00532637" w:rsidP="00D073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32637" w:rsidRPr="00D073F0" w:rsidRDefault="00532637" w:rsidP="00D073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bCs/>
          <w:sz w:val="28"/>
          <w:szCs w:val="28"/>
        </w:rPr>
        <w:t xml:space="preserve">Алгоритмы обследования пациентов в амбулаторных условиях при подозрении на онкологическое заболевание. Диагностическое значение определения уровня </w:t>
      </w:r>
      <w:proofErr w:type="spellStart"/>
      <w:r w:rsidRPr="00D073F0">
        <w:rPr>
          <w:rFonts w:ascii="Times New Roman" w:hAnsi="Times New Roman" w:cs="Times New Roman"/>
          <w:bCs/>
          <w:sz w:val="28"/>
          <w:szCs w:val="28"/>
        </w:rPr>
        <w:t>онкомаркеров</w:t>
      </w:r>
      <w:proofErr w:type="spellEnd"/>
      <w:r w:rsidRPr="00D073F0">
        <w:rPr>
          <w:rFonts w:ascii="Times New Roman" w:hAnsi="Times New Roman" w:cs="Times New Roman"/>
          <w:bCs/>
          <w:sz w:val="28"/>
          <w:szCs w:val="28"/>
        </w:rPr>
        <w:t>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Анализ качества и эффективности диспансеризации.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F0">
        <w:rPr>
          <w:rFonts w:ascii="Times New Roman" w:hAnsi="Times New Roman" w:cs="Times New Roman"/>
          <w:bCs/>
          <w:sz w:val="28"/>
          <w:szCs w:val="28"/>
        </w:rPr>
        <w:t>Группы инвалидности. Срок дачи группы инвалидности.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Декретированные группы населения.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Диагностика и лечения хронической боли различного генеза на амбулаторном этапе.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Динамическое наблюдение за пациентами с высоким онкологическим риском.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 xml:space="preserve">Диспансеризация лиц высокого и очень высокого </w:t>
      </w:r>
      <w:proofErr w:type="gramStart"/>
      <w:r w:rsidRPr="00D073F0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 xml:space="preserve">риска.  </w:t>
      </w:r>
      <w:r w:rsidRPr="00D073F0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SCORE.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 xml:space="preserve">Диспансеризация. Группы взрослого населения,  подлежащие диспансеризации. Частота проведения диспансеризации. </w:t>
      </w:r>
      <w:r w:rsidRPr="00D073F0">
        <w:rPr>
          <w:rFonts w:ascii="Times New Roman" w:eastAsia="Times New Roman" w:hAnsi="Times New Roman" w:cs="Times New Roman"/>
          <w:sz w:val="28"/>
          <w:szCs w:val="28"/>
        </w:rPr>
        <w:t>Направление медицинских мероприятий, проводимых в рамках диспансеризации</w:t>
      </w:r>
      <w:r w:rsidR="00883E4D">
        <w:rPr>
          <w:rFonts w:ascii="Times New Roman" w:hAnsi="Times New Roman" w:cs="Times New Roman"/>
          <w:sz w:val="28"/>
          <w:szCs w:val="28"/>
        </w:rPr>
        <w:t xml:space="preserve">  по приказу 29н.</w:t>
      </w:r>
    </w:p>
    <w:p w:rsidR="00532637" w:rsidRPr="00D073F0" w:rsidRDefault="00532637" w:rsidP="00D073F0">
      <w:pPr>
        <w:pStyle w:val="HTML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 xml:space="preserve">Диспансерное наблюдение.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испансерные  группы</w:t>
      </w:r>
      <w:r w:rsidRPr="00D073F0">
        <w:rPr>
          <w:rFonts w:ascii="Times New Roman" w:hAnsi="Times New Roman" w:cs="Times New Roman"/>
          <w:sz w:val="28"/>
          <w:szCs w:val="28"/>
        </w:rPr>
        <w:t xml:space="preserve">, подлежащие диспансерному наблюдению.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Дневной стационар поликлиники. Цели его организации. Больные подлежащие госпитализации в дневной стационар.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Задачи бюро МСЭ.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Задачи участкового терапевта.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Задачи участкового терапевта. Мощность поликлиники. Численность населения на терапевтическом участке.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Иммунопрофилактика взрослого населения. Национальный календарь прививок.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tabs>
          <w:tab w:val="left" w:pos="360"/>
          <w:tab w:val="left" w:pos="1080"/>
          <w:tab w:val="num" w:pos="3780"/>
        </w:tabs>
        <w:spacing w:after="0"/>
        <w:ind w:left="0"/>
        <w:jc w:val="both"/>
        <w:outlineLvl w:val="3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pacing w:val="2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пациентов</w:t>
      </w:r>
      <w:r w:rsidRPr="00D073F0">
        <w:rPr>
          <w:rFonts w:ascii="Times New Roman" w:hAnsi="Times New Roman" w:cs="Times New Roman"/>
          <w:spacing w:val="2"/>
          <w:sz w:val="28"/>
          <w:szCs w:val="28"/>
        </w:rPr>
        <w:t xml:space="preserve"> о риске заболеваний вследствие курения.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Какие прививки получают лица старше 18 лет?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Категории граждан, бесплатно получающие лекарственные средства. Назовите формы рецептурных бланков.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Категории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имеющие право на дополнительное лекарственное обеспечение.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tabs>
          <w:tab w:val="left" w:pos="360"/>
          <w:tab w:val="left" w:pos="1080"/>
          <w:tab w:val="num" w:pos="3780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 xml:space="preserve">Консультирование пациентов по прекращению курения в зависимости от готовности бросить курить и выраженности никотиновой зависимости.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 xml:space="preserve">Критерии для определения группы инвалидности. Переосвидетельствование групп инвалидности.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lastRenderedPageBreak/>
        <w:t>Критерии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(Приказ</w:t>
      </w:r>
      <w:r w:rsidR="00883E4D">
        <w:rPr>
          <w:rFonts w:ascii="Times New Roman" w:hAnsi="Times New Roman" w:cs="Times New Roman"/>
          <w:sz w:val="28"/>
          <w:szCs w:val="28"/>
        </w:rPr>
        <w:t xml:space="preserve"> 29н</w:t>
      </w:r>
      <w:r w:rsidRPr="00D073F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Критерии эффективности диспансерного наблюдения.</w:t>
      </w:r>
    </w:p>
    <w:p w:rsidR="00532637" w:rsidRPr="00D073F0" w:rsidRDefault="00532637" w:rsidP="00D073F0">
      <w:pPr>
        <w:pStyle w:val="HTML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Лица, подлежащие диспансерному наблюдению</w:t>
      </w:r>
      <w:r>
        <w:rPr>
          <w:rFonts w:ascii="Times New Roman" w:hAnsi="Times New Roman" w:cs="Times New Roman"/>
          <w:sz w:val="28"/>
          <w:szCs w:val="28"/>
        </w:rPr>
        <w:t xml:space="preserve"> в 100 %</w:t>
      </w:r>
      <w:r w:rsidRPr="00D07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tabs>
          <w:tab w:val="left" w:pos="360"/>
          <w:tab w:val="left" w:pos="1080"/>
          <w:tab w:val="num" w:pos="3780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Методы помощи в отказе от курения.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 xml:space="preserve">Модифицируемые и не модифицируемые факторы риска основных социально-значимых неинфекционных заболеваний    (сердечно – сосудистых заболеваний, сахарного диабета 2 типа, ожирения, онкологии, хронической </w:t>
      </w:r>
      <w:proofErr w:type="spellStart"/>
      <w:r w:rsidRPr="00D073F0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D073F0">
        <w:rPr>
          <w:rFonts w:ascii="Times New Roman" w:hAnsi="Times New Roman" w:cs="Times New Roman"/>
          <w:sz w:val="28"/>
          <w:szCs w:val="28"/>
        </w:rPr>
        <w:t xml:space="preserve"> болезни легких, инсультов и др.).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 xml:space="preserve">Общие показания и противопоказания  для направления на </w:t>
      </w:r>
      <w:proofErr w:type="spellStart"/>
      <w:r w:rsidRPr="00D073F0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073F0">
        <w:rPr>
          <w:rFonts w:ascii="Times New Roman" w:hAnsi="Times New Roman" w:cs="Times New Roman"/>
          <w:sz w:val="28"/>
          <w:szCs w:val="28"/>
        </w:rPr>
        <w:t xml:space="preserve"> – курортное лечение.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 xml:space="preserve">Основная документация поликлиники. </w:t>
      </w:r>
    </w:p>
    <w:p w:rsidR="00532637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Основные задачи врача-терапевта при организации и проведении профилактического медицинского ос</w:t>
      </w:r>
      <w:r w:rsidR="00883E4D">
        <w:rPr>
          <w:rFonts w:ascii="Times New Roman" w:hAnsi="Times New Roman" w:cs="Times New Roman"/>
          <w:sz w:val="28"/>
          <w:szCs w:val="28"/>
        </w:rPr>
        <w:t>мотра и диспансеризации  (Приказ 29н)</w:t>
      </w:r>
      <w:r w:rsidRPr="00D073F0">
        <w:rPr>
          <w:rFonts w:ascii="Times New Roman" w:hAnsi="Times New Roman" w:cs="Times New Roman"/>
          <w:sz w:val="28"/>
          <w:szCs w:val="28"/>
        </w:rPr>
        <w:t>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Основные критерии работы участкового терапевта, подлежащие экспертному анализу.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Особенности амбулаторного лечения геронтологического контингента больных. 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tabs>
          <w:tab w:val="left" w:pos="360"/>
          <w:tab w:val="left" w:pos="1080"/>
          <w:tab w:val="num" w:pos="3780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Особенности ведения  геронтологического контингента больных на амбулаторном этапе. 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Оформление  амбулаторной карты.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Паспорт участка. Что включает?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Перечень  обследования для  направления на санаторно-курортное лечение. Срок действия санаторно-курортной карты.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Показания для госпитализации в круглосуточный стационар. Перечислите обследования для плановой госпитализации. Какую документацию нужно заполнить при направлении на стационарное лечение.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bCs/>
          <w:sz w:val="28"/>
          <w:szCs w:val="28"/>
        </w:rPr>
        <w:t xml:space="preserve">Показания для признания человека инвалидом.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Показания к организации стационара на дому.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Порядок направления и оформления документов на МСЭК.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Профилактика. Виды профилактики.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 xml:space="preserve">Профилактические осмотры населения, </w:t>
      </w:r>
      <w:r>
        <w:rPr>
          <w:rFonts w:ascii="Times New Roman" w:hAnsi="Times New Roman" w:cs="Times New Roman"/>
          <w:sz w:val="28"/>
          <w:szCs w:val="28"/>
        </w:rPr>
        <w:t xml:space="preserve"> их виды</w:t>
      </w:r>
      <w:r w:rsidRPr="00D073F0">
        <w:rPr>
          <w:rFonts w:ascii="Times New Roman" w:hAnsi="Times New Roman" w:cs="Times New Roman"/>
          <w:sz w:val="28"/>
          <w:szCs w:val="28"/>
        </w:rPr>
        <w:t>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tabs>
          <w:tab w:val="left" w:pos="360"/>
          <w:tab w:val="left" w:pos="1080"/>
          <w:tab w:val="num" w:pos="3780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Работа участкового терапевта по раннему выявлению предраковых заболеваний и факторов, предрасполагающих к их  развитию.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tabs>
          <w:tab w:val="left" w:pos="360"/>
          <w:tab w:val="left" w:pos="1080"/>
          <w:tab w:val="num" w:pos="3780"/>
        </w:tabs>
        <w:spacing w:after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Работа участкового терапевта по раннему выявлению предраковых заболеваний и факторов, предрасполагающих к развитию рака.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lastRenderedPageBreak/>
        <w:t xml:space="preserve">Ранняя диагностика хронической болезни почек. Определение скорости клубочковой фильтрации по формулам </w:t>
      </w:r>
      <w:r w:rsidRPr="00D073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073F0">
        <w:rPr>
          <w:rFonts w:ascii="Times New Roman" w:hAnsi="Times New Roman" w:cs="Times New Roman"/>
          <w:sz w:val="28"/>
          <w:szCs w:val="28"/>
          <w:shd w:val="clear" w:color="auto" w:fill="FFFFFF"/>
        </w:rPr>
        <w:t>Кокрофта-Голта</w:t>
      </w:r>
      <w:proofErr w:type="spellEnd"/>
      <w:r w:rsidRPr="00D0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MDRD</w:t>
      </w:r>
      <w:r w:rsidRPr="00D073F0">
        <w:rPr>
          <w:rFonts w:ascii="Times New Roman" w:hAnsi="Times New Roman" w:cs="Times New Roman"/>
          <w:sz w:val="28"/>
          <w:szCs w:val="28"/>
        </w:rPr>
        <w:t xml:space="preserve"> с использованием медицинских калькуляторов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Тактика ведения пациента после перенесенного инфаркта миокарда на амбулаторном этапе. Профилактика.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Тактика ведения пациента с хронической сердечной недостаточностью. Профилактика.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Тактика ведения участковым терапевтом  лихорадящего пациента.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Тактика ведения участковым терапевтом  пациента  с ИБС. Профилактика.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Тактика ведения участковым терапевтом  пациента  с сахарным диабетом. Профилактика.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Тактика ведения участковым терапевтом  пациента с  АГ. Профилактика.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tabs>
          <w:tab w:val="left" w:pos="935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Тактика ведения участковым терапевтом  пациента с бронхиальной астмой. Профилактика.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Тактика ведения участковым терапевтом  пациента с внебольничной пневмонией. Профилактика.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Тактика ведения участковым терапевтом  пациента с острым тонзиллитом с наложениями.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73F0">
        <w:rPr>
          <w:rFonts w:ascii="Times New Roman" w:hAnsi="Times New Roman" w:cs="Times New Roman"/>
          <w:sz w:val="28"/>
          <w:szCs w:val="28"/>
        </w:rPr>
        <w:t>Тактика ведения участковым терапевтом  пациента с ХОБЛ. Профилактика.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 xml:space="preserve">Тактика участкового врача по профилактике и раннему выявлению туберкулёза. </w:t>
      </w:r>
      <w:r w:rsidRPr="00D07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Группы</w:t>
      </w:r>
      <w:r w:rsidRPr="00D073F0">
        <w:rPr>
          <w:rFonts w:ascii="Times New Roman" w:hAnsi="Times New Roman" w:cs="Times New Roman"/>
          <w:sz w:val="28"/>
          <w:szCs w:val="28"/>
          <w:shd w:val="clear" w:color="auto" w:fill="FFFFFF"/>
        </w:rPr>
        <w:t> риска и </w:t>
      </w:r>
      <w:r w:rsidRPr="00D073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декретированные</w:t>
      </w:r>
      <w:r w:rsidRPr="00D073F0">
        <w:rPr>
          <w:rFonts w:ascii="Times New Roman" w:hAnsi="Times New Roman" w:cs="Times New Roman"/>
          <w:sz w:val="28"/>
          <w:szCs w:val="28"/>
          <w:shd w:val="clear" w:color="auto" w:fill="FFFFFF"/>
        </w:rPr>
        <w:t> лица по туберкулезу.</w:t>
      </w:r>
    </w:p>
    <w:p w:rsidR="00532637" w:rsidRPr="00075DD7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5DD7">
        <w:rPr>
          <w:rFonts w:ascii="Times New Roman" w:hAnsi="Times New Roman" w:cs="Times New Roman"/>
          <w:sz w:val="28"/>
          <w:szCs w:val="28"/>
        </w:rPr>
        <w:t xml:space="preserve"> Трудоспособность. Нетрудоспособность. Виды. 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Учетные критерии работы участкового терапевта.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Частота наблюдения диспансерных групп.</w:t>
      </w:r>
    </w:p>
    <w:p w:rsidR="00532637" w:rsidRPr="00D073F0" w:rsidRDefault="00532637" w:rsidP="00D073F0">
      <w:pPr>
        <w:pStyle w:val="HTML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Что включает диспансерный прием (осмотр, консультация) участковым терапевтом (приказ</w:t>
      </w:r>
      <w:r w:rsidR="00883E4D">
        <w:rPr>
          <w:rFonts w:ascii="Times New Roman" w:hAnsi="Times New Roman" w:cs="Times New Roman"/>
          <w:sz w:val="28"/>
          <w:szCs w:val="28"/>
        </w:rPr>
        <w:t xml:space="preserve"> 404</w:t>
      </w:r>
      <w:r w:rsidRPr="00D073F0">
        <w:rPr>
          <w:rFonts w:ascii="Times New Roman" w:hAnsi="Times New Roman" w:cs="Times New Roman"/>
          <w:sz w:val="28"/>
          <w:szCs w:val="28"/>
        </w:rPr>
        <w:t>н)?</w:t>
      </w:r>
    </w:p>
    <w:p w:rsidR="00532637" w:rsidRPr="00D073F0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pacing w:val="2"/>
          <w:sz w:val="28"/>
          <w:szCs w:val="28"/>
        </w:rPr>
        <w:t xml:space="preserve">Школы пациента (здоровья), как организационная форма профилактического группового консультирования. Цели. Принципы. </w:t>
      </w:r>
    </w:p>
    <w:p w:rsidR="00532637" w:rsidRDefault="00532637" w:rsidP="00D073F0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F0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нетрудоспособности. Показания и порядок выдачи листка нетрудоспособности.</w:t>
      </w:r>
    </w:p>
    <w:p w:rsidR="00883E4D" w:rsidRDefault="00883E4D" w:rsidP="00883E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3E4D" w:rsidRPr="00883E4D" w:rsidRDefault="00883E4D" w:rsidP="00883E4D">
      <w:pPr>
        <w:pStyle w:val="a3"/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УВАЖАЕМЫЙ СТУДЕНТ. ОСТАЛЬНЫЕ ВОПРОСЫ НАХОДЯТСЯ В СТАДИИ РАЗРАБОТКИ.</w:t>
      </w:r>
      <w:bookmarkStart w:id="0" w:name="_GoBack"/>
      <w:bookmarkEnd w:id="0"/>
    </w:p>
    <w:sectPr w:rsidR="00883E4D" w:rsidRPr="00883E4D" w:rsidSect="001D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9F"/>
    <w:multiLevelType w:val="hybridMultilevel"/>
    <w:tmpl w:val="76FE6AD4"/>
    <w:lvl w:ilvl="0" w:tplc="041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D0B0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Franklin Gothic Medium"/>
        <w:b w:val="0"/>
        <w:i w:val="0"/>
        <w:sz w:val="28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91DEB"/>
    <w:multiLevelType w:val="hybridMultilevel"/>
    <w:tmpl w:val="8612EDF0"/>
    <w:lvl w:ilvl="0" w:tplc="977E53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8"/>
    <w:rsid w:val="00075DD7"/>
    <w:rsid w:val="00083889"/>
    <w:rsid w:val="0008441F"/>
    <w:rsid w:val="000E5DEE"/>
    <w:rsid w:val="001B5E41"/>
    <w:rsid w:val="001C4786"/>
    <w:rsid w:val="001D2376"/>
    <w:rsid w:val="002534E0"/>
    <w:rsid w:val="002D2A68"/>
    <w:rsid w:val="00310365"/>
    <w:rsid w:val="0036252A"/>
    <w:rsid w:val="003B3E09"/>
    <w:rsid w:val="00405CA6"/>
    <w:rsid w:val="00406254"/>
    <w:rsid w:val="00430980"/>
    <w:rsid w:val="004F55DE"/>
    <w:rsid w:val="00500714"/>
    <w:rsid w:val="00526DCD"/>
    <w:rsid w:val="005314FC"/>
    <w:rsid w:val="00532637"/>
    <w:rsid w:val="00573B97"/>
    <w:rsid w:val="00636862"/>
    <w:rsid w:val="00640E38"/>
    <w:rsid w:val="006D7505"/>
    <w:rsid w:val="007D37B4"/>
    <w:rsid w:val="007D3823"/>
    <w:rsid w:val="00802CD0"/>
    <w:rsid w:val="00883E4D"/>
    <w:rsid w:val="008A39E4"/>
    <w:rsid w:val="0093358B"/>
    <w:rsid w:val="00994877"/>
    <w:rsid w:val="009B32EA"/>
    <w:rsid w:val="00A21808"/>
    <w:rsid w:val="00A312EB"/>
    <w:rsid w:val="00A46E2E"/>
    <w:rsid w:val="00AB3231"/>
    <w:rsid w:val="00AF5608"/>
    <w:rsid w:val="00BA4A15"/>
    <w:rsid w:val="00C97187"/>
    <w:rsid w:val="00D073F0"/>
    <w:rsid w:val="00D448AC"/>
    <w:rsid w:val="00DC1E2D"/>
    <w:rsid w:val="00DE1188"/>
    <w:rsid w:val="00DF0E10"/>
    <w:rsid w:val="00E11E4F"/>
    <w:rsid w:val="00E20ADE"/>
    <w:rsid w:val="00E66835"/>
    <w:rsid w:val="00E763EB"/>
    <w:rsid w:val="00EB4925"/>
    <w:rsid w:val="00EE6D37"/>
    <w:rsid w:val="00EF17FD"/>
    <w:rsid w:val="00F53CF9"/>
    <w:rsid w:val="00FB3275"/>
    <w:rsid w:val="00FB547D"/>
    <w:rsid w:val="00FB6D0D"/>
    <w:rsid w:val="00FF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38"/>
    <w:pPr>
      <w:ind w:left="720"/>
      <w:contextualSpacing/>
    </w:pPr>
  </w:style>
  <w:style w:type="character" w:customStyle="1" w:styleId="apple-converted-space">
    <w:name w:val="apple-converted-space"/>
    <w:basedOn w:val="a0"/>
    <w:rsid w:val="00640E38"/>
  </w:style>
  <w:style w:type="character" w:styleId="a4">
    <w:name w:val="Strong"/>
    <w:basedOn w:val="a0"/>
    <w:uiPriority w:val="22"/>
    <w:qFormat/>
    <w:rsid w:val="00EF17F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B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2E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38"/>
    <w:pPr>
      <w:ind w:left="720"/>
      <w:contextualSpacing/>
    </w:pPr>
  </w:style>
  <w:style w:type="character" w:customStyle="1" w:styleId="apple-converted-space">
    <w:name w:val="apple-converted-space"/>
    <w:basedOn w:val="a0"/>
    <w:rsid w:val="00640E38"/>
  </w:style>
  <w:style w:type="character" w:styleId="a4">
    <w:name w:val="Strong"/>
    <w:basedOn w:val="a0"/>
    <w:uiPriority w:val="22"/>
    <w:qFormat/>
    <w:rsid w:val="00EF17F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B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2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2023-04-11T08:54:00Z</dcterms:created>
  <dcterms:modified xsi:type="dcterms:W3CDTF">2023-04-11T08:54:00Z</dcterms:modified>
</cp:coreProperties>
</file>