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DA" w:rsidRPr="00BC0DDA" w:rsidRDefault="00BC0DDA" w:rsidP="00BC0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DA">
        <w:rPr>
          <w:rFonts w:ascii="Times New Roman" w:hAnsi="Times New Roman" w:cs="Times New Roman"/>
          <w:b/>
          <w:sz w:val="28"/>
          <w:szCs w:val="28"/>
        </w:rPr>
        <w:t>День 1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DDA">
        <w:rPr>
          <w:rFonts w:ascii="Times New Roman" w:hAnsi="Times New Roman" w:cs="Times New Roman"/>
          <w:sz w:val="28"/>
          <w:szCs w:val="28"/>
        </w:rPr>
        <w:t>Знакомство с лабораторией и руководящими документами по организации деятельности и организации контроля качества клинич</w:t>
      </w:r>
      <w:r>
        <w:rPr>
          <w:rFonts w:ascii="Times New Roman" w:hAnsi="Times New Roman" w:cs="Times New Roman"/>
          <w:sz w:val="28"/>
          <w:szCs w:val="28"/>
        </w:rPr>
        <w:t xml:space="preserve">еских лабораторных исследований. </w:t>
      </w:r>
      <w:r w:rsidRPr="00BC0DDA">
        <w:rPr>
          <w:rFonts w:ascii="Times New Roman" w:hAnsi="Times New Roman" w:cs="Times New Roman"/>
          <w:sz w:val="28"/>
          <w:szCs w:val="28"/>
        </w:rPr>
        <w:t xml:space="preserve">Перед началом работы в лаборатории необходимо ознакомиться с правилами техники безопасности. Каждый работающий в лаборатории обязан содержать свое рабочее место в чистоте и порядке.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0DDA">
        <w:rPr>
          <w:rFonts w:ascii="Times New Roman" w:hAnsi="Times New Roman" w:cs="Times New Roman"/>
          <w:sz w:val="28"/>
          <w:szCs w:val="28"/>
        </w:rPr>
        <w:t xml:space="preserve">Приступая к работе, необходимо ознакомиться с устройством приборов и аппаратов, их принципом действия. Прежде чем приступить к лабораторной работе по данной теме, тщательно изучите ее описание; подготовьте необходимые приборы и реактивы.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Внимательно наблюдайте за ходом опыта, отмечая каждую его особенность (выпадение и растворение осадков, изменение окраски, температуры и т.д.).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В ходе эксперимента аккуратно ведите записи в рабочем журнале.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Категорически запрещается использовать посуду, имеющую трещины или отбитые края. Все флаконы с реактивами в лаборатории должны иметь соответствующие этикетки. После использования раствора флаконы сразу закрываются пробками. Работы с вредными веществами проводить только в вытяжном шкафу. Концентрированные кислоты и щелочи наливать осторожно в вытяжном шкафу. Разбавление кислот производят путем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осторожного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приливания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кислоты тонкой струйкой по стеклянной палочке в холодную воду при непрерывном помешивании. </w:t>
      </w:r>
      <w:r w:rsidR="00BC0D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83A" w:rsidRPr="00BC0DDA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>Растворение щелочей следует проводить в фарфоровой или пластиковой посуде в вытяжном шкафу на поддоне. Куски щелочи запрещается брать руками. Растворение необходимо проводить небольшими порциями при перемешивании. При несчастных случаях немедленно заявляйте дежурному лаборанту. В лаборатории имеется медицинская аптечка с необходимыми медикаментами для оказания экстренной помощи.</w:t>
      </w:r>
    </w:p>
    <w:p w:rsidR="00BC0DDA" w:rsidRPr="00BC0DDA" w:rsidRDefault="00B26CB4" w:rsidP="00BC0D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CB4"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  <w:u w:val="single"/>
        </w:rPr>
        <w:t>Документы:</w:t>
      </w:r>
    </w:p>
    <w:p w:rsidR="00BC0DDA" w:rsidRPr="00BC0DDA" w:rsidRDefault="00BC0DDA" w:rsidP="00BC0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>Приказ МЗ РФ №45 от 07.02.2000 «О системе мер по повышению качества клинических лабораторных исследований в учреждениях здравоохранения Российской Федерации»</w:t>
      </w:r>
    </w:p>
    <w:p w:rsidR="00BC0DDA" w:rsidRPr="00BC0DDA" w:rsidRDefault="00BC0DDA" w:rsidP="00BC0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Отраслевой стандарт ОСТ 91500.13.0001-2003 "Правила проведения внутрилабораторного контроля качества количественных методов </w:t>
      </w:r>
      <w:r w:rsidRPr="00BC0DDA">
        <w:rPr>
          <w:rFonts w:ascii="Times New Roman" w:hAnsi="Times New Roman" w:cs="Times New Roman"/>
          <w:sz w:val="28"/>
          <w:szCs w:val="28"/>
        </w:rPr>
        <w:lastRenderedPageBreak/>
        <w:t>клинических лабораторных исследований с использованием контрольных материалов"</w:t>
      </w:r>
    </w:p>
    <w:p w:rsidR="00BC0DDA" w:rsidRPr="00BC0DDA" w:rsidRDefault="00BC0DDA" w:rsidP="00BC0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C0D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DDA">
        <w:rPr>
          <w:rFonts w:ascii="Times New Roman" w:hAnsi="Times New Roman" w:cs="Times New Roman"/>
          <w:sz w:val="28"/>
          <w:szCs w:val="28"/>
        </w:rPr>
        <w:t xml:space="preserve"> 53133.1-2008 «Технологии лабораторные клинические. Контроль качества клинических лабораторных исследований»</w:t>
      </w:r>
    </w:p>
    <w:p w:rsidR="00BC0DDA" w:rsidRPr="00BC0DDA" w:rsidRDefault="00BC0DDA" w:rsidP="00BC0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C0D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DDA">
        <w:rPr>
          <w:rFonts w:ascii="Times New Roman" w:hAnsi="Times New Roman" w:cs="Times New Roman"/>
          <w:sz w:val="28"/>
          <w:szCs w:val="28"/>
        </w:rPr>
        <w:t xml:space="preserve"> 53022.1-2008 «Технологии лабораторные клинические. Требования к качеству клинических лабораторных исследований»</w:t>
      </w:r>
    </w:p>
    <w:p w:rsidR="00BC0DDA" w:rsidRPr="00BC0DDA" w:rsidRDefault="00BC0DDA" w:rsidP="00BC0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C0D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DDA">
        <w:rPr>
          <w:rFonts w:ascii="Times New Roman" w:hAnsi="Times New Roman" w:cs="Times New Roman"/>
          <w:sz w:val="28"/>
          <w:szCs w:val="28"/>
        </w:rPr>
        <w:t xml:space="preserve"> 53079.1-2008 «Технологии лабораторные клинические. Обеспечение качества клинических лабораторных исследований»</w:t>
      </w:r>
    </w:p>
    <w:p w:rsidR="00BC0DDA" w:rsidRPr="00BC0DDA" w:rsidRDefault="00BC0DDA" w:rsidP="00BC0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C0D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DDA">
        <w:rPr>
          <w:rFonts w:ascii="Times New Roman" w:hAnsi="Times New Roman" w:cs="Times New Roman"/>
          <w:sz w:val="28"/>
          <w:szCs w:val="28"/>
        </w:rPr>
        <w:t xml:space="preserve"> ИСО 15189-2015 «Лаборатории медицинские. Частные требования к качеству и компетентности»</w:t>
      </w:r>
    </w:p>
    <w:p w:rsidR="00BC0DDA" w:rsidRPr="00BC0DDA" w:rsidRDefault="00BC0DDA" w:rsidP="00BC0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DA">
        <w:rPr>
          <w:rFonts w:ascii="Times New Roman" w:hAnsi="Times New Roman" w:cs="Times New Roman"/>
          <w:b/>
          <w:sz w:val="28"/>
          <w:szCs w:val="28"/>
        </w:rPr>
        <w:t>День 2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DDA">
        <w:rPr>
          <w:rFonts w:ascii="Times New Roman" w:hAnsi="Times New Roman" w:cs="Times New Roman"/>
          <w:sz w:val="28"/>
          <w:szCs w:val="28"/>
        </w:rPr>
        <w:t xml:space="preserve">Подготовка контрольных материалов к исследованиям Контрольный материал - однородный материал человеческого или животного происхождения, или искусственный материал, приближающийся, насколько это возможно, по своим наиболее существенным свойствам к исследуемому биологическому материалу пробы и предназначенный для оценки качества измерений </w:t>
      </w:r>
      <w:proofErr w:type="spellStart"/>
      <w:r w:rsidRPr="00BC0DDA">
        <w:rPr>
          <w:rFonts w:ascii="Times New Roman" w:hAnsi="Times New Roman" w:cs="Times New Roman"/>
          <w:sz w:val="28"/>
          <w:szCs w:val="28"/>
        </w:rPr>
        <w:t>аналитов</w:t>
      </w:r>
      <w:proofErr w:type="spellEnd"/>
      <w:r w:rsidRPr="00BC0DDA">
        <w:rPr>
          <w:rFonts w:ascii="Times New Roman" w:hAnsi="Times New Roman" w:cs="Times New Roman"/>
          <w:sz w:val="28"/>
          <w:szCs w:val="28"/>
        </w:rPr>
        <w:t xml:space="preserve"> в пробах пациентов, выполняемых в клинико-диагностических лабораториях медицинских организаций.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Требования к контрольным материалам: 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- Уровни исследуемых компонентов в контрольном материале должны соответствовать значениям показателей в нормальном и патологическом диапазоне; - нормальный - диапазон значений лабораторного показателя, соответствующий состоянию здоровья обследуемого, - патологический - диапазон, соответствующий состоянию болезни пациента. 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- Перечень компонентов в паспорте закупаемого контрольного материала должен соответствовать исследуемым в лаборатории показателям. 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 w:rsidRPr="00BC0DDA">
        <w:rPr>
          <w:rFonts w:ascii="Times New Roman" w:hAnsi="Times New Roman" w:cs="Times New Roman"/>
          <w:sz w:val="28"/>
          <w:szCs w:val="28"/>
        </w:rPr>
        <w:t xml:space="preserve">- Методы определения показателей в контрольном материале должны соответствовать методам, применяемым в конкретной лаборатории.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Срок годности контрольного материала: - после изготовления контрольного материала: - для аттестованных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контрольных материалов - при хранении при 2-8</w:t>
      </w:r>
      <w:r w:rsidR="00BC0DDA" w:rsidRPr="00BC0DDA">
        <w:rPr>
          <w:rFonts w:ascii="Cambria Math" w:hAnsi="Cambria Math" w:cs="Cambria Math"/>
          <w:sz w:val="28"/>
          <w:szCs w:val="28"/>
        </w:rPr>
        <w:t>℃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- более 1 года, - неаттестованных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к.м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. - более 2 лет; - для жидких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к.м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>. готовых к употреблению при 2-8</w:t>
      </w:r>
      <w:r w:rsidR="00BC0DDA" w:rsidRPr="00BC0DDA">
        <w:rPr>
          <w:rFonts w:ascii="Cambria Math" w:hAnsi="Cambria Math" w:cs="Cambria Math"/>
          <w:sz w:val="28"/>
          <w:szCs w:val="28"/>
        </w:rPr>
        <w:t>℃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- не менее 3 месяцев; - после вскрытия флакона или реконструкции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форм: -4-8 часов при 20-25</w:t>
      </w:r>
      <w:r w:rsidR="00BC0DDA" w:rsidRPr="00BC0DDA">
        <w:rPr>
          <w:rFonts w:ascii="Cambria Math" w:hAnsi="Cambria Math" w:cs="Cambria Math"/>
          <w:sz w:val="28"/>
          <w:szCs w:val="28"/>
        </w:rPr>
        <w:t>℃</w:t>
      </w:r>
      <w:r w:rsidR="00BC0DDA" w:rsidRPr="00BC0D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- время реконструкции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форм - не более 30 минут </w:t>
      </w:r>
      <w:r w:rsidR="00BC0DDA" w:rsidRPr="00BC0DDA">
        <w:rPr>
          <w:rFonts w:ascii="Times New Roman" w:hAnsi="Times New Roman" w:cs="Times New Roman"/>
          <w:sz w:val="28"/>
          <w:szCs w:val="28"/>
        </w:rPr>
        <w:lastRenderedPageBreak/>
        <w:t>при 20-25</w:t>
      </w:r>
      <w:r w:rsidR="00BC0DDA" w:rsidRPr="00BC0DDA">
        <w:rPr>
          <w:rFonts w:ascii="Cambria Math" w:hAnsi="Cambria Math" w:cs="Cambria Math"/>
          <w:sz w:val="28"/>
          <w:szCs w:val="28"/>
        </w:rPr>
        <w:t>℃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. Подготовка контрольного материала к исследованию проводится в соответствии с инструкцией производителя. Контрольные материалы должны исследоваться так же, как пробы пациентов, т.е. в тех же аналитических сериях и условиях. При реконструкции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форм для уменьшения величины погрешности дозирования необходимо использовать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поверенное дозирующее устройство. Допускается однократное замораживание и оттаивание реконструированного контрольного материала. </w:t>
      </w:r>
    </w:p>
    <w:p w:rsidR="00BC0DDA" w:rsidRPr="00BC0DDA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>Однократное оттаивание замороженного контрольного материала следует проводить при комнатной температуре в водной среде при 20-25</w:t>
      </w:r>
      <w:r w:rsidR="00BC0DDA" w:rsidRPr="00BC0DDA">
        <w:rPr>
          <w:rFonts w:ascii="Cambria Math" w:hAnsi="Cambria Math" w:cs="Cambria Math"/>
          <w:sz w:val="28"/>
          <w:szCs w:val="28"/>
        </w:rPr>
        <w:t>℃</w:t>
      </w:r>
      <w:r w:rsidR="00BC0DDA" w:rsidRPr="00BC0DDA">
        <w:rPr>
          <w:rFonts w:ascii="Times New Roman" w:hAnsi="Times New Roman" w:cs="Times New Roman"/>
          <w:sz w:val="28"/>
          <w:szCs w:val="28"/>
        </w:rPr>
        <w:t>. Методика замораживания и оттаивания должна быть стандартизована для всех исследуемых показателей в соответствии с инструкцией производителя.</w:t>
      </w:r>
    </w:p>
    <w:p w:rsidR="00BC0DDA" w:rsidRPr="00BC0DDA" w:rsidRDefault="00BC0DDA" w:rsidP="00BC0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DA">
        <w:rPr>
          <w:rFonts w:ascii="Times New Roman" w:hAnsi="Times New Roman" w:cs="Times New Roman"/>
          <w:b/>
          <w:sz w:val="28"/>
          <w:szCs w:val="28"/>
        </w:rPr>
        <w:t>День 3-6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DDA">
        <w:rPr>
          <w:rFonts w:ascii="Times New Roman" w:hAnsi="Times New Roman" w:cs="Times New Roman"/>
          <w:sz w:val="28"/>
          <w:szCs w:val="28"/>
        </w:rPr>
        <w:t>Участие в организации и проведении внутрилабораторного контроля качества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DDA">
        <w:rPr>
          <w:rFonts w:ascii="Times New Roman" w:hAnsi="Times New Roman" w:cs="Times New Roman"/>
          <w:sz w:val="28"/>
          <w:szCs w:val="28"/>
        </w:rPr>
        <w:t xml:space="preserve"> Внутрилабораторный контроль качества в клинико-диагностической лаборатории — комплекс мероприятий, направленных на обеспечение качества клинических лабораторных исследований. Основными задачами КДЛ является проведение необходимых клинических лабораторных исследований и повышение их качества.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Качество лабораторных исследований должно соответствовать требованиям по аналитической точности, установленным нормативными документами Минздрава России, что является обязательным условием надежной аналитической работы КДЛ.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Важным элементом обеспечения качества является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контроль качества, который состоит в постоянном (повседневном в каждой аналитической серии) проведении контрольных мероприятий: исследовании проб контрольных материалов или применении мер контроля с использованием проб пациентов. </w:t>
      </w:r>
      <w:proofErr w:type="gramEnd"/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Целью внутрилабораторного контроля является оценка соответствия результатов исследований установленным критериям их приемлемости при максимальной вероятности погрешности и минимальной вероятности ложного отбрасывания результатов, выполненных лабораторией аналитических серий. </w:t>
      </w:r>
      <w:proofErr w:type="gramEnd"/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Внутрилабораторный контроль качества обязателен в отношении всех видов исследований, выполняемых в лаборатории. Правила </w:t>
      </w:r>
      <w:r w:rsidR="00BC0DDA" w:rsidRPr="00BC0DDA">
        <w:rPr>
          <w:rFonts w:ascii="Times New Roman" w:hAnsi="Times New Roman" w:cs="Times New Roman"/>
          <w:sz w:val="28"/>
          <w:szCs w:val="28"/>
        </w:rPr>
        <w:lastRenderedPageBreak/>
        <w:t xml:space="preserve">внутрилабораторного контроля качества количественных исследований содержатся в Приказе МЗ РФ №45 от 07.02.2000 «О системе мер по повышению качества клинических лабораторных исследований в учреждениях здравоохранения Российской Федерации». Особенности контроля качества гематологических исследований: В связи со спецификой гематологических исследований контроль качества их предполагает наличие определенных контрольных средств и материалов, которые не используются в других видах лабораторных исследований. Для контроля качества определения содержания гемоглобина используются стандартные растворы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гемиглобинцианида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с известным содержанием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 специальные контрольные растворы (донорская кровь,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лизированная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кровь и консервированная кровь).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Стандартный раствор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гемиглобинцианида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применяют для контроля правильности работы фотометров и построения калибровочной кривой в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гемиглобинцианидном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методе определения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в крови. Для контроля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применяется раствор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лизированной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крови (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гемолизат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). Для приготовления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гемолизатов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используют: консервированную человеческую цитратную кровь, можно с истекшим сроком годности; консервированную лошадиную кровь;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донорскую человеческую кровь, свежую, собранную в сосуд с 0,6 моль/л раствором лимоннокислого натрия из расчета 1:5. 200 мл полученной цитратной крови центрифугируют при 3000 об/мин в течение 30 мин. Плазму сливают, к эритроцитам добавляют 100 мл стерильной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дистилированной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воды и тщательно перемешивают на магнитной мешалке в течение 30 мин. Раствор помещают в холодильник при -20 градусах на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24 часа. На следующий день раствор размораживают и вновь тщательно перемешивают в течение 30 мин. Затем раствор фильтруют в асептических условиях через стеклянный фильтр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Millipore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(соответствует №4 — с величиной пор 4–10 мкм) и разливают в стерильные пузырьки по 1 мл. Хранят раствор в холодильнике,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оптимальная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t = –20°С. Стабилен 1 год.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определения концентрации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Нb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гемолизат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исследуют в течение 20 дней, из полученных данных рассчитывают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СР, S, CV, контрольные пределы (X±2S) и строят контрольную карту. Коэффициент вариации не должен превышать 5%. Для контроля правильности используют контрольную кровь с известным содержанием гемоглобина. Контрольная кровь исследуется так же, как обычные пробы пациентов, т. е. в тех же случаях и в тех же условиях. Результаты исследования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в контрольной </w:t>
      </w:r>
      <w:r w:rsidR="00BC0DDA" w:rsidRPr="00BC0DDA">
        <w:rPr>
          <w:rFonts w:ascii="Times New Roman" w:hAnsi="Times New Roman" w:cs="Times New Roman"/>
          <w:sz w:val="28"/>
          <w:szCs w:val="28"/>
        </w:rPr>
        <w:lastRenderedPageBreak/>
        <w:t xml:space="preserve">крови сравнивают с паспортными значениями, указанными в инструкции производителя, и рассчитывают смещение В. Оно не должно быть более 4%.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Для контроля качества подсчета клеток крови применяют следующие контрольные материалы: консервированная или стабилизированная кровь; фиксированные клетки крови (суспензии); контрольные мазки крови. Контроль качества определения эритроцитов осуществляется по принципу опосредованного контроля методом контрольных карт. В течение 2-х дней проводят 20 определений количества эритроцитов в консервированной крови, рассчитывают контрольные пределы и строят контрольную карту. Коэффициент вариации при подсчете эритроцитов в контрольном материале не должен превышать 5%. Для контроля качества подсчета лейкоцитарной формулы в мазках крови используются контрольные мазки. Они готовятся из капиллярной крови доноров и больных обычным способом. Затем контрольные мазки многократно просчитываются (не менее 20 раз) по 200 клеток квалифицированными специалистами (не менее 5 человек).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Из полученных данных статистически рассчитываются критерии определения правильности подсчета мазка путем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рассчета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X и S.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Для увеличения срока хранения мазка используют клей БФ-6, образующий тонкую прозрачную пленку, герметически приклеивающуюся к поверхности мазка и стекла и предохраняющую мазок от воздействия окружающей среды. Подсчет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лейкоформулы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считается правильным, если результаты подсчета клеток входят в рассчитанные контрольные границы (X ±2S) для каждого вида клеток крови. Контроль качества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коагулологических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исследований: Контроль качества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коагулологических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исследований имеет свои особенности, связанные, прежде всего, с характером методических принципов, которые применяются для исследования параметров свертывающей системы и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 основаны, главным образом, на определении конечной точки образования фибрина, а также с видом используемых реактивов. Для контроля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коагулологических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исследований применяют: Смешанную свежую плазму от большого количества доноров (не менее 20 человек). Стандартную человеческую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лиофилизированную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плазму (пул) для калибровки.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Контрольную человеческую плазму с точным содержанием факторов свертывания (нормальным и патологическим). Контрольную плазму с дефицитом индивидуальных факторов свертывания. Контрольную плазму для контроля верхней и нижней границы терапевтической области при приеме антикоагулянтов. В качестве основного контрольного материала </w:t>
      </w:r>
      <w:r w:rsidR="00BC0DDA" w:rsidRPr="00BC0DDA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слитую, только цитратную плазму с нормальным и пролонгированным временем свертывания. Способ приготовления слитой плазмы: свежую плазму, взятую с 3,8%-м раствором цитрата натрия, собирают от нескольких доноров, смешивают и разливают во флаконы. Быстро замораживают. </w:t>
      </w:r>
    </w:p>
    <w:p w:rsidR="00BC0DDA" w:rsidRPr="00BC0DDA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Основное требование к плазме — отсутствие в ней следов гемолиза и эритроцитов. Контрольную плазму каждый день размораживают и используют в начале работы и через каждые 20 проб. Рекомендуют использовать не менее одной порции плазмы с пролонгированным временем свертывания. Каждая проба и контрольная плазма исследуются параллельно. Если разница между параллелями больше 3 сек., то тест должен быть 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повторен со свежей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пробой от пациента.</w:t>
      </w:r>
    </w:p>
    <w:p w:rsidR="00B26CB4" w:rsidRDefault="00BC0DDA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DDA">
        <w:rPr>
          <w:rFonts w:ascii="Times New Roman" w:hAnsi="Times New Roman" w:cs="Times New Roman"/>
          <w:sz w:val="28"/>
          <w:szCs w:val="28"/>
        </w:rPr>
        <w:t>Автоматизация ведения внут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0DDA">
        <w:rPr>
          <w:rFonts w:ascii="Times New Roman" w:hAnsi="Times New Roman" w:cs="Times New Roman"/>
          <w:sz w:val="28"/>
          <w:szCs w:val="28"/>
        </w:rPr>
        <w:t xml:space="preserve">илабораторного контроля качества: Ведение внутрилабораторного контроля качества в полном объеме для всех выполняемых в КДЛ исследований требует значительных затрат труда, времени и средств. Снижение этих затрат возможно только при автоматизации контроля качества с использованием персонального компьютера и программного обеспечения. Важно и то, что получаемые с помощью программы результаты обладают высокой достоверностью, т. к. уменьшается число ошибок, допускаемых при ручном ведении контроля. Единственное, что требуется от персонала КДЛ в качестве рутинной работы, — вводить в программу результаты измерений контрольного материала или проб пациентов. Контроль работы приборов, оборудования и качества посуды Применяемая в настоящее время широкая номенклатура лабораторных исследований требует использования самых разнообразных технических средств, и их перечень составляет десятки наименований. Комплекс организационно-технических мероприятий, позволяющих контролировать технические и метрологические характеристики выпускаемых изделий, осуществляется на основе Положения Государственной системы обеспечения единства измерений (ГСИ).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Измерительные приборы подлежат поверке в соответствии с ГОСТ 8002–71. В соответствии с руководством по метрологическому обеспечению средств измерений определен порядок и сроки поверки измерительных приборов в КДЛ. Измерительные приборы поверяются ведомственными метрологическими органами в соответствии с инструкцией, в которой указываются производимые операции и средства поверки. Поверке подлежат </w:t>
      </w:r>
      <w:r w:rsidR="00BC0DDA" w:rsidRPr="00BC0DDA">
        <w:rPr>
          <w:rFonts w:ascii="Times New Roman" w:hAnsi="Times New Roman" w:cs="Times New Roman"/>
          <w:sz w:val="28"/>
          <w:szCs w:val="28"/>
        </w:rPr>
        <w:lastRenderedPageBreak/>
        <w:t xml:space="preserve">все технические и метрологические показатели, записанные в паспорте, прилагаемом к прибору. </w:t>
      </w:r>
    </w:p>
    <w:p w:rsidR="00B26CB4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DDA" w:rsidRPr="00BC0DDA">
        <w:rPr>
          <w:rFonts w:ascii="Times New Roman" w:hAnsi="Times New Roman" w:cs="Times New Roman"/>
          <w:sz w:val="28"/>
          <w:szCs w:val="28"/>
        </w:rPr>
        <w:t xml:space="preserve">Работать на непроверенном приборе запрещается. Погрешность прибора входит в общую погрешность анализа. Погрешность анализа включает погрешности лаборанта, отбора пробы, дозирования, измерения. </w:t>
      </w:r>
    </w:p>
    <w:p w:rsidR="00BC0DDA" w:rsidRPr="00BC0DDA" w:rsidRDefault="00B26CB4" w:rsidP="00BC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В связи с тем, что поверочными средствами КДЛ не располагают, некоторые характеристики фотометрических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абсорбциометров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могут быть проверены с помощью контрольных светофильтров, входящих в компле</w:t>
      </w:r>
      <w:proofErr w:type="gramStart"/>
      <w:r w:rsidR="00BC0DDA" w:rsidRPr="00BC0DDA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ибору. Проверка может быть также осуществлена с помощью специально приготовленных растворов — жидких индикаторов, которые в определенной области спектра имеют постоянные спектральные характеристики. Жидкие индикаторы могут быть приготовлены непосредственно в КДЛ и позволяют проводить проверку точности измерений в различных областях спектра (от 300 до 550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). Пик абсорбции светофильтра должен находиться вблизи от пика абсорбции жидких индикаторов. Кроме того, приготовив соответствующие разведения данных растворов, можно проверить </w:t>
      </w:r>
      <w:proofErr w:type="spellStart"/>
      <w:r w:rsidR="00BC0DDA" w:rsidRPr="00BC0DDA">
        <w:rPr>
          <w:rFonts w:ascii="Times New Roman" w:hAnsi="Times New Roman" w:cs="Times New Roman"/>
          <w:sz w:val="28"/>
          <w:szCs w:val="28"/>
        </w:rPr>
        <w:t>липидность</w:t>
      </w:r>
      <w:proofErr w:type="spellEnd"/>
      <w:r w:rsidR="00BC0DDA" w:rsidRPr="00BC0DDA">
        <w:rPr>
          <w:rFonts w:ascii="Times New Roman" w:hAnsi="Times New Roman" w:cs="Times New Roman"/>
          <w:sz w:val="28"/>
          <w:szCs w:val="28"/>
        </w:rPr>
        <w:t xml:space="preserve"> данного прибора. Измерения проводятся в кювете с длиной оптического пути 10 мм.</w:t>
      </w:r>
    </w:p>
    <w:sectPr w:rsidR="00BC0DDA" w:rsidRPr="00BC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AC"/>
    <w:multiLevelType w:val="hybridMultilevel"/>
    <w:tmpl w:val="0366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8F"/>
    <w:rsid w:val="006C4E8F"/>
    <w:rsid w:val="007D19E4"/>
    <w:rsid w:val="00B26CB4"/>
    <w:rsid w:val="00BC0DDA"/>
    <w:rsid w:val="00C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2162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2019-06-06T10:42:00Z</dcterms:created>
  <dcterms:modified xsi:type="dcterms:W3CDTF">2019-06-06T11:26:00Z</dcterms:modified>
</cp:coreProperties>
</file>