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51B" w:rsidRPr="006B4230" w:rsidRDefault="008A551B" w:rsidP="006B4230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6B4230">
        <w:rPr>
          <w:rFonts w:ascii="Times New Roman" w:hAnsi="Times New Roman" w:cs="Times New Roman"/>
          <w:sz w:val="28"/>
          <w:szCs w:val="28"/>
        </w:rPr>
        <w:t>В.Ф.Войно</w:t>
      </w:r>
      <w:proofErr w:type="spellEnd"/>
      <w:r w:rsidRPr="006B4230">
        <w:rPr>
          <w:rFonts w:ascii="Times New Roman" w:hAnsi="Times New Roman" w:cs="Times New Roman"/>
          <w:sz w:val="28"/>
          <w:szCs w:val="28"/>
        </w:rPr>
        <w:t>-Ясенецкого" Министерства здравоохранения Российской Федерации</w:t>
      </w: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>Кафедра кардиологии, функциональной и клинико-лабораторной диагностики ИПО</w:t>
      </w:r>
    </w:p>
    <w:p w:rsidR="008A551B" w:rsidRPr="006B4230" w:rsidRDefault="008A551B" w:rsidP="006B42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4230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Pr="006B4230">
        <w:rPr>
          <w:rFonts w:ascii="Times New Roman" w:hAnsi="Times New Roman" w:cs="Times New Roman"/>
          <w:sz w:val="28"/>
          <w:szCs w:val="28"/>
        </w:rPr>
        <w:t>: ДМН, Профессор Матюшин Г. В.</w:t>
      </w:r>
    </w:p>
    <w:p w:rsidR="008A551B" w:rsidRPr="006B4230" w:rsidRDefault="008A551B" w:rsidP="006B42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>РЕФЕРАТ на тему:</w:t>
      </w:r>
    </w:p>
    <w:p w:rsidR="008A551B" w:rsidRPr="00AE29C0" w:rsidRDefault="005E13F2" w:rsidP="006B4230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Острое легочное сердце</w:t>
      </w:r>
      <w:r w:rsidR="00AE29C0">
        <w:rPr>
          <w:rFonts w:ascii="Times New Roman" w:hAnsi="Times New Roman" w:cs="Times New Roman"/>
          <w:sz w:val="28"/>
          <w:szCs w:val="28"/>
        </w:rPr>
        <w:t>.</w:t>
      </w: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551B" w:rsidRPr="00421050" w:rsidRDefault="008A551B" w:rsidP="006B4230">
      <w:pPr>
        <w:pStyle w:val="Standard"/>
        <w:ind w:left="-567" w:firstLine="567"/>
        <w:jc w:val="right"/>
      </w:pPr>
      <w:r w:rsidRPr="006B4230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421050">
        <w:rPr>
          <w:rFonts w:ascii="Times New Roman" w:hAnsi="Times New Roman" w:cs="Times New Roman"/>
          <w:sz w:val="28"/>
          <w:szCs w:val="28"/>
        </w:rPr>
        <w:t>о</w:t>
      </w:r>
      <w:r w:rsidRPr="006B4230">
        <w:rPr>
          <w:rFonts w:ascii="Times New Roman" w:hAnsi="Times New Roman" w:cs="Times New Roman"/>
          <w:sz w:val="28"/>
          <w:szCs w:val="28"/>
        </w:rPr>
        <w:t xml:space="preserve">рдинатор </w:t>
      </w:r>
      <w:r w:rsidR="00421050" w:rsidRPr="00421050">
        <w:rPr>
          <w:rFonts w:ascii="Times New Roman" w:hAnsi="Times New Roman" w:cs="Times New Roman"/>
          <w:sz w:val="28"/>
          <w:szCs w:val="28"/>
        </w:rPr>
        <w:t>2</w:t>
      </w:r>
      <w:r w:rsidRPr="006B4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230">
        <w:rPr>
          <w:rFonts w:ascii="Times New Roman" w:hAnsi="Times New Roman" w:cs="Times New Roman"/>
          <w:sz w:val="28"/>
          <w:szCs w:val="28"/>
        </w:rPr>
        <w:t>года</w:t>
      </w:r>
      <w:r w:rsidR="00421050" w:rsidRPr="004210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21050" w:rsidRPr="00421050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proofErr w:type="gramEnd"/>
      <w:r w:rsidR="00421050" w:rsidRPr="00421050">
        <w:rPr>
          <w:rFonts w:ascii="Times New Roman" w:hAnsi="Times New Roman" w:cs="Times New Roman"/>
          <w:sz w:val="28"/>
          <w:szCs w:val="28"/>
        </w:rPr>
        <w:t xml:space="preserve"> Е.Э.</w:t>
      </w: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51B" w:rsidRPr="006B4230" w:rsidRDefault="008A551B" w:rsidP="006B4230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>Красноярск</w:t>
      </w:r>
      <w:r w:rsidR="00421050">
        <w:rPr>
          <w:rFonts w:ascii="Times New Roman" w:hAnsi="Times New Roman" w:cs="Times New Roman"/>
          <w:sz w:val="28"/>
          <w:szCs w:val="28"/>
        </w:rPr>
        <w:t xml:space="preserve"> </w:t>
      </w:r>
      <w:r w:rsidRPr="006B4230">
        <w:rPr>
          <w:rFonts w:ascii="Times New Roman" w:hAnsi="Times New Roman" w:cs="Times New Roman"/>
          <w:sz w:val="28"/>
          <w:szCs w:val="28"/>
        </w:rPr>
        <w:t>202</w:t>
      </w:r>
      <w:r w:rsidR="00421050">
        <w:rPr>
          <w:rFonts w:ascii="Times New Roman" w:hAnsi="Times New Roman" w:cs="Times New Roman"/>
          <w:sz w:val="28"/>
          <w:szCs w:val="28"/>
        </w:rPr>
        <w:t>3 г.</w:t>
      </w:r>
    </w:p>
    <w:p w:rsidR="00844599" w:rsidRDefault="005E13F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CFE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Острая правожелудочковая недостаточность (острое легочное сердце)</w:t>
      </w:r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> характеризуется острым расширением сердца и легочной артерии, выраженной гипертензией в них, снижением сократительной функции правых отделов сердца, нарушаем диффузии газов в легких и гипоксемией, застоем в большом круге кровообращения.</w:t>
      </w:r>
      <w:r w:rsidRPr="007C2CFE">
        <w:rPr>
          <w:rFonts w:ascii="Times New Roman" w:hAnsi="Times New Roman" w:cs="Times New Roman"/>
          <w:sz w:val="28"/>
          <w:szCs w:val="28"/>
        </w:rPr>
        <w:br/>
      </w:r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 острого легочного сердца основывается на быстрой оценке клинической ситуации, использовании в целях экспресс-информации ЭКГ и рентгенографии, зондирования правых отделов сердца и легочной артерии с последующей селективной </w:t>
      </w:r>
      <w:proofErr w:type="spellStart"/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>ангиопульмонографией</w:t>
      </w:r>
      <w:proofErr w:type="spellEnd"/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изучении газового состава артериальной крови.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3F2" w:rsidRDefault="005E13F2" w:rsidP="007C2CFE">
      <w:pPr>
        <w:spacing w:after="0"/>
        <w:ind w:left="-567" w:firstLine="567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CFE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Этиология и патогенез</w:t>
      </w:r>
    </w:p>
    <w:p w:rsidR="007C2CFE" w:rsidRPr="007C2CFE" w:rsidRDefault="007C2CFE" w:rsidP="007C2CFE">
      <w:pPr>
        <w:spacing w:after="0"/>
        <w:ind w:left="-567" w:firstLine="567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3F2" w:rsidRPr="005E13F2" w:rsidRDefault="005E13F2" w:rsidP="007C2CF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частой причиной развития острой правожелудочковой недостаточности является массивная тромбоэмболия легочной артерии (ТЭЛА) и ее ветвей. </w:t>
      </w: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5E13F2" w:rsidRPr="005E13F2" w:rsidRDefault="005E13F2" w:rsidP="007C2CF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 острого легочного сердца (на фоне ТЭЛА).</w:t>
      </w: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формировании ОЛС участвуют два патогенетических механизма:</w:t>
      </w:r>
    </w:p>
    <w:p w:rsidR="005E13F2" w:rsidRPr="005E13F2" w:rsidRDefault="005E13F2" w:rsidP="007C2CF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«механическая» обструкция сосудистого русла,</w:t>
      </w:r>
    </w:p>
    <w:p w:rsidR="005E13F2" w:rsidRPr="005E13F2" w:rsidRDefault="005E13F2" w:rsidP="007C2CF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гуморальные изменения.</w:t>
      </w: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5E13F2" w:rsidRPr="005E13F2" w:rsidRDefault="005E13F2" w:rsidP="007C2CF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«Механическая» обструкция сосудистого русла возникает вследствие обширной обструкции артериального русла легких (на 40–50%, что соответствует включению в патологический процесс 2–3 ветвей легочной артерии), что увеличивает общее легочное сосудистое сопротивление (ОЛСС). Увеличение ОЛСС сопровождается </w:t>
      </w:r>
      <w:proofErr w:type="spellStart"/>
      <w:proofErr w:type="gramStart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proofErr w:type="spellEnd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</w:t>
      </w:r>
      <w:proofErr w:type="gramEnd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 в легочной артерии, препятствующей выбросу крови из правого </w:t>
      </w:r>
      <w:proofErr w:type="spellStart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</w:t>
      </w:r>
      <w:proofErr w:type="spellEnd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-ка, уменьшению наполнения левого желудочка, что суммарно приводит к снижению минутного объема крови и падению артериального давления (АД).</w:t>
      </w:r>
    </w:p>
    <w:p w:rsidR="005E13F2" w:rsidRPr="005E13F2" w:rsidRDefault="005E13F2" w:rsidP="007C2CF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Гуморальные нарушения, возникающие в первые часы после обструкции сосудистого русла, в результате выброса биологически активных субстанций (серотонина, простагландинов, катехоламинов, выделение </w:t>
      </w:r>
      <w:proofErr w:type="spellStart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конвертазы</w:t>
      </w:r>
      <w:proofErr w:type="spellEnd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ангиотензинпревращающего</w:t>
      </w:r>
      <w:proofErr w:type="spellEnd"/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фермента, гистамин), приводят к рефлекторному сужению мелких ветвей легочной артерии (генерализованная гипертоническая реакция легочных артерий), что еще больше увеличивает ОЛСС.</w:t>
      </w:r>
    </w:p>
    <w:p w:rsidR="005E13F2" w:rsidRPr="005E13F2" w:rsidRDefault="005E13F2" w:rsidP="007C2CFE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часы после ТЭЛА характеризуются особенно высокой легочной артериальной гипертензией, быстро приводящей к перенапряжению правого желудочка, его дилатации и декомпенсации.</w:t>
      </w: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C2CFE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ТЭЛА — очень распространённая патология; её диагностируют у 23-220 человек из 100 000 в год. Смертность вследствие ТЭЛА составляет 10-20%. У 40-70% больных лёгочную эмболию не диагностируют. ТЭЛА является третьей по частоте причиной смерти от сердечно-сосудистых заболеваний после инфаркта миокарда и инсульта.   </w:t>
      </w: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E13F2" w:rsidRDefault="005E13F2" w:rsidP="007C2CF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C2CFE">
        <w:rPr>
          <w:rFonts w:ascii="Times New Roman" w:hAnsi="Times New Roman" w:cs="Times New Roman"/>
          <w:b/>
          <w:sz w:val="28"/>
          <w:szCs w:val="28"/>
        </w:rPr>
        <w:t>Факторы и группы риска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более адекватной диагностики ТЭЛА были предложены различные шкалы для подтверждения вероятности ее развития. Одной из наиболее используемых из этих шкал был Женевский счет клинической вероятности ТЭЛА. В данной шкале все факторы риска развития ТЭЛА распределялись по баллам, а суммарное количество баллов говорило о величине вероятности развития ТЭЛА у конкретного пациента.</w:t>
      </w: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показательным было сравнение Женевского счета и счета </w:t>
      </w:r>
      <w:proofErr w:type="spellStart"/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>Wells</w:t>
      </w:r>
      <w:proofErr w:type="spellEnd"/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они оказались самыми </w:t>
      </w:r>
      <w:proofErr w:type="spellStart"/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прогностически</w:t>
      </w:r>
      <w:proofErr w:type="spellEnd"/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точными подсчетами в диагностике ТЭЛА. Сравнение этих двух таблиц показало, что при низкой (6 против 9 %) и средней (23 против 26 %) вероятности развития ТЭЛА данные шкалы риска не различались. При диагностике с высокой вероятностью развития ТЭЛА Женевский счет превосходил счет </w:t>
      </w:r>
      <w:proofErr w:type="spellStart"/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>Wells</w:t>
      </w:r>
      <w:proofErr w:type="spellEnd"/>
      <w:r w:rsidRPr="007C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 в два раза - 49 против 76 %.</w:t>
      </w: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>Клиническая картина</w:t>
      </w:r>
    </w:p>
    <w:p w:rsidR="005E13F2" w:rsidRPr="007C2CFE" w:rsidRDefault="005E13F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C2CFE" w:rsidRDefault="007C2CFE" w:rsidP="007C2CFE">
      <w:pPr>
        <w:spacing w:after="0"/>
        <w:ind w:left="-567" w:firstLine="567"/>
        <w:rPr>
          <w:rFonts w:ascii="Times New Roman" w:eastAsiaTheme="majorEastAsia" w:hAnsi="Times New Roman" w:cs="Times New Roman"/>
          <w:sz w:val="28"/>
          <w:szCs w:val="28"/>
        </w:rPr>
      </w:pPr>
      <w:r w:rsidRPr="007C2CFE">
        <w:rPr>
          <w:rFonts w:ascii="Times New Roman" w:eastAsiaTheme="majorEastAsia" w:hAnsi="Times New Roman" w:cs="Times New Roman"/>
          <w:sz w:val="28"/>
          <w:szCs w:val="28"/>
        </w:rPr>
        <w:t xml:space="preserve">Для ТЭЛА наиболее характерны одышка, боль в грудной клетке, потеря сознания, кровохарканье, артериальная гипоксемия. Выраженность клинических проявлений зависит от тяжести ТЭЛА, предшествующего состояния сердечно-сосудистой системы и наличия сопутствующей патологии. В ряде случаев ТЭЛА протекает </w:t>
      </w:r>
      <w:proofErr w:type="spellStart"/>
      <w:r w:rsidRPr="007C2CFE">
        <w:rPr>
          <w:rFonts w:ascii="Times New Roman" w:eastAsiaTheme="majorEastAsia" w:hAnsi="Times New Roman" w:cs="Times New Roman"/>
          <w:sz w:val="28"/>
          <w:szCs w:val="28"/>
        </w:rPr>
        <w:t>малосимптомно</w:t>
      </w:r>
      <w:proofErr w:type="spellEnd"/>
      <w:r w:rsidRPr="007C2CFE">
        <w:rPr>
          <w:rFonts w:ascii="Times New Roman" w:eastAsiaTheme="majorEastAsia" w:hAnsi="Times New Roman" w:cs="Times New Roman"/>
          <w:sz w:val="28"/>
          <w:szCs w:val="28"/>
        </w:rPr>
        <w:t xml:space="preserve"> или бессимптомно. </w:t>
      </w:r>
    </w:p>
    <w:p w:rsidR="007C2CFE" w:rsidRDefault="007C2CFE" w:rsidP="007C2CFE">
      <w:pPr>
        <w:spacing w:after="0"/>
        <w:ind w:left="-567" w:firstLine="567"/>
        <w:rPr>
          <w:rFonts w:ascii="Times New Roman" w:eastAsiaTheme="majorEastAsia" w:hAnsi="Times New Roman" w:cs="Times New Roman"/>
          <w:sz w:val="28"/>
          <w:szCs w:val="28"/>
        </w:rPr>
      </w:pPr>
      <w:r w:rsidRPr="007C2CFE">
        <w:rPr>
          <w:rFonts w:ascii="Times New Roman" w:eastAsiaTheme="majorEastAsia" w:hAnsi="Times New Roman" w:cs="Times New Roman"/>
          <w:sz w:val="28"/>
          <w:szCs w:val="28"/>
        </w:rPr>
        <w:t xml:space="preserve">Клинических проявлений и признаков, специфичных для ТЭЛА, нет – все они могут встречаться при других заболеваниях, с которыми необходимо проводить дифференциальную диагностику. Поэтому, ориентируясь на клинику, можно только в той или иной степени заподозрить наличие ТЭЛА, но для подтверждения или исключения диагноза необходимы дополнительные методы лабораторной и инструментальной диагностики. 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eastAsiaTheme="majorEastAsia" w:hAnsi="Times New Roman" w:cs="Times New Roman"/>
          <w:sz w:val="28"/>
          <w:szCs w:val="28"/>
        </w:rPr>
        <w:t xml:space="preserve">В целом чем больше факторов, предрасполагающих к возникновению тромбоза глубоких вен и ТЭЛА, в также симптомов и признаков, характерных для ТЭЛА, тем более вероятно ее наличие. Для оценки вероятности наличия ТЭЛА по клиническим данным рекомендуется ориентироваться на собственные врачебные знания и опыт или использовать </w:t>
      </w:r>
      <w:proofErr w:type="spellStart"/>
      <w:r w:rsidRPr="007C2CFE">
        <w:rPr>
          <w:rFonts w:ascii="Times New Roman" w:eastAsiaTheme="majorEastAsia" w:hAnsi="Times New Roman" w:cs="Times New Roman"/>
          <w:sz w:val="28"/>
          <w:szCs w:val="28"/>
        </w:rPr>
        <w:t>валидированные</w:t>
      </w:r>
      <w:proofErr w:type="spellEnd"/>
      <w:r w:rsidRPr="007C2CFE">
        <w:rPr>
          <w:rFonts w:ascii="Times New Roman" w:eastAsiaTheme="majorEastAsia" w:hAnsi="Times New Roman" w:cs="Times New Roman"/>
          <w:sz w:val="28"/>
          <w:szCs w:val="28"/>
        </w:rPr>
        <w:t xml:space="preserve"> индексы – индекс </w:t>
      </w:r>
      <w:proofErr w:type="spellStart"/>
      <w:r w:rsidRPr="007C2CFE">
        <w:rPr>
          <w:rFonts w:ascii="Times New Roman" w:eastAsiaTheme="majorEastAsia" w:hAnsi="Times New Roman" w:cs="Times New Roman"/>
          <w:sz w:val="28"/>
          <w:szCs w:val="28"/>
        </w:rPr>
        <w:t>Wells</w:t>
      </w:r>
      <w:proofErr w:type="spellEnd"/>
      <w:r w:rsidRPr="007C2CFE">
        <w:rPr>
          <w:rFonts w:ascii="Times New Roman" w:eastAsiaTheme="majorEastAsia" w:hAnsi="Times New Roman" w:cs="Times New Roman"/>
          <w:sz w:val="28"/>
          <w:szCs w:val="28"/>
        </w:rPr>
        <w:t xml:space="preserve"> или </w:t>
      </w:r>
      <w:r w:rsidRPr="007C2CFE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модифицированный индекс </w:t>
      </w:r>
      <w:proofErr w:type="spellStart"/>
      <w:r w:rsidRPr="007C2CFE">
        <w:rPr>
          <w:rFonts w:ascii="Times New Roman" w:eastAsiaTheme="majorEastAsia" w:hAnsi="Times New Roman" w:cs="Times New Roman"/>
          <w:sz w:val="28"/>
          <w:szCs w:val="28"/>
        </w:rPr>
        <w:t>Geneva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7C2CFE">
        <w:rPr>
          <w:rFonts w:ascii="Times New Roman" w:eastAsiaTheme="majorEastAsia" w:hAnsi="Times New Roman" w:cs="Times New Roman"/>
          <w:sz w:val="28"/>
          <w:szCs w:val="28"/>
        </w:rPr>
        <w:t>Итогом клинической оценки должно явиться суждение о низкой, средней или высокой вероятности наличия ТЭЛА. Возможно также разделение больных на две группы – тех, у кого ТЭЛА по клиническим данным вероятна, и тех, у кого она маловероятна.</w:t>
      </w:r>
    </w:p>
    <w:p w:rsidR="005E13F2" w:rsidRPr="007C2CFE" w:rsidRDefault="005E13F2" w:rsidP="007C2CFE">
      <w:pPr>
        <w:pStyle w:val="3"/>
        <w:spacing w:before="0"/>
        <w:ind w:left="-567" w:firstLine="567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7C2CFE">
        <w:rPr>
          <w:rFonts w:ascii="Times New Roman" w:hAnsi="Times New Roman" w:cs="Times New Roman"/>
          <w:bCs w:val="0"/>
          <w:color w:val="auto"/>
          <w:sz w:val="28"/>
          <w:szCs w:val="28"/>
        </w:rPr>
        <w:t>Cимптомы</w:t>
      </w:r>
      <w:proofErr w:type="spellEnd"/>
      <w:r w:rsidRPr="007C2CFE">
        <w:rPr>
          <w:rFonts w:ascii="Times New Roman" w:hAnsi="Times New Roman" w:cs="Times New Roman"/>
          <w:bCs w:val="0"/>
          <w:color w:val="auto"/>
          <w:sz w:val="28"/>
          <w:szCs w:val="28"/>
        </w:rPr>
        <w:t>, течение</w:t>
      </w:r>
    </w:p>
    <w:p w:rsidR="005E13F2" w:rsidRPr="007C2CFE" w:rsidRDefault="005E13F2" w:rsidP="007C2CFE">
      <w:pPr>
        <w:pStyle w:val="a4"/>
        <w:spacing w:before="0" w:beforeAutospacing="0" w:after="0" w:afterAutospacing="0"/>
        <w:ind w:left="-567" w:firstLine="567"/>
        <w:rPr>
          <w:sz w:val="28"/>
          <w:szCs w:val="28"/>
        </w:rPr>
      </w:pPr>
      <w:r w:rsidRPr="007C2CFE">
        <w:rPr>
          <w:sz w:val="28"/>
          <w:szCs w:val="28"/>
        </w:rPr>
        <w:t> </w:t>
      </w:r>
    </w:p>
    <w:p w:rsidR="005E13F2" w:rsidRDefault="005E13F2" w:rsidP="007C2CFE">
      <w:pPr>
        <w:pStyle w:val="a4"/>
        <w:spacing w:before="0" w:beforeAutospacing="0" w:after="0" w:afterAutospacing="0"/>
        <w:ind w:left="-567" w:firstLine="567"/>
        <w:rPr>
          <w:sz w:val="28"/>
          <w:szCs w:val="28"/>
        </w:rPr>
      </w:pPr>
      <w:r w:rsidRPr="007C2CFE">
        <w:rPr>
          <w:sz w:val="28"/>
          <w:szCs w:val="28"/>
        </w:rPr>
        <w:t xml:space="preserve">Начало заболевания, как правило, острое. Клиническая картина зависит от характера основного процесса, степени поражения легочных сосудов и выраженности дыхательной недостаточности. Одним из характерных симптомов ТЭЛА и острого легочного сердца является внезапное появление одышки. Возникает также резкая кинжальная боль за грудиной, как при инфаркте миокарда. Кровохарканье и боль в груди как признаки развития инфаркта легкого вначале появляются редко. Головокружение, тошнота, рвота, потеря сознания, судороги — признаки циркуляторной гипоксии мозга и в общем не патогномоничны для ТЭЛА. При объективном обследовании нередко отмечаются признаки кардиогенного шока со снижением артериального давления, симптомами </w:t>
      </w:r>
      <w:proofErr w:type="spellStart"/>
      <w:r w:rsidRPr="007C2CFE">
        <w:rPr>
          <w:sz w:val="28"/>
          <w:szCs w:val="28"/>
        </w:rPr>
        <w:t>гипоперфузии</w:t>
      </w:r>
      <w:proofErr w:type="spellEnd"/>
      <w:r w:rsidRPr="007C2CFE">
        <w:rPr>
          <w:sz w:val="28"/>
          <w:szCs w:val="28"/>
        </w:rPr>
        <w:t xml:space="preserve"> периферических тканей, цианоз, вздутие шейных вен (повышение венозного давления), возможно быстрое набухание и болезненность печени, во втором и третьем межреберье слева усиленная пульсация. При аускультации над легочной артерией 2-й тон усиливается, появляется систолический, а иногда и диастолический шум; у мечевидного отростка нередко выслушивается ритм галопа.</w:t>
      </w:r>
    </w:p>
    <w:p w:rsidR="007C2CFE" w:rsidRPr="007C2CFE" w:rsidRDefault="007C2CFE" w:rsidP="007C2CFE">
      <w:pPr>
        <w:pStyle w:val="a4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5E13F2" w:rsidRDefault="005E13F2" w:rsidP="007C2CFE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F2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b/>
          <w:sz w:val="28"/>
          <w:szCs w:val="28"/>
        </w:rPr>
        <w:t xml:space="preserve">Электрокардиограмма </w:t>
      </w:r>
      <w:r w:rsidRPr="007C2CFE">
        <w:rPr>
          <w:rFonts w:ascii="Times New Roman" w:hAnsi="Times New Roman" w:cs="Times New Roman"/>
          <w:sz w:val="28"/>
          <w:szCs w:val="28"/>
        </w:rPr>
        <w:br/>
        <w:t xml:space="preserve">На электрокардиограмме могут отмечаться признаки растяжения правого желудочка (инверсия зубцов T в отведениях V1- V4, QR в отведении V1, паттерн S1Q3T3, блокада правой ножки пучка Гиса), которые обычно возникают в тяжелых случаях. У более легких больных изменения на ЭКГ ограничиваются синусовой тахикардией, возникновением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суправентрикулярных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аритмий (чаще всего фибрилляции предсердий). Вместе с тем, все указанные изменения не специфичны для ТЭЛА и могут отсутствовать.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C2CFE">
        <w:rPr>
          <w:rFonts w:ascii="Times New Roman" w:hAnsi="Times New Roman" w:cs="Times New Roman"/>
          <w:b/>
          <w:sz w:val="28"/>
          <w:szCs w:val="28"/>
        </w:rPr>
        <w:t xml:space="preserve">Эхокардиография 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Острая ТЭЛА сопровождается повышением давления в правом желудочке и его дисфункцией, что может быть диагностировано с помощью эхокардиографии. Рутинное применение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для диагностики ТЭЛА у пациентов со стабильной гемодинамикой не рекомендуется. Для пациентов в крайне нестабильном состоянии либо при отсутствии возможности проведения других тестов, диагноз ТЭЛА можно поставить на основе одних лишь косвенных результатов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, </w:t>
      </w:r>
      <w:r w:rsidRPr="007C2CFE">
        <w:rPr>
          <w:rFonts w:ascii="Times New Roman" w:hAnsi="Times New Roman" w:cs="Times New Roman"/>
          <w:sz w:val="28"/>
          <w:szCs w:val="28"/>
        </w:rPr>
        <w:lastRenderedPageBreak/>
        <w:t xml:space="preserve">проведя верифицирующие обследования после стабилизации состояния пациента. Удобство ультразвукового исследования сердца при ТЭЛА заключается, прежде всего, в возможности оценить все изменения в реальном времени у постели больного, и при его тяжелом состоянии помогает быстрой диагностике ТЭЛА. Необходимо различать особенности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эхокардиографической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диагностики острой и хронической тромбоэмболии легочной артерии. В настоящее время прижизненная диагностика ТЭЛА у внезапно умерших пациентов осуществляется лишь в 7% случаев, а у 59% пациентов это грозное заболевание остается нераспознанным и устанавливается лишь после смерти. Частота подтвержденной ХТЭЛГ после перенесенной ТЭЛА составляет около 1,5%, заболевание в основном формируется не ранее, чем через 2-3 месяца после эпизода ТЭЛА. К типичным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эхокардиографическим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признакам ТЭЛА и ХТЭЛГ относятся: дилатация и нарушение сократимости правого желудочка, увеличение отношения размеров правого желудочка к левому, расширение ствола и ветвей легочной артерии, увеличение скорости потока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крови на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трикуспидальном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и легочном клапанах и др. (рис. 1). Однако с учетом особенностей геометрии ПЖ не существует единственного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показателя, по которому можно было бы быстро и надежно установить его дисфункцию, а течение заболевания не всегда сопровождается типичными признаками. Поэтому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эхокардиографическая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диагностика ТЭЛА и ХТЭЛГ сложна, а значимость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критериев варьирует в разных исследованиях. Так как негативная предсказательная ценность отдельных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эхокардиографических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показателей дисфункции ПЖ в среднем составляет 40-50%, то отрицательный результат не исключает диагноза ТЭЛА. Наиболее специфичным признаком острой ТЭЛА является нарушение систолической функции ПЖ, выражающееся в снижении сократимости свободной стенки ПЖ по сравнению с гиперкинезом или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нормокинезом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его верхушки (симптом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МакКоннелла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McConnell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)). Чувствительность данного признака составляет 77%, специфичность – 94%, а высокое положительное прогностическое значение отмечается даже при наличии сопутствующих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кардиореспираторных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заболеваний. Недостатком симптома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МакКоннелла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является его субъективная и качественная оценка.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>Также одним из специфических, но обладающих низкой чувствительностью признаков ТЭЛА, является симптом “60/60”, когда определяется уменьшение времени ускорения кровотока в устье легочной артерии.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Эхокардиографические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параметры, используемые для стратификации раннего риска смерти у пациентов с ТЭЛА.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br/>
        <w:t xml:space="preserve"> Классификация тяжести легочной тромбоэмболии, определяющая стратегию ее </w:t>
      </w:r>
      <w:r w:rsidRPr="007C2CFE">
        <w:rPr>
          <w:rFonts w:ascii="Times New Roman" w:hAnsi="Times New Roman" w:cs="Times New Roman"/>
          <w:sz w:val="28"/>
          <w:szCs w:val="28"/>
        </w:rPr>
        <w:lastRenderedPageBreak/>
        <w:t xml:space="preserve">неотложного лечения, основана на определении риска смерти в течение 30 дней. Осложнения острой ТЭЛА преимущественно гемодинамические, они проявляются тогда, когда наблюдается обструкция более 30-35% легочного сосудистого русла. Ранняя (госпитальная или 30-дневная) смертность при этом зависит от выраженности клинической симптоматики, тяжести дисфункции правого желудочка и повреждения его миокарда. 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трансторакальной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ЭХОКГ у пациентов с подозрением на ТЭЛА рекомендуется определять ряд признаков, каждый из которых имеет неблагоприятное прогностическое значение: 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- увеличение размера правого желудочка (в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позиции по длинной оси); 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- расширение ПЖ с соотношением базальных диаметров ПЖ/ ЛЖ ≥1,0 и признак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McConnell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(четырехкамерная позиция); 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>- уплощение межжелудочковой перегородки (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парастернальная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позиция по короткой оси);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- растяжение нижней полой вены и уменьшением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спадения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на вдохе (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субкостальная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позиция);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 - признак «60/60» (одновременное ускорение выброса крови в легочную артерию менее 60 сек и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среднедиастолическая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“зазубрина” со слегка повышенным (менее 60 мм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.) пиковым систолическим градиентом на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трикуспидальном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клапане; 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- мобильный тромб в правых отделах сердца; 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- сниженная систолическая экскурсия плоскости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трикуспидального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клапана (менее 16 мм), измеренная в М-режиме;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- сниженная пиковая скорость кольца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трикуспидального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клапана в систолу (ниже 9,5 см/сек). 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Эхокардиографические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параметры, используемые для стратификации раннего риска смерти у пациентов с ТЭЛА, представлены в таблице 3. Наиболее чувствительными, специфичными и обладающими высокой положительной предсказательной ценностью являются показатели отношения диаметров ПЖ/ ЛЖ≥1 и TAPSE&lt;1,6 см.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 xml:space="preserve">Несмотря на свою значимость и доступность,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трансторакальная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не является методом выбора в диагностике ТЭЛА, особенно у больных со стабильной гемодинамикой. Тем не менее, она позволяет осуществлять скрининг у симптоматичных пациентов и в группах с факторами риска, проводить дифференциальную диагностику различных заболеваний, приводящих к развитию ЛГ, оценивать тяжесть и прогноз больных, а также эффективность проводимого лечения.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>Рентгенография органов грудной клетки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Характерные рентгенологические симптомы в начале заболевания отсутствуют. В последующем может определяться расширение ствола легочной артерии, увеличение правого желудочка, выпячивание правой дуги и верхней полой вены. При ТЭЛА — рентгенологическая картина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крупных ветвей. Рентгенологические симптомы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крупных ветвей легочной артерии без развития инфаркта легкого: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>1) выбухание легочного конуса и расширение тени сердца вправо за счет правого предсердия;</w:t>
      </w:r>
      <w:r w:rsidRPr="007C2CFE">
        <w:rPr>
          <w:rFonts w:ascii="Times New Roman" w:hAnsi="Times New Roman" w:cs="Times New Roman"/>
          <w:sz w:val="28"/>
          <w:szCs w:val="28"/>
        </w:rPr>
        <w:br/>
        <w:t xml:space="preserve">2) резкое расширение корня легкого (реже двустороннее), его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обрубленность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>, деформация, фрагментация; </w:t>
      </w:r>
      <w:r w:rsidRPr="007C2CFE">
        <w:rPr>
          <w:rFonts w:ascii="Times New Roman" w:hAnsi="Times New Roman" w:cs="Times New Roman"/>
          <w:sz w:val="28"/>
          <w:szCs w:val="28"/>
        </w:rPr>
        <w:br/>
        <w:t>3) ампутация на уровне устья долевой артерии с регионарным исчезновением или ослаблением сосудистого рисунка; </w:t>
      </w:r>
      <w:r w:rsidRPr="007C2CFE">
        <w:rPr>
          <w:rFonts w:ascii="Times New Roman" w:hAnsi="Times New Roman" w:cs="Times New Roman"/>
          <w:sz w:val="28"/>
          <w:szCs w:val="28"/>
        </w:rPr>
        <w:br/>
        <w:t>4) локальное просветление дисковидных ателектазов в легких; </w:t>
      </w:r>
      <w:r w:rsidRPr="007C2CFE">
        <w:rPr>
          <w:rFonts w:ascii="Times New Roman" w:hAnsi="Times New Roman" w:cs="Times New Roman"/>
          <w:sz w:val="28"/>
          <w:szCs w:val="28"/>
        </w:rPr>
        <w:br/>
        <w:t>5) высокое стояние диафрагмы на стороне поражения.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>В диагностике степени выраженности правожелудочковой сердечной недостаточности первостепенное значение придается инвазивным методам исследования гемодинамики с </w:t>
      </w:r>
      <w:r w:rsidRPr="007C2CFE">
        <w:rPr>
          <w:rFonts w:ascii="Times New Roman" w:hAnsi="Times New Roman" w:cs="Times New Roman"/>
          <w:b/>
          <w:bCs/>
          <w:sz w:val="28"/>
          <w:szCs w:val="28"/>
        </w:rPr>
        <w:t xml:space="preserve">зондированием правых отделов сердца, легочной артерии и с последующей </w:t>
      </w:r>
      <w:proofErr w:type="spellStart"/>
      <w:r w:rsidRPr="007C2CFE">
        <w:rPr>
          <w:rFonts w:ascii="Times New Roman" w:hAnsi="Times New Roman" w:cs="Times New Roman"/>
          <w:b/>
          <w:bCs/>
          <w:sz w:val="28"/>
          <w:szCs w:val="28"/>
        </w:rPr>
        <w:t>артериографией</w:t>
      </w:r>
      <w:proofErr w:type="spellEnd"/>
      <w:r w:rsidRPr="007C2CFE">
        <w:rPr>
          <w:rFonts w:ascii="Times New Roman" w:hAnsi="Times New Roman" w:cs="Times New Roman"/>
          <w:b/>
          <w:bCs/>
          <w:sz w:val="28"/>
          <w:szCs w:val="28"/>
        </w:rPr>
        <w:t xml:space="preserve"> легких</w:t>
      </w:r>
      <w:r w:rsidRPr="007C2CFE">
        <w:rPr>
          <w:rFonts w:ascii="Times New Roman" w:hAnsi="Times New Roman" w:cs="Times New Roman"/>
          <w:sz w:val="28"/>
          <w:szCs w:val="28"/>
        </w:rPr>
        <w:t xml:space="preserve">. В начале заболевания имеется прямая зависимость между объемом поражения сосудов легких и внутрисердечным давлением. Центральное венозное давление также возрастает и превышает нормальный уровень 0,7—0,9 кПа (5—7 мм рт. ст.) в 1,5—2, а то и в 3 раза. Систолическое давление в правом желудочке и легочной артерии повышается до 5,3— 8 кПа (40—60 мм рт. ст.), возрастает также ДДЛА (до 20—24 ми рт. ст.), в то время как давление «заклинивания» в легочных капиллярах остается нормальным (1,1—1,5 кПа — 8—11 мм рт. ст.). Такие различия в уровне давления в разных участках сосудов малого круга кровообращения (особенно между ДДЛА и давлением «заклинивания») являются важными диагностическими критериями ТЭЛА. По мере прогрессирования сердечной недостаточности систолическое давление в правых отделах сердца и легочной артерии снижается, наряду с этим уменьшается и сердечный выброс. В случаях же быстрого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лизироваиия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сгустка и восстановления проходимости по артериальному руслу легочная гипертензия также уменьшается, однако при этом сердечный выброс возрастает. </w:t>
      </w:r>
    </w:p>
    <w:p w:rsidR="00D03962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>У больных с острой правожелудочковой недостаточностью снижается </w:t>
      </w:r>
      <w:r w:rsidRPr="007C2CFE">
        <w:rPr>
          <w:rFonts w:ascii="Times New Roman" w:hAnsi="Times New Roman" w:cs="Times New Roman"/>
          <w:bCs/>
          <w:sz w:val="28"/>
          <w:szCs w:val="28"/>
        </w:rPr>
        <w:t>р02 артериальной крови</w:t>
      </w:r>
      <w:r w:rsidRPr="007C2CFE">
        <w:rPr>
          <w:rFonts w:ascii="Times New Roman" w:hAnsi="Times New Roman" w:cs="Times New Roman"/>
          <w:sz w:val="28"/>
          <w:szCs w:val="28"/>
        </w:rPr>
        <w:t xml:space="preserve"> ниже 10,7 кПа (80 мм рт. ст.). Немаловажное значение в диагностике ТЭЛА приобретает сравнительное определение р02 артериальной крови при дыхании атмосферным воздухом и 100 % кислородом в течение 30 мин. Снижение р02 в артериальной крови менее 8,7 кПа (65 мм рт. ст.) и отсутствие его </w:t>
      </w:r>
      <w:r w:rsidRPr="007C2CFE">
        <w:rPr>
          <w:rFonts w:ascii="Times New Roman" w:hAnsi="Times New Roman" w:cs="Times New Roman"/>
          <w:sz w:val="28"/>
          <w:szCs w:val="28"/>
        </w:rPr>
        <w:lastRenderedPageBreak/>
        <w:t>значительного повышения при дыхании 100% кислородом (в норме до 40—53 кПа — 300—400 мм рт. ст.) с большой вероятностью указывает на ТЭЛА.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>Лабораторная диагностика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03962" w:rsidRPr="007C2CFE" w:rsidRDefault="00D03962" w:rsidP="007C2CFE">
      <w:pPr>
        <w:numPr>
          <w:ilvl w:val="0"/>
          <w:numId w:val="10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>ОАК </w:t>
      </w:r>
      <w:r w:rsidRPr="007C2CFE">
        <w:rPr>
          <w:rFonts w:ascii="Times New Roman" w:hAnsi="Times New Roman" w:cs="Times New Roman"/>
          <w:sz w:val="28"/>
          <w:szCs w:val="28"/>
        </w:rPr>
        <w:t>для оценки индикаторов желудочно-кишечного кровотечения и выбора антикоагулянтной терапии;</w:t>
      </w:r>
    </w:p>
    <w:p w:rsidR="00D03962" w:rsidRPr="007C2CFE" w:rsidRDefault="00D03962" w:rsidP="007C2CFE">
      <w:pPr>
        <w:numPr>
          <w:ilvl w:val="0"/>
          <w:numId w:val="10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>биохимические показатели крови </w:t>
      </w:r>
      <w:r w:rsidRPr="007C2CFE">
        <w:rPr>
          <w:rFonts w:ascii="Times New Roman" w:hAnsi="Times New Roman" w:cs="Times New Roman"/>
          <w:sz w:val="28"/>
          <w:szCs w:val="28"/>
        </w:rPr>
        <w:t>– стандартная панель (электролиты, глюкоза), а также креатинин с расчетом СКФ, общий билирубин, АЛТ, АСТ для оценки индикаторов желудочно-кишечного кровотечения и  выбора антикоагулянтной терапии;</w:t>
      </w:r>
    </w:p>
    <w:p w:rsidR="00D03962" w:rsidRPr="007C2CFE" w:rsidRDefault="00D03962" w:rsidP="007C2CFE">
      <w:pPr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>D-</w:t>
      </w:r>
      <w:proofErr w:type="spellStart"/>
      <w:r w:rsidRPr="007C2CFE">
        <w:rPr>
          <w:rFonts w:ascii="Times New Roman" w:hAnsi="Times New Roman" w:cs="Times New Roman"/>
          <w:b/>
          <w:bCs/>
          <w:sz w:val="28"/>
          <w:szCs w:val="28"/>
        </w:rPr>
        <w:t>димер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> рекомендуется измерять пациентам </w:t>
      </w:r>
      <w:r w:rsidRPr="007C2CFE">
        <w:rPr>
          <w:rFonts w:ascii="Times New Roman" w:hAnsi="Times New Roman" w:cs="Times New Roman"/>
          <w:b/>
          <w:bCs/>
          <w:sz w:val="28"/>
          <w:szCs w:val="28"/>
        </w:rPr>
        <w:t>с низкой или средней клинической вероятностью ТЭЛА </w:t>
      </w:r>
      <w:r w:rsidRPr="007C2CFE">
        <w:rPr>
          <w:rFonts w:ascii="Times New Roman" w:hAnsi="Times New Roman" w:cs="Times New Roman"/>
          <w:sz w:val="28"/>
          <w:szCs w:val="28"/>
        </w:rPr>
        <w:t>с использованием высокочувствительного анализа, чтобы уменьшить потребность в ненужных процедурах и не подвергать пациентов облучению (IA). Уровень D-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для исключения  ТЭЛА у лиц старше 50 лет при низкой и средней клинической вероятности определяется по  формуле «возраст х 10» мкг/л.  Оценка D-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проводится также с учетом  клинической вероятности ТЭЛА (см. приложение 5). Если нет ни одного клинического признака ТЭЛА и   D-димер˂1000 мкг/</w:t>
      </w:r>
      <w:proofErr w:type="gramStart"/>
      <w:r w:rsidRPr="007C2CFE">
        <w:rPr>
          <w:rFonts w:ascii="Times New Roman" w:hAnsi="Times New Roman" w:cs="Times New Roman"/>
          <w:sz w:val="28"/>
          <w:szCs w:val="28"/>
        </w:rPr>
        <w:t>л  -</w:t>
      </w:r>
      <w:proofErr w:type="gramEnd"/>
      <w:r w:rsidRPr="007C2CFE">
        <w:rPr>
          <w:rFonts w:ascii="Times New Roman" w:hAnsi="Times New Roman" w:cs="Times New Roman"/>
          <w:sz w:val="28"/>
          <w:szCs w:val="28"/>
        </w:rPr>
        <w:t xml:space="preserve"> ТЭЛА исключается. Если есть хотя бы 1 симптом, ТЭЛА  устанавливается при  уровне D-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>≥  500 мкг/л. (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IIaB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>);</w:t>
      </w:r>
    </w:p>
    <w:p w:rsidR="00D03962" w:rsidRPr="007C2CFE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>Определение уровня D-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не рекомендуется проводить у пациентов с высокой клинической вероятностью, т.к. даже нормальный уровень D-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не должен исключать ТЭЛА несмотря на использование высокочувствительных тестов определения D-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(IIIA)</w:t>
      </w:r>
      <w:r w:rsidRPr="007C2CFE">
        <w:rPr>
          <w:rFonts w:ascii="Times New Roman" w:hAnsi="Times New Roman" w:cs="Times New Roman"/>
          <w:sz w:val="28"/>
          <w:szCs w:val="28"/>
        </w:rPr>
        <w:br/>
      </w:r>
    </w:p>
    <w:p w:rsidR="00D03962" w:rsidRPr="007C2CFE" w:rsidRDefault="00D03962" w:rsidP="007C2CFE">
      <w:pPr>
        <w:numPr>
          <w:ilvl w:val="0"/>
          <w:numId w:val="12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2CFE">
        <w:rPr>
          <w:rFonts w:ascii="Times New Roman" w:hAnsi="Times New Roman" w:cs="Times New Roman"/>
          <w:b/>
          <w:bCs/>
          <w:sz w:val="28"/>
          <w:szCs w:val="28"/>
        </w:rPr>
        <w:t>Тропонин</w:t>
      </w:r>
      <w:proofErr w:type="spellEnd"/>
      <w:r w:rsidRPr="007C2CFE">
        <w:rPr>
          <w:rFonts w:ascii="Times New Roman" w:hAnsi="Times New Roman" w:cs="Times New Roman"/>
          <w:b/>
          <w:bCs/>
          <w:sz w:val="28"/>
          <w:szCs w:val="28"/>
        </w:rPr>
        <w:t xml:space="preserve">  I</w:t>
      </w:r>
      <w:proofErr w:type="gramEnd"/>
      <w:r w:rsidRPr="007C2CFE">
        <w:rPr>
          <w:rFonts w:ascii="Times New Roman" w:hAnsi="Times New Roman" w:cs="Times New Roman"/>
          <w:b/>
          <w:bCs/>
          <w:sz w:val="28"/>
          <w:szCs w:val="28"/>
        </w:rPr>
        <w:t xml:space="preserve">  или T</w:t>
      </w:r>
      <w:r w:rsidRPr="007C2CFE">
        <w:rPr>
          <w:rFonts w:ascii="Times New Roman" w:hAnsi="Times New Roman" w:cs="Times New Roman"/>
          <w:sz w:val="28"/>
          <w:szCs w:val="28"/>
        </w:rPr>
        <w:t xml:space="preserve"> в плазме   необходим для верификации пациентов высокого и промежуточного риска,  в т.ч. при использовании  ускоренного риск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стратификатора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D03962" w:rsidRPr="007C2CFE" w:rsidRDefault="00D03962" w:rsidP="007C2CFE">
      <w:pPr>
        <w:numPr>
          <w:ilvl w:val="0"/>
          <w:numId w:val="12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>NT-</w:t>
      </w:r>
      <w:proofErr w:type="spellStart"/>
      <w:r w:rsidRPr="007C2CFE">
        <w:rPr>
          <w:rFonts w:ascii="Times New Roman" w:hAnsi="Times New Roman" w:cs="Times New Roman"/>
          <w:b/>
          <w:bCs/>
          <w:sz w:val="28"/>
          <w:szCs w:val="28"/>
        </w:rPr>
        <w:t>proBNP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>   в плазме крови отражает тяжесть дисфункции ПЖ и гемодинамическую нестабильность в остром периоде ТЭЛА. Для прогнозирования неблагоприятного исхода ТЭЛА пороговые значения NT-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proBNP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≥600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>/мл.</w:t>
      </w:r>
    </w:p>
    <w:p w:rsidR="00D03962" w:rsidRPr="007C2CFE" w:rsidRDefault="00D03962" w:rsidP="007C2CFE">
      <w:pPr>
        <w:numPr>
          <w:ilvl w:val="0"/>
          <w:numId w:val="12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C2CFE">
        <w:rPr>
          <w:rFonts w:ascii="Times New Roman" w:hAnsi="Times New Roman" w:cs="Times New Roman"/>
          <w:b/>
          <w:bCs/>
          <w:sz w:val="28"/>
          <w:szCs w:val="28"/>
        </w:rPr>
        <w:t>Лактат</w:t>
      </w:r>
      <w:proofErr w:type="spellEnd"/>
      <w:r w:rsidRPr="007C2CFE">
        <w:rPr>
          <w:rFonts w:ascii="Times New Roman" w:hAnsi="Times New Roman" w:cs="Times New Roman"/>
          <w:b/>
          <w:bCs/>
          <w:sz w:val="28"/>
          <w:szCs w:val="28"/>
        </w:rPr>
        <w:t>   в плазме </w:t>
      </w:r>
      <w:r w:rsidRPr="007C2CFE">
        <w:rPr>
          <w:rFonts w:ascii="Times New Roman" w:hAnsi="Times New Roman" w:cs="Times New Roman"/>
          <w:sz w:val="28"/>
          <w:szCs w:val="28"/>
        </w:rPr>
        <w:t xml:space="preserve">– маркер тяжелой ТЭЛА и гемодинамической нестабильности. Повышенные уровни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в плазме ≥ 2 ммоль/л предсказывают тромбоэмболические осложнения даже у пациентов с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нормотензией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>.</w:t>
      </w:r>
    </w:p>
    <w:p w:rsidR="00D03962" w:rsidRPr="007C2CFE" w:rsidRDefault="00D03962" w:rsidP="007C2CFE">
      <w:pPr>
        <w:numPr>
          <w:ilvl w:val="0"/>
          <w:numId w:val="12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Определение газового состава крови – </w:t>
      </w:r>
      <w:r w:rsidRPr="007C2CFE">
        <w:rPr>
          <w:rFonts w:ascii="Times New Roman" w:hAnsi="Times New Roman" w:cs="Times New Roman"/>
          <w:sz w:val="28"/>
          <w:szCs w:val="28"/>
        </w:rPr>
        <w:t xml:space="preserve">для первоначальной и динамической оценки тяжести дыхательной недостаточности у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гемодинамически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нестабильных пациентов.</w:t>
      </w:r>
    </w:p>
    <w:p w:rsidR="00D03962" w:rsidRPr="007C2CFE" w:rsidRDefault="00D03962" w:rsidP="007C2CFE">
      <w:pPr>
        <w:numPr>
          <w:ilvl w:val="0"/>
          <w:numId w:val="12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 </w:t>
      </w:r>
      <w:proofErr w:type="spellStart"/>
      <w:r w:rsidRPr="007C2CFE">
        <w:rPr>
          <w:rFonts w:ascii="Times New Roman" w:hAnsi="Times New Roman" w:cs="Times New Roman"/>
          <w:b/>
          <w:bCs/>
          <w:sz w:val="28"/>
          <w:szCs w:val="28"/>
        </w:rPr>
        <w:t>натромбофилию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 (расширенная </w:t>
      </w:r>
      <w:proofErr w:type="gramStart"/>
      <w:r w:rsidRPr="007C2CFE">
        <w:rPr>
          <w:rFonts w:ascii="Times New Roman" w:hAnsi="Times New Roman" w:cs="Times New Roman"/>
          <w:sz w:val="28"/>
          <w:szCs w:val="28"/>
        </w:rPr>
        <w:t>коагулограмма,  антифосфолипидные</w:t>
      </w:r>
      <w:proofErr w:type="gramEnd"/>
      <w:r w:rsidRPr="007C2CFE">
        <w:rPr>
          <w:rFonts w:ascii="Times New Roman" w:hAnsi="Times New Roman" w:cs="Times New Roman"/>
          <w:sz w:val="28"/>
          <w:szCs w:val="28"/>
        </w:rPr>
        <w:t xml:space="preserve">  антитела и волчаночный антикоагулянт) при клинике ТЭЛА у пациентов в возрасте &lt;50 лет   при отсутствии идентифицируемого фактора риска,  при   наличии семейного анамнеза ВТЭ (исключение наследственной </w:t>
      </w:r>
      <w:proofErr w:type="spellStart"/>
      <w:r w:rsidRPr="007C2CFE">
        <w:rPr>
          <w:rFonts w:ascii="Times New Roman" w:hAnsi="Times New Roman" w:cs="Times New Roman"/>
          <w:sz w:val="28"/>
          <w:szCs w:val="28"/>
        </w:rPr>
        <w:t>тромбофилии</w:t>
      </w:r>
      <w:proofErr w:type="spellEnd"/>
      <w:r w:rsidRPr="007C2CFE">
        <w:rPr>
          <w:rFonts w:ascii="Times New Roman" w:hAnsi="Times New Roman" w:cs="Times New Roman"/>
          <w:sz w:val="28"/>
          <w:szCs w:val="28"/>
        </w:rPr>
        <w:t xml:space="preserve"> -  дефицит антитромбина, белка С или белка S, пациенты с гомозиготным фактором V Лейдена или мутацией  гомозиготного протромбинаG20210A).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C2CFE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>Прогноз при острой правожелудочковой недостаточности, особенно вызванной ТЭЛА,  всегда серьезный, хотя в настоящее время в 80—90 % случаев ТЭЛА исход благоприятный. Однако даже при мелких тромбоэмболиях легочной артерии предсказать исход трудно, так как они могут быть предвестниками массивной тромбоэмболии. Массивная же ТЭЛА, хотя и наблюдается реже, чем немассивная, очень часто быстро приводит к летальному исходу.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C2CFE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7C2CFE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03962" w:rsidRPr="007C2CFE" w:rsidRDefault="007C2CFE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C2CFE">
        <w:rPr>
          <w:rFonts w:ascii="Times New Roman" w:hAnsi="Times New Roman" w:cs="Times New Roman"/>
          <w:sz w:val="28"/>
          <w:szCs w:val="28"/>
        </w:rPr>
        <w:t>Профилактика заключается в основном в предупреждении развития ТЭЛА, т. е. в предупреждении и рациональном лечении тромбоза вен. Для профилактики периферических тромбозов и ТЭЛА применяют в адекватных дозах прямые и непрямые антикоагулянты, проводят лечение заболеваний, способствующих развитию этого осложнения.</w:t>
      </w:r>
    </w:p>
    <w:p w:rsidR="00D03962" w:rsidRPr="005E13F2" w:rsidRDefault="00D03962" w:rsidP="007C2C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D03962" w:rsidRPr="005E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74"/>
    <w:multiLevelType w:val="multilevel"/>
    <w:tmpl w:val="3774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446BB"/>
    <w:multiLevelType w:val="multilevel"/>
    <w:tmpl w:val="856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248AA"/>
    <w:multiLevelType w:val="multilevel"/>
    <w:tmpl w:val="AB4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E17A5"/>
    <w:multiLevelType w:val="multilevel"/>
    <w:tmpl w:val="AF9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0664A"/>
    <w:multiLevelType w:val="multilevel"/>
    <w:tmpl w:val="F84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3EC2"/>
    <w:multiLevelType w:val="multilevel"/>
    <w:tmpl w:val="CA0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31E32"/>
    <w:multiLevelType w:val="multilevel"/>
    <w:tmpl w:val="38BC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E3CF2"/>
    <w:multiLevelType w:val="multilevel"/>
    <w:tmpl w:val="9D8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F4DD7"/>
    <w:multiLevelType w:val="multilevel"/>
    <w:tmpl w:val="F3C6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86FF5"/>
    <w:multiLevelType w:val="multilevel"/>
    <w:tmpl w:val="9A80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F3120"/>
    <w:multiLevelType w:val="multilevel"/>
    <w:tmpl w:val="9FF0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97B54"/>
    <w:multiLevelType w:val="multilevel"/>
    <w:tmpl w:val="0E2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935684">
    <w:abstractNumId w:val="2"/>
  </w:num>
  <w:num w:numId="2" w16cid:durableId="1696731343">
    <w:abstractNumId w:val="7"/>
  </w:num>
  <w:num w:numId="3" w16cid:durableId="904683760">
    <w:abstractNumId w:val="9"/>
  </w:num>
  <w:num w:numId="4" w16cid:durableId="1972662060">
    <w:abstractNumId w:val="3"/>
  </w:num>
  <w:num w:numId="5" w16cid:durableId="1182671869">
    <w:abstractNumId w:val="4"/>
  </w:num>
  <w:num w:numId="6" w16cid:durableId="1758280546">
    <w:abstractNumId w:val="11"/>
  </w:num>
  <w:num w:numId="7" w16cid:durableId="874460629">
    <w:abstractNumId w:val="8"/>
  </w:num>
  <w:num w:numId="8" w16cid:durableId="1628701876">
    <w:abstractNumId w:val="0"/>
  </w:num>
  <w:num w:numId="9" w16cid:durableId="1444302189">
    <w:abstractNumId w:val="10"/>
  </w:num>
  <w:num w:numId="10" w16cid:durableId="634019506">
    <w:abstractNumId w:val="1"/>
  </w:num>
  <w:num w:numId="11" w16cid:durableId="137840937">
    <w:abstractNumId w:val="6"/>
  </w:num>
  <w:num w:numId="12" w16cid:durableId="649020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469"/>
    <w:rsid w:val="001538F0"/>
    <w:rsid w:val="00165A2A"/>
    <w:rsid w:val="0016724D"/>
    <w:rsid w:val="001A6240"/>
    <w:rsid w:val="00283D80"/>
    <w:rsid w:val="0030071A"/>
    <w:rsid w:val="00421050"/>
    <w:rsid w:val="005E13F2"/>
    <w:rsid w:val="006B4230"/>
    <w:rsid w:val="007C2CFE"/>
    <w:rsid w:val="00844599"/>
    <w:rsid w:val="008A551B"/>
    <w:rsid w:val="00AE29C0"/>
    <w:rsid w:val="00C405F5"/>
    <w:rsid w:val="00C657AB"/>
    <w:rsid w:val="00D03962"/>
    <w:rsid w:val="00D27898"/>
    <w:rsid w:val="00D315CF"/>
    <w:rsid w:val="00D41520"/>
    <w:rsid w:val="00DF3B3A"/>
    <w:rsid w:val="00EE4A88"/>
    <w:rsid w:val="00F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66A"/>
  <w15:docId w15:val="{96F46319-19D1-2D49-91F8-59E57DA9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6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51B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8A551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Normal (Web)"/>
    <w:basedOn w:val="a"/>
    <w:uiPriority w:val="99"/>
    <w:semiHidden/>
    <w:unhideWhenUsed/>
    <w:rsid w:val="001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62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6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6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ternatenames">
    <w:name w:val="alternatenames"/>
    <w:basedOn w:val="a0"/>
    <w:rsid w:val="001A6240"/>
  </w:style>
  <w:style w:type="paragraph" w:styleId="a6">
    <w:name w:val="Balloon Text"/>
    <w:basedOn w:val="a"/>
    <w:link w:val="a7"/>
    <w:uiPriority w:val="99"/>
    <w:semiHidden/>
    <w:unhideWhenUsed/>
    <w:rsid w:val="001A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2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4599"/>
    <w:pPr>
      <w:ind w:left="720"/>
      <w:contextualSpacing/>
    </w:pPr>
  </w:style>
  <w:style w:type="character" w:styleId="a9">
    <w:name w:val="Strong"/>
    <w:basedOn w:val="a0"/>
    <w:uiPriority w:val="22"/>
    <w:qFormat/>
    <w:rsid w:val="005E1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3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8795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520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8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Полуянов</dc:creator>
  <cp:lastModifiedBy>ashot manukyan</cp:lastModifiedBy>
  <cp:revision>3</cp:revision>
  <dcterms:created xsi:type="dcterms:W3CDTF">2022-06-14T15:06:00Z</dcterms:created>
  <dcterms:modified xsi:type="dcterms:W3CDTF">2023-10-29T10:03:00Z</dcterms:modified>
</cp:coreProperties>
</file>