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КЛИНИЧЕСКИЕ РЕКОМЕНДАЦИИ (ПРОТОКОЛЫ) ПО ОКАЗАНИЮ СКОРОЙ МЕДИЦИНСКОЙ ПОМОЩИ ПРИ ОЖОГАХ У ДЕТЕЙ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/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Автор:</w:t>
      </w:r>
      <w:r>
        <w:rPr>
          <w:rFonts w:ascii="Times New Roman" w:cs="Times New Roman" w:hAnsi="Times New Roman"/>
          <w:sz w:val="28"/>
          <w:szCs w:val="28"/>
        </w:rPr>
        <w:t xml:space="preserve"> А.Л. Егоров, доцент кафедры скорой медицинской помощи Северо-Западного государственного медицинского университета им. И.И. Мечникова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/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Определение: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Ожоговая болезнь - сложный симптомокомплекс, связанный со значительной утратой кожных покровов, а также с наличием общих реакций организма и нарушением функции внутренних органов с возможностью развития необратимых патологических процессов.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/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Выделяют следующие стадии ожоговой болезни:</w:t>
      </w:r>
    </w:p>
    <w:p>
      <w:pPr>
        <w:pStyle w:val="style0"/>
        <w:keepNext/>
        <w:keepLines/>
        <w:numPr>
          <w:ilvl w:val="0"/>
          <w:numId w:val="1"/>
        </w:numPr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Шоковая или стадия острой плазмопотери.</w:t>
      </w:r>
    </w:p>
    <w:p>
      <w:pPr>
        <w:pStyle w:val="style0"/>
        <w:keepNext/>
        <w:keepLines/>
        <w:numPr>
          <w:ilvl w:val="0"/>
          <w:numId w:val="1"/>
        </w:numPr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Ожоговая токсемия.</w:t>
      </w:r>
    </w:p>
    <w:p>
      <w:pPr>
        <w:pStyle w:val="style0"/>
        <w:keepNext/>
        <w:keepLines/>
        <w:numPr>
          <w:ilvl w:val="0"/>
          <w:numId w:val="1"/>
        </w:numPr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Ожоговая септикотоксемия.</w:t>
      </w:r>
    </w:p>
    <w:p>
      <w:pPr>
        <w:pStyle w:val="style0"/>
        <w:keepNext/>
        <w:keepLines/>
        <w:numPr>
          <w:ilvl w:val="0"/>
          <w:numId w:val="1"/>
        </w:numPr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Восстановление или реабилитация.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/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Тяжесть ожоговой болезни и летальность зависят преимущественно от площади и глубины поражения, возраста, сроков поступления в отделение реанимации и от наличия тяжелого термоингаляционного поражения.</w:t>
      </w:r>
    </w:p>
    <w:tbl>
      <w:tblPr>
        <w:jc w:val="left"/>
        <w:tblBorders>
          <w:top w:color="000001" w:space="0" w:sz="6" w:val="single"/>
          <w:left w:color="000001" w:space="0" w:sz="6" w:val="single"/>
          <w:bottom w:color="000001" w:space="0" w:sz="6" w:val="single"/>
        </w:tblBorders>
        <w:tblInd w:type="dxa" w:w="-108"/>
      </w:tblPr>
      <w:tblGrid>
        <w:gridCol w:w="2908"/>
        <w:gridCol w:w="6662"/>
      </w:tblGrid>
      <w:tr>
        <w:trPr>
          <w:cantSplit w:val="false"/>
        </w:trPr>
        <w:tc>
          <w:tcPr>
            <w:tcW w:type="dxa" w:w="290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Код по МКБ 10</w:t>
            </w:r>
          </w:p>
        </w:tc>
        <w:tc>
          <w:tcPr>
            <w:tcW w:type="dxa" w:w="666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Нозологические формы</w:t>
            </w:r>
          </w:p>
        </w:tc>
      </w:tr>
      <w:tr>
        <w:trPr>
          <w:cantSplit w:val="false"/>
        </w:trPr>
        <w:tc>
          <w:tcPr>
            <w:tcW w:type="dxa" w:w="2908"/>
            <w:tcBorders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Т20 –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 w:val="en-US"/>
              </w:rPr>
              <w:t>T32</w:t>
            </w:r>
          </w:p>
        </w:tc>
        <w:tc>
          <w:tcPr>
            <w:tcW w:type="dxa" w:w="6662"/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Термические и химические ожоги</w:t>
            </w:r>
          </w:p>
        </w:tc>
      </w:tr>
    </w:tbl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/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Этиология и патогенез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Согласно статистике, большинство ожогов дети получают дома. Ожоги горячей жидкостью - одна из самых частых травм среди малышей до 6 лет, а родители детей постарше обычно имеют дело с последствиями экспериментов со спичками. Согласно статистике ВОЗ, дети, получившие правильную первую помощь при ожогах, на 32% реже нуждаются в последующей пересадке кожи по сравнению с теми, кто эту помощь не получил.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/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 догоспитальном этапе врач (фельдшер) скорой медицинской помощи зачастую имеет дело с пострадавшим с первой стадией ожоговой болезни - ожоговым шоком.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Ожоговый шок  - патологический процесс, который развивается при обширных термических поражениях кожи и глубже лежащих тканей, продолжающийся в зависимости от площади и глубины поражения, а так несвоевременности и адекватности лечения до 72 часов и более, проявляющейся расстройствами гемодинамики и микроциркуляции, функции почек, желудочно-кишечного тракта и нарушением психоэмоциональной сферы.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Шоковый период ожоговой болезни длится в среднем 2–3 дня. Термические повреждения первично вызывают коагуляционный некроз и гибель клеток с тромбозом сосудов в зонах наиболее глубокого поражения. Окружающая ткань обычно поражена в меньшей степени, в ней неотчетливо выделяются зоны стазов и гиперемии. Если такому пострадавшему быстро не начата соответствующая инфузионная терапия, то развивается ожоговый шок и поврежденные, но жизнеспособные ткани в ожоговой ране подвергаются некрозу, увеличивая площадь глубокого поражения. В поврежденных тканях повышается сосудистая и капиллярная проницаемость, приводящая к отеку. На образование и развитие отека влияют так же гипопротеинемия и повышение осмотического давления в поврежденных тканях.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результате прямого термического воздействия на эритроциты развивается гемолиз. Биологически активные вещества понижают осмотическую стойкость эритроцитов и поддерживают гемолиз несколько дней.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Экспериментальные исследования показали, что почки оказываются наименее перфузируемым органом послеожоговой травмы. В ходе инфузионной терапии почечный кровоток возвращается к норме только после восстановления перфузии в других внутренних органах. Поэтому диурез наиболее простой и доступный показатель, по которому может оцениваться эффективность инфузионной терапии.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/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Оценка тяжести ожогового шока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 детей после первого года жизни ожоговый шок развивается в случае поражения 10% и более поверхности тела, а у детей первых месяцев жизни — при поражении более 5–7 %.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таблице 1 представлен способ оценки тяжести шока по индексу Франка, который может быть использован при обширных поражениях у старших детей.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/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Таблица 1 - Оценка степени тяжести ожогового шока по индексу Франка (Розин Л.Б., Баткин А.А., 1986).</w:t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3560"/>
        <w:gridCol w:w="3210"/>
        <w:gridCol w:w="3229"/>
      </w:tblGrid>
      <w:tr>
        <w:trPr>
          <w:cantSplit w:val="false"/>
        </w:trPr>
        <w:tc>
          <w:tcPr>
            <w:tcW w:type="dxa" w:w="3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Степень тяжести ожогового шока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ИФ без поражения органов дыхания</w:t>
            </w:r>
          </w:p>
        </w:tc>
        <w:tc>
          <w:tcPr>
            <w:tcW w:type="dxa" w:w="3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ИФ при поражении органов дыхания</w:t>
            </w:r>
          </w:p>
        </w:tc>
      </w:tr>
      <w:tr>
        <w:trPr>
          <w:cantSplit w:val="false"/>
        </w:trPr>
        <w:tc>
          <w:tcPr>
            <w:tcW w:type="dxa" w:w="3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 w:val="en-US"/>
              </w:rPr>
              <w:t>I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— легкий шок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30–70</w:t>
            </w:r>
          </w:p>
        </w:tc>
        <w:tc>
          <w:tcPr>
            <w:tcW w:type="dxa" w:w="3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20–55</w:t>
            </w:r>
          </w:p>
        </w:tc>
      </w:tr>
      <w:tr>
        <w:trPr>
          <w:cantSplit w:val="false"/>
        </w:trPr>
        <w:tc>
          <w:tcPr>
            <w:tcW w:type="dxa" w:w="3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 w:val="en-US"/>
              </w:rPr>
              <w:t>II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— тяжелый шок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71–130</w:t>
            </w:r>
          </w:p>
        </w:tc>
        <w:tc>
          <w:tcPr>
            <w:tcW w:type="dxa" w:w="3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56–100</w:t>
            </w:r>
          </w:p>
        </w:tc>
      </w:tr>
      <w:tr>
        <w:trPr>
          <w:cantSplit w:val="false"/>
        </w:trPr>
        <w:tc>
          <w:tcPr>
            <w:tcW w:type="dxa" w:w="3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 w:val="en-US"/>
              </w:rPr>
              <w:t>III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— крайне тяжелый шок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Более 130</w:t>
            </w:r>
          </w:p>
        </w:tc>
        <w:tc>
          <w:tcPr>
            <w:tcW w:type="dxa" w:w="3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Более 100</w:t>
            </w:r>
          </w:p>
        </w:tc>
      </w:tr>
    </w:tbl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/>
      </w:r>
    </w:p>
    <w:p>
      <w:pPr>
        <w:pStyle w:val="style0"/>
        <w:keepNext/>
        <w:keepLines/>
        <w:shd w:fill="FFFFFF" w:val="clear"/>
        <w:tabs>
          <w:tab w:leader="none" w:pos="0" w:val="left"/>
          <w:tab w:leader="none" w:pos="708" w:val="left"/>
        </w:tabs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При расчете индекса Франка (ИФ), 1% обожженной поверхности тела принимают равным одной единице в случае поверхностного и трем единицам в случае глубокого ожога. Поражение дыхательных путей в зависимости от степени тяжести приравнивают к 10–30 единицам.</w:t>
      </w:r>
    </w:p>
    <w:p>
      <w:pPr>
        <w:pStyle w:val="style0"/>
        <w:keepNext/>
        <w:keepLines/>
        <w:shd w:fill="FFFFFF" w:val="clear"/>
        <w:tabs>
          <w:tab w:leader="none" w:pos="0" w:val="left"/>
          <w:tab w:leader="none" w:pos="708" w:val="left"/>
        </w:tabs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Например, общая площадь ожога равна 50% поверхности тела. Ожог дыхательных путей II степени. При этом 30% поверхности тела поражено глубоким ожогом и 20% поверхностным. Следовательно, (30 х 3) + (10 х 1) + 20= 120 единиц. Крайне тяжелый ожоговый шок III степени.</w:t>
      </w:r>
    </w:p>
    <w:p>
      <w:pPr>
        <w:pStyle w:val="style0"/>
        <w:keepNext/>
        <w:keepLines/>
        <w:shd w:fill="FFFFFF" w:val="clear"/>
        <w:tabs>
          <w:tab w:leader="none" w:pos="0" w:val="left"/>
          <w:tab w:leader="none" w:pos="708" w:val="left"/>
        </w:tabs>
        <w:suppressAutoHyphens w:val="false"/>
        <w:spacing w:after="0" w:before="0" w:line="360" w:lineRule="auto"/>
        <w:ind w:firstLine="567" w:left="0" w:right="0"/>
        <w:jc w:val="both"/>
      </w:pPr>
      <w:r>
        <w:rPr/>
      </w:r>
    </w:p>
    <w:p>
      <w:pPr>
        <w:pStyle w:val="style0"/>
        <w:keepNext/>
        <w:keepLines/>
        <w:shd w:fill="FFFFFF" w:val="clear"/>
        <w:tabs>
          <w:tab w:leader="none" w:pos="0" w:val="left"/>
          <w:tab w:leader="none" w:pos="708" w:val="left"/>
        </w:tabs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Определение площади и глубины ожога</w:t>
      </w:r>
    </w:p>
    <w:p>
      <w:pPr>
        <w:pStyle w:val="style0"/>
        <w:keepNext/>
        <w:keepLines/>
        <w:shd w:fill="FFFFFF" w:val="clear"/>
        <w:tabs>
          <w:tab w:leader="none" w:pos="0" w:val="left"/>
          <w:tab w:leader="none" w:pos="708" w:val="left"/>
        </w:tabs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Задачам практики в полной мере отвечают простые способы определения величины обожженной поверхности: «правило девяток» и «правило ладони».</w:t>
      </w:r>
    </w:p>
    <w:p>
      <w:pPr>
        <w:pStyle w:val="style0"/>
        <w:keepNext/>
        <w:keepLines/>
        <w:shd w:fill="FFFFFF" w:val="clear"/>
        <w:tabs>
          <w:tab w:leader="none" w:pos="0" w:val="left"/>
          <w:tab w:leader="none" w:pos="708" w:val="left"/>
        </w:tabs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«Правило девяток» — метод, предложенный А. Уоллесом в 1951 году, основан на том, что площадь покровов отдельных частей тела взрослого равна или кратна 9%. Правило применяют при обширных ожогах.</w:t>
      </w:r>
    </w:p>
    <w:p>
      <w:pPr>
        <w:pStyle w:val="style0"/>
        <w:keepNext/>
        <w:keepLines/>
        <w:shd w:fill="FFFFFF" w:val="clear"/>
        <w:tabs>
          <w:tab w:leader="none" w:pos="0" w:val="left"/>
          <w:tab w:leader="none" w:pos="708" w:val="left"/>
        </w:tabs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Для взрослых и детей старше 5 лет:</w:t>
      </w:r>
    </w:p>
    <w:p>
      <w:pPr>
        <w:pStyle w:val="style40"/>
        <w:keepNext/>
        <w:keepLines/>
        <w:numPr>
          <w:ilvl w:val="0"/>
          <w:numId w:val="2"/>
        </w:numPr>
        <w:shd w:fill="FFFFFF" w:val="clear"/>
        <w:tabs>
          <w:tab w:leader="none" w:pos="1428" w:val="left"/>
          <w:tab w:leader="none" w:pos="1440" w:val="left"/>
          <w:tab w:leader="none" w:pos="2148" w:val="left"/>
        </w:tabs>
        <w:suppressAutoHyphens w:val="false"/>
        <w:spacing w:after="0" w:before="0" w:line="360" w:lineRule="auto"/>
        <w:ind w:firstLine="567" w:left="72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голова и шея — 9% поверхности тела;</w:t>
      </w:r>
    </w:p>
    <w:p>
      <w:pPr>
        <w:pStyle w:val="style40"/>
        <w:keepNext/>
        <w:keepLines/>
        <w:numPr>
          <w:ilvl w:val="0"/>
          <w:numId w:val="2"/>
        </w:numPr>
        <w:shd w:fill="FFFFFF" w:val="clear"/>
        <w:tabs>
          <w:tab w:leader="none" w:pos="1428" w:val="left"/>
          <w:tab w:leader="none" w:pos="1440" w:val="left"/>
          <w:tab w:leader="none" w:pos="2148" w:val="left"/>
        </w:tabs>
        <w:suppressAutoHyphens w:val="false"/>
        <w:spacing w:after="0" w:before="0" w:line="360" w:lineRule="auto"/>
        <w:ind w:firstLine="567" w:left="72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одна верхняя конечность — 9%;</w:t>
      </w:r>
    </w:p>
    <w:p>
      <w:pPr>
        <w:pStyle w:val="style40"/>
        <w:keepNext/>
        <w:keepLines/>
        <w:numPr>
          <w:ilvl w:val="0"/>
          <w:numId w:val="2"/>
        </w:numPr>
        <w:shd w:fill="FFFFFF" w:val="clear"/>
        <w:tabs>
          <w:tab w:leader="none" w:pos="1428" w:val="left"/>
          <w:tab w:leader="none" w:pos="1440" w:val="left"/>
          <w:tab w:leader="none" w:pos="2148" w:val="left"/>
        </w:tabs>
        <w:suppressAutoHyphens w:val="false"/>
        <w:spacing w:after="0" w:before="0" w:line="360" w:lineRule="auto"/>
        <w:ind w:firstLine="567" w:left="72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одна нижняя конечность — 18% (бедро — 9%, голень и стопа — 9%);</w:t>
      </w:r>
    </w:p>
    <w:p>
      <w:pPr>
        <w:pStyle w:val="style40"/>
        <w:keepNext/>
        <w:keepLines/>
        <w:numPr>
          <w:ilvl w:val="0"/>
          <w:numId w:val="2"/>
        </w:numPr>
        <w:shd w:fill="FFFFFF" w:val="clear"/>
        <w:tabs>
          <w:tab w:leader="none" w:pos="1428" w:val="left"/>
          <w:tab w:leader="none" w:pos="1440" w:val="left"/>
          <w:tab w:leader="none" w:pos="2148" w:val="left"/>
        </w:tabs>
        <w:suppressAutoHyphens w:val="false"/>
        <w:spacing w:after="0" w:before="0" w:line="360" w:lineRule="auto"/>
        <w:ind w:firstLine="567" w:left="72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передняя поверхность туловища — 18%;</w:t>
      </w:r>
    </w:p>
    <w:p>
      <w:pPr>
        <w:pStyle w:val="style40"/>
        <w:keepNext/>
        <w:keepLines/>
        <w:numPr>
          <w:ilvl w:val="0"/>
          <w:numId w:val="2"/>
        </w:numPr>
        <w:shd w:fill="FFFFFF" w:val="clear"/>
        <w:tabs>
          <w:tab w:leader="none" w:pos="1428" w:val="left"/>
          <w:tab w:leader="none" w:pos="1440" w:val="left"/>
          <w:tab w:leader="none" w:pos="2148" w:val="left"/>
        </w:tabs>
        <w:suppressAutoHyphens w:val="false"/>
        <w:spacing w:after="0" w:before="0" w:line="360" w:lineRule="auto"/>
        <w:ind w:firstLine="567" w:left="72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задняя поверхность туловища — 18%;</w:t>
      </w:r>
    </w:p>
    <w:p>
      <w:pPr>
        <w:pStyle w:val="style40"/>
        <w:keepNext/>
        <w:keepLines/>
        <w:numPr>
          <w:ilvl w:val="0"/>
          <w:numId w:val="2"/>
        </w:numPr>
        <w:shd w:fill="FFFFFF" w:val="clear"/>
        <w:tabs>
          <w:tab w:leader="none" w:pos="1428" w:val="left"/>
          <w:tab w:leader="none" w:pos="1440" w:val="left"/>
          <w:tab w:leader="none" w:pos="2148" w:val="left"/>
        </w:tabs>
        <w:suppressAutoHyphens w:val="false"/>
        <w:spacing w:after="0" w:before="0" w:line="360" w:lineRule="auto"/>
        <w:ind w:firstLine="567" w:left="72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промежность и наружные половые органы — 1%.</w:t>
      </w:r>
    </w:p>
    <w:p>
      <w:pPr>
        <w:pStyle w:val="style0"/>
        <w:keepNext/>
        <w:keepLines/>
        <w:shd w:fill="FFFFFF" w:val="clear"/>
        <w:tabs>
          <w:tab w:leader="none" w:pos="0" w:val="left"/>
          <w:tab w:leader="none" w:pos="708" w:val="left"/>
        </w:tabs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«Правило ладони» — измерение ладонью (площадь ладони взрослого человека или ребенка составляет приблизительно 1% общей поверхности кожного покрова) применяют при ожогах, расположенных в различных частях тела и ограниченных по площади, либо при субтотальных поражениях кожных покровов для измерения площади неповреждённых участков. У детей до 5 лет лучше использовать этот метод.</w:t>
      </w:r>
    </w:p>
    <w:p>
      <w:pPr>
        <w:pStyle w:val="style0"/>
        <w:keepNext/>
        <w:keepLines/>
        <w:shd w:fill="FFFFFF" w:val="clear"/>
        <w:tabs>
          <w:tab w:leader="none" w:pos="0" w:val="left"/>
          <w:tab w:leader="none" w:pos="708" w:val="left"/>
        </w:tabs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Основным фактором, определяющим тяжесть ожоговой болезни, ее прогноз и исход, является не столько общая площадь ожога, сколько площадь глубокого поражения.</w:t>
      </w:r>
    </w:p>
    <w:p>
      <w:pPr>
        <w:pStyle w:val="style0"/>
        <w:keepNext/>
        <w:keepLines/>
        <w:shd w:fill="FFFFFF" w:val="clear"/>
        <w:tabs>
          <w:tab w:leader="none" w:pos="0" w:val="left"/>
          <w:tab w:leader="none" w:pos="708" w:val="left"/>
        </w:tabs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таблице 2 представлены характеристики степеней термического поражения.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/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Таблица 2 - Клинические характеристики степени термического поражения</w:t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1207"/>
        <w:gridCol w:w="4110"/>
        <w:gridCol w:w="4464"/>
      </w:tblGrid>
      <w:tr>
        <w:trPr>
          <w:cantSplit w:val="false"/>
        </w:trPr>
        <w:tc>
          <w:tcPr>
            <w:tcW w:type="dxa" w:w="12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Степень ожога</w:t>
            </w:r>
          </w:p>
        </w:tc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В первые часы после травмы</w:t>
            </w:r>
          </w:p>
        </w:tc>
        <w:tc>
          <w:tcPr>
            <w:tcW w:type="dxa" w:w="4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В течение раневого процесса</w:t>
            </w:r>
          </w:p>
        </w:tc>
      </w:tr>
      <w:tr>
        <w:trPr>
          <w:cantSplit w:val="false"/>
        </w:trPr>
        <w:tc>
          <w:tcPr>
            <w:tcW w:type="dxa" w:w="12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 w:val="en-US"/>
              </w:rPr>
              <w:t>I</w:t>
            </w:r>
          </w:p>
        </w:tc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Гиперемия и отёк кожи, сопровождающиеся жгучей болью</w:t>
            </w:r>
          </w:p>
          <w:p>
            <w:pPr>
              <w:pStyle w:val="style0"/>
              <w:keepNext/>
              <w:keepLines/>
              <w:suppressAutoHyphens w:val="false"/>
              <w:spacing w:after="200" w:before="0"/>
              <w:jc w:val="both"/>
            </w:pPr>
            <w:r>
              <w:rPr/>
            </w:r>
          </w:p>
        </w:tc>
        <w:tc>
          <w:tcPr>
            <w:tcW w:type="dxa" w:w="4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Гиперемия и отёк проходят через 2–3 дня, поверхностные слои эпидермиса слущиваются, заживление наступает к концу первой недели</w:t>
            </w:r>
          </w:p>
        </w:tc>
      </w:tr>
      <w:tr>
        <w:trPr>
          <w:cantSplit w:val="false"/>
        </w:trPr>
        <w:tc>
          <w:tcPr>
            <w:tcW w:type="dxa" w:w="12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 w:val="en-US"/>
              </w:rPr>
              <w:t>II</w:t>
            </w:r>
          </w:p>
        </w:tc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Гиперемия и отёк кожи с отслоением эпидермиса и образованием пузырей, наполненных прозрачной жидкостью. Сильные боли в течение первых 2–3 дней</w:t>
            </w:r>
          </w:p>
        </w:tc>
        <w:tc>
          <w:tcPr>
            <w:tcW w:type="dxa" w:w="4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Воспалительно-экссудативная реакция уменьшается через 3–4 дня, начинается эпителизация ожоговой поверхности. Полное заживление наступает на 10–14 день. Рубцов эти ожоги не оставляют, но краснота и пигментация могут сохраняться в течение нескольких недель</w:t>
            </w:r>
          </w:p>
        </w:tc>
      </w:tr>
      <w:tr>
        <w:trPr>
          <w:cantSplit w:val="false"/>
        </w:trPr>
        <w:tc>
          <w:tcPr>
            <w:tcW w:type="dxa" w:w="12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 w:val="en-US"/>
              </w:rPr>
              <w:t>IIIA</w:t>
            </w:r>
          </w:p>
        </w:tc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Эпидермис полностью отсутствует, мягкие покровные ткани отёчны, напряжены. Поверхность ожога белесоватой окраски или покрыта суховатым струпом, сосудистый рисунок отсутствует, болевая и тактильная чувствительность снижены</w:t>
            </w:r>
          </w:p>
        </w:tc>
        <w:tc>
          <w:tcPr>
            <w:tcW w:type="dxa" w:w="4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Раневой процесс протекает снагноением. Очищение раны длится 2недели, заживление происходит через 3–4 недели за счет краевой и островковой эпителизации (из сохранившихся дериватов кожи). В исходе репаративного процесса нередко образуется стойкая пигментация, гипертрофический или келлоидный рубец</w:t>
            </w:r>
          </w:p>
        </w:tc>
      </w:tr>
      <w:tr>
        <w:trPr>
          <w:cantSplit w:val="false"/>
        </w:trPr>
        <w:tc>
          <w:tcPr>
            <w:tcW w:type="dxa" w:w="12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 w:val="en-US"/>
              </w:rPr>
              <w:t>III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Некроз всей толщи кожи, имеющий вид плотных сухих буровато-коричневых струпьев. В их толще различимы тромбированные подкожные вены. Струп плотно спаян с подлежащими тканями, не собирается в складку. Болевая и тактильная чувствительность отсутствует</w:t>
            </w:r>
          </w:p>
        </w:tc>
        <w:tc>
          <w:tcPr>
            <w:tcW w:type="dxa" w:w="4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Гнойно-демаркационное воспаление продолжается 2–3 недели, затем рана постепенно очищается от омертвевших тканей и к исходу 3–4 недели выполняется грануляциями, пригодными к свободной аутодермопластике</w:t>
            </w:r>
          </w:p>
        </w:tc>
      </w:tr>
      <w:tr>
        <w:trPr>
          <w:cantSplit w:val="false"/>
        </w:trPr>
        <w:tc>
          <w:tcPr>
            <w:tcW w:type="dxa" w:w="12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 w:val="en-US"/>
              </w:rPr>
              <w:t>IV</w:t>
            </w:r>
          </w:p>
        </w:tc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Некроз кожи и подлежащих тканей — мышц, костей, сухожилий, суставов. Струп плотный и толстый, иногда чёрного цвета с признаками обугливания</w:t>
            </w:r>
          </w:p>
        </w:tc>
        <w:tc>
          <w:tcPr>
            <w:tcW w:type="dxa" w:w="4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/>
              <w:suppressAutoHyphens w:val="false"/>
              <w:spacing w:after="200" w:before="0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Омертвевшие ткани отторгаются медленно, особенно при поражении сухожилий, костей и суставов. Часто возникают гнойные осложнения</w:t>
            </w:r>
          </w:p>
        </w:tc>
      </w:tr>
    </w:tbl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hAnsi="Times New Roman"/>
          <w:sz w:val="28"/>
          <w:szCs w:val="28"/>
        </w:rPr>
        <w:t>Международная классификация МКБ 10 включает трехстепенное разделение ожогов по глубине:</w:t>
      </w:r>
    </w:p>
    <w:p>
      <w:pPr>
        <w:pStyle w:val="style0"/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  <w:lang w:val="ru-RU"/>
        </w:rPr>
        <w:t>степень — поверхностный ожог (соответствует российской первой)</w:t>
      </w:r>
    </w:p>
    <w:p>
      <w:pPr>
        <w:pStyle w:val="style0"/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sz w:val="28"/>
          <w:szCs w:val="28"/>
          <w:lang w:val="ru-RU"/>
        </w:rPr>
        <w:t xml:space="preserve">степень — поверхностный с поражением эпидермального слоя и верхнего слоя дермы (соответствует </w:t>
      </w: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>а степени)</w:t>
      </w:r>
    </w:p>
    <w:p>
      <w:pPr>
        <w:pStyle w:val="style0"/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sz w:val="28"/>
          <w:szCs w:val="28"/>
          <w:lang w:val="ru-RU"/>
        </w:rPr>
        <w:t xml:space="preserve">степень — глубокий ожог — тотальный некроз дермы (соответствует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б и </w:t>
      </w:r>
      <w:r>
        <w:rPr>
          <w:rFonts w:ascii="Times New Roman" w:hAnsi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/>
          <w:sz w:val="28"/>
          <w:szCs w:val="28"/>
          <w:lang w:val="ru-RU"/>
        </w:rPr>
        <w:t>степени).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Показания к доставке в стационар: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Не зависимо от площади ожога: химические, электроожоги, ожоги III-IV степени, ожоги лица, крупных суставов, кистей и стоп, промежности.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зависимости от площади и глубины поражения: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 I степень - более 10% поверхности тела;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 II-III степень более 3% у детей первых 3 лет жизни и более 5% у детей старше 3 лет.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/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ОКАЗАНИЕ СКОРОЙ МЕДИЦИНСКОЙ ПОМОЩИ НА ДОГОСПИТАЛЬНОМ ЭТАПЕ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ab/>
        <w:t>Дыхательные пути необходимо тщательно осмотреть перед медицинской эвакуацией в стационар. Если есть любые сомнения в проходимости дыхательных путей, то пациент должен быть интубирован. Все пациенты, которые демонстрируют симптомы надвигающейся обструкции дыхательных путей (такие как, лающий кашель, осиплость голоса и втяжения уступчивых мест) или те, кто находится в состоянии оглушения от лекарств, алкоголя или шока, должны быть интубированы. Необходимо тщательно закрепить эндотрахеальнуют рубку с помощью аккуратно сконструированного узла, чтобы избежать проблем при случайной экстубации.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ab/>
        <w:t>Пациенты с серьезными ожогами должны перевозиться с назогастральным зондом, мочевым катетером и двумя хорошо закрепленными интравенозными линиями, если предстоит многочасовая транспортировка.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ab/>
        <w:t>Рекомендации по инфузионной терапии (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>D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; 4). Для кратковременной транспортировки (1,5–2 часа) расчет инфузионной терапии составляет 20–40 мл/кг массы тела с использованием солевых растворов и коллоидов. Это стартовые расчеты, которые могут быть изменены, основываясь на темпе мочеотделения и других жизненно важных показателях (ЧСС, АД, ЦВД и т. д.). Расчет инфузионной терапии при длительной транспортировке детально представлен в разделе «Оказание скорой медицинской помощи  стационарном отделении скорой медицинской  помощи СтОСМП». Периферический сосудистый доступ может быть затруднен у пострадавших с гиповолемией, у очень маленьких детей и тогда используется внутрикостный способ. Доступный катетер или толстая спинальная игла может быть помещена ниже бугристости большеберцовой кости (игла должна быть направлена кнаружи от эпифиза).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ab/>
        <w:t>Для обезболивания использовать обезболивающие средства в возрастной дозировке. Для внутримышечного введения: морфин 0,1-0,2 мг\кг, кетамин 4 мг\кг. (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>D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; 4)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ab/>
        <w:t>Необходимо приложить все усилия для согревания пациента во время медицинской эвакуации.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ab/>
        <w:t>Жизненные функции должны быть мониторированы. Необходимо наличие пульсоксиметра.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Значительно легче предупредить развитие охлаждения, чем лечить. Автомобиль скорой медицинской помощи и соответствующие зоны принимающего отделения должны быть нагреты до прибытия пациента. Большинство авторов рекомендуют чистые сухие покрытия на раны (чистые простыни). Немедленное охлаждение раны водой комнатной температуры при поражении менее 20% поверхности тела может помочь ограничить глубину ожога без появления системной гипотермии. По этой же причине необходимо снять с пострадавшего одежду и удалить с поверхности тела тлеющие инородные тела и остатки одежды.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Для пациентов с обширными ожогами обеспечение сосудистого доступа может быть технически затруднено. Отсрочка транспортировки, которая предположительно будет менее часа, для обеспечения венозного доступа для инфузионной терапии, вероятно не оправдано в большинстве случаев. В обстоятельствах, когда ожидается более длительная транспортировка, венозный доступ должен быть обеспечен.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Значимость симптоматической, рано начатой инфузионной терапии не в том, что она способствует более благоприятному течению и лучшим исходам ожоговой болезни, а в том, что она позволяет быстро стабилизировать состояние больного и по возможности приступить к раннему оперативному лечению.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/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ОКАЗАНИЕ СКОРОЙ МЕДИЦИНСКОЙ ПОМОЩИ НА ГОСПИТАЛЬНОМ ЭТАПЕ В СТАЦИОНАРНОМ ОТДЕЛЕНИИ СКОРОЙ МЕДИЦИНСКОЙ ПОМОЩИ (СтОСМП)</w:t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Дети с ожогом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>I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степени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 xml:space="preserve">(I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 xml:space="preserve">степень по МКБ 10)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>до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10% в госпитализации не нуждаются и направляются на лечение амбулаторных условиях, более 10% госпитализируются в ожоговое отделение (хирургическое) для наблюдения в течении суток.</w:t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Ожоги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>II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- IIIА степени (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 xml:space="preserve">II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степень по МКБ 10)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до 10% - под общим обезболиванием проводится первичная хирургическая обработка ожоговых ран, включающая туалет раневой поверхности раствором антисептика вскрытие эпидермальных пузырей и удаление отслоившегося эпителия с последующей аппликацией атравматических сеток и салфеток, смоченных 0,02% водным раствором  хлоргексидина. Назначается обильное питье и обезболивание. Если у пациента отмечаются повторные рвоты и оральная регидратация невозможна, катетеризируется периферическая вена и проводится инфузионная терапия. Ребенок направляется в ожоговое отделение (хирургическое). </w:t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Ожог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>III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Б-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>IV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степени (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 xml:space="preserve">III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степень по МКБ 10)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до 10%, подлежащий оперативному лечению - накладывается влажно-высыхающая повязка с хлоргексидином. Направляется в ожоговое отделение для подготовки к раннему оперативному лечению.</w:t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Дети с ожогами 10% и более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>II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>III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А-Б 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>IV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степени (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 xml:space="preserve">II-III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 xml:space="preserve">степени по МКБ 10)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госпитализируются в  реанимационное отделение для проведения противошоковой терапии.</w:t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</w:pPr>
      <w:r>
        <w:rPr/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Лечебные мероприятия в периоде ожогового шока сводятся к следующему (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en-US"/>
        </w:rPr>
        <w:t>D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; 4):</w:t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1.</w:t>
        <w:tab/>
        <w:t>Инфузионная терапия (ориентировочный расчет).</w:t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А. Объем: рассчитывается по формуле Эванса.</w:t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1-е сутки — 2–3 мл х Массу тела х Площадь ожога (потери с ожоговой поверхности) + физиологическая потребность (ФП), которая различается в зависимости от возраста.</w:t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Темп: половина объема вводится в первые 8 часов и далее в зависимости от почасового диуреза (не менее 1 мл/кг массы тела)</w:t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2-е сутки — 1 мл х Массу тела х Площадь ожога + ФП.</w:t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3-и сутки — ФП + патологические потери (гипертермия, парез кишечника, положение в «Клинитроне» и т. д.).</w:t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Б. Состав: кристаллоиды — раствор Рингера у детей в возрасте более 1 года, глюкозо-солевой раствор (5%раствор глюкозы с 0,33% раствором натрия хлорида) у детей менее 1 года — в первые сутки.</w:t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Глюкозо-солевой раствор во всех возрастных группах — на 2-е сутки.</w:t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Коллоиды — добавляются из расчета 120–150 мл на 1 литр кристаллоидов в виде 10% альбумина или СЗП — в1–2-е сутки. Если есть миоглобинурия (электротравма), то темп диуреза должен быть увеличен и вводится бикарбонат для подщелачивания мочи (рН мочи не менее 5,6).</w:t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2. Мониторинг: измерение АД и ЦВД лучше прямым методом, Sat, почасовой диурез не менее 1 мл/(кг\ч), КОС, биохимия (белок, электролиты, мочевина креатинин, глюкоза), гематокрит, уд. вес мочи.</w:t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3. При ожогах лица, шеи (при подозрении на ожог дыхательных путей), при общей площади поражения более50%, отравлении угарным газом производится интубация и при необходимости ИВЛ.</w:t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4. Согревание пострадавшего.</w:t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5. Профилактика стрессовых язв заключается в раннем (конец 1-х суток) начале энтерального питания. Если начать раннее питание не удается, то назначаются антациды и Н2-блокаторы под контролем рН желудочного сока.</w:t>
      </w:r>
    </w:p>
    <w:p>
      <w:pPr>
        <w:pStyle w:val="style0"/>
        <w:keepNext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6.</w:t>
        <w:tab/>
        <w:t>Антибиотик (пенициллин, цефалоспорины 1-го поколения) для профилактики ожоговой скарлатины.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/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Причинами неэффективности инфузионной терапии могут быть: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ab/>
        <w:t>Недооценка тяжести ожога и как следствие недостаточный темп инфузионной терапии.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ab/>
        <w:t>Поражение органов дыхания.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ab/>
        <w:t>Позднее начало инфузионной терапии.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ab/>
        <w:t>Наличие сопутствующей травмы.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ab/>
        <w:t>Предшествующее обезвоживание.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ab/>
        <w:t>Быстрое развитие паралитической кишечной непроходимости.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/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Диагностика поражения дыхательных путей: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ab/>
        <w:t>Ожог получен в закрытом помещении.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ab/>
        <w:t>Ожоги лица, шеи.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ab/>
        <w:t>Черная мокрота (патогномоничный признак).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ab/>
        <w:t>Осиплость голоса, лающий кашель, удушье.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ab/>
        <w:t>Данные фибробронхоскопия.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ab/>
        <w:t>Газы артериальной крови (рО2 : FiО2), параметры вентиляции.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ab/>
        <w:t>Рентгенограмма грудной клетки в первые 24 часа, как правило, неинформативна.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/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Литература</w:t>
      </w:r>
    </w:p>
    <w:p>
      <w:pPr>
        <w:pStyle w:val="style40"/>
        <w:keepNext/>
        <w:keepLines/>
        <w:numPr>
          <w:ilvl w:val="0"/>
          <w:numId w:val="3"/>
        </w:numPr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Ашкрафт К.У., Холдер Т.М. Детская хирургия: Пер. с англ.— СПб.: Хардфорд, 1996.— Т. 1.— 148 с.</w:t>
      </w:r>
    </w:p>
    <w:p>
      <w:pPr>
        <w:pStyle w:val="style40"/>
        <w:keepNext/>
        <w:keepLines/>
        <w:numPr>
          <w:ilvl w:val="0"/>
          <w:numId w:val="3"/>
        </w:numPr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Макуэй-Джонс К., Молинеукс Э., Филлипс Б., Витески С. Современная неотложная помощь при критических состояниях у детей: Пер. с англ.— М.: МЕДпресс-информ, 2009.— 208 с.</w:t>
      </w:r>
    </w:p>
    <w:p>
      <w:pPr>
        <w:pStyle w:val="style40"/>
        <w:keepNext/>
        <w:keepLines/>
        <w:numPr>
          <w:ilvl w:val="0"/>
          <w:numId w:val="3"/>
        </w:numPr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Роджерс М.Д., Хелфаер М.Д. Руководство по педиатрии: Пер. с англ.— СПб.: Питер, 1999.— 1017 с.</w:t>
      </w:r>
    </w:p>
    <w:p>
      <w:pPr>
        <w:pStyle w:val="style40"/>
        <w:keepNext/>
        <w:keepLines/>
        <w:numPr>
          <w:ilvl w:val="0"/>
          <w:numId w:val="3"/>
        </w:numPr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Селбст С.М., Кронэн К. Секреты неотложной педиатрии: Пер. с англ.— М.: МЕДпресс-информ, 2006.— 408 с.</w:t>
      </w:r>
    </w:p>
    <w:p>
      <w:pPr>
        <w:pStyle w:val="style40"/>
        <w:keepNext/>
        <w:keepLines/>
        <w:numPr>
          <w:ilvl w:val="0"/>
          <w:numId w:val="3"/>
        </w:numPr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Гильберт Парк, Пол Роу. Инфузионная терапия.— М.: БИНОМ.— 2005.— с.</w:t>
      </w:r>
    </w:p>
    <w:p>
      <w:pPr>
        <w:pStyle w:val="style40"/>
        <w:keepNext/>
        <w:keepLines/>
        <w:numPr>
          <w:ilvl w:val="0"/>
          <w:numId w:val="3"/>
        </w:numPr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Барышев Б.А. Кровезаменители: Справочник для врачей.— СПб.: Человек, 2001.— с.</w:t>
      </w:r>
    </w:p>
    <w:p>
      <w:pPr>
        <w:pStyle w:val="style40"/>
        <w:keepNext/>
        <w:keepLines/>
        <w:numPr>
          <w:ilvl w:val="0"/>
          <w:numId w:val="3"/>
        </w:numPr>
        <w:shd w:fill="FFFFFF" w:val="clear"/>
        <w:suppressAutoHyphens w:val="false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Иоффе М.Я. Оптимизация предоперационной подготовки у детей, которым предстоит срочное хирургическое вмешательство: Учебное пособие.— СПб.: 2007.— c.</w:t>
      </w:r>
    </w:p>
    <w:p>
      <w:pPr>
        <w:pStyle w:val="style0"/>
        <w:keepNext/>
        <w:keepLines/>
        <w:shd w:fill="FFFFFF" w:val="clear"/>
        <w:suppressAutoHyphens w:val="false"/>
        <w:spacing w:after="0" w:before="0" w:line="360" w:lineRule="auto"/>
        <w:jc w:val="both"/>
      </w:pPr>
      <w:r>
        <w:rPr/>
      </w:r>
    </w:p>
    <w:p>
      <w:pPr>
        <w:pStyle w:val="style0"/>
        <w:ind w:firstLine="567" w:left="0" w:right="0"/>
        <w:jc w:val="right"/>
      </w:pPr>
      <w:r>
        <w:rPr/>
      </w:r>
    </w:p>
    <w:p>
      <w:pPr>
        <w:pStyle w:val="style0"/>
        <w:ind w:firstLine="567" w:left="0" w:right="0"/>
        <w:jc w:val="right"/>
      </w:pPr>
      <w:r>
        <w:rPr/>
      </w:r>
    </w:p>
    <w:p>
      <w:pPr>
        <w:pStyle w:val="style0"/>
        <w:ind w:firstLine="567" w:left="0" w:right="0"/>
        <w:jc w:val="right"/>
      </w:pPr>
      <w:r>
        <w:rPr/>
      </w:r>
    </w:p>
    <w:p>
      <w:pPr>
        <w:pStyle w:val="style0"/>
        <w:ind w:firstLine="567" w:left="0" w:right="0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Приложение</w:t>
      </w:r>
    </w:p>
    <w:p>
      <w:pPr>
        <w:pStyle w:val="style0"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Сила рекомендаций (А-</w:t>
      </w:r>
      <w:r>
        <w:rPr>
          <w:rFonts w:ascii="Times New Roman" w:cs="Times New Roman" w:hAnsi="Times New Roman"/>
          <w:sz w:val="28"/>
          <w:szCs w:val="28"/>
          <w:lang w:val="en-US"/>
        </w:rPr>
        <w:t>D</w:t>
      </w:r>
      <w:r>
        <w:rPr>
          <w:rFonts w:ascii="Times New Roman" w:cs="Times New Roman" w:hAnsi="Times New Roman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>
      <w:pPr>
        <w:pStyle w:val="style0"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Рейтинговая схема для оценки силы рекомендаций (схема 1)</w:t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1884"/>
        <w:gridCol w:w="7327"/>
      </w:tblGrid>
      <w:tr>
        <w:trPr>
          <w:cantSplit w:val="false"/>
        </w:trPr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type="dxa" w:w="73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Описание</w:t>
            </w:r>
          </w:p>
        </w:tc>
      </w:tr>
      <w:tr>
        <w:trPr>
          <w:cantSplit w:val="false"/>
        </w:trPr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1++</w:t>
            </w:r>
          </w:p>
        </w:tc>
        <w:tc>
          <w:tcPr>
            <w:tcW w:type="dxa" w:w="73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ind w:hanging="0" w:left="0" w:right="43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Мета-анализы высокого качества, систематические обзоры рандомизированных контролируемых исследований (РКИ), или РКИ с очень низким риском систематических ошибок</w:t>
            </w:r>
          </w:p>
        </w:tc>
      </w:tr>
      <w:tr>
        <w:trPr>
          <w:cantSplit w:val="false"/>
        </w:trPr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1+</w:t>
            </w:r>
          </w:p>
        </w:tc>
        <w:tc>
          <w:tcPr>
            <w:tcW w:type="dxa" w:w="73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Качественно проведенные мета-анализы, систематические, или РКИ с низким риском систематических ошибок</w:t>
            </w:r>
          </w:p>
        </w:tc>
      </w:tr>
      <w:tr>
        <w:trPr>
          <w:cantSplit w:val="false"/>
        </w:trPr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1-</w:t>
            </w:r>
          </w:p>
        </w:tc>
        <w:tc>
          <w:tcPr>
            <w:tcW w:type="dxa" w:w="73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Мета-анализы, систематические, или РКИ с высоким риском систематических ошибок</w:t>
            </w:r>
          </w:p>
        </w:tc>
      </w:tr>
      <w:tr>
        <w:trPr>
          <w:cantSplit w:val="false"/>
        </w:trPr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2++</w:t>
            </w:r>
          </w:p>
        </w:tc>
        <w:tc>
          <w:tcPr>
            <w:tcW w:type="dxa" w:w="73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1613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Высококачественные систематические обзоры исследований случай-контроль или когортных исследований. Высококачественные обзоры исследований случай-контроль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>
        <w:trPr>
          <w:cantSplit w:val="false"/>
        </w:trPr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2+</w:t>
            </w:r>
          </w:p>
        </w:tc>
        <w:tc>
          <w:tcPr>
            <w:tcW w:type="dxa" w:w="73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1272" w:val="left"/>
                <w:tab w:leader="none" w:pos="4153" w:val="center"/>
                <w:tab w:leader="none" w:pos="8306" w:val="right"/>
              </w:tabs>
              <w:spacing w:after="200" w:before="0"/>
              <w:ind w:hanging="0" w:left="0" w:right="72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Хорошо проведенные исследования случай-контроль или когортные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>
        <w:trPr>
          <w:cantSplit w:val="false"/>
        </w:trPr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2-</w:t>
            </w:r>
          </w:p>
        </w:tc>
        <w:tc>
          <w:tcPr>
            <w:tcW w:type="dxa" w:w="73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161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Исследования случай-контроль или когортные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>
        <w:trPr>
          <w:cantSplit w:val="false"/>
        </w:trPr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tcW w:type="dxa" w:w="73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>
        <w:trPr>
          <w:cantSplit w:val="false"/>
        </w:trPr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73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Мнения экспертов</w:t>
            </w:r>
          </w:p>
        </w:tc>
      </w:tr>
    </w:tbl>
    <w:p>
      <w:pPr>
        <w:pStyle w:val="style0"/>
        <w:ind w:firstLine="567" w:left="0" w:right="0"/>
        <w:jc w:val="both"/>
      </w:pPr>
      <w:r>
        <w:rPr/>
      </w:r>
    </w:p>
    <w:p>
      <w:pPr>
        <w:pStyle w:val="style0"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Рейтинговая схема для оценки силы рекомендаций (схема 2)</w:t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1645"/>
        <w:gridCol w:w="7566"/>
      </w:tblGrid>
      <w:tr>
        <w:trPr>
          <w:cantSplit w:val="false"/>
        </w:trPr>
        <w:tc>
          <w:tcPr>
            <w:tcW w:type="dxa" w:w="1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type="dxa" w:w="7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Описание</w:t>
            </w:r>
          </w:p>
        </w:tc>
      </w:tr>
      <w:tr>
        <w:trPr>
          <w:cantSplit w:val="false"/>
        </w:trPr>
        <w:tc>
          <w:tcPr>
            <w:tcW w:type="dxa" w:w="1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</w:t>
            </w:r>
          </w:p>
        </w:tc>
        <w:tc>
          <w:tcPr>
            <w:tcW w:type="dxa" w:w="7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95" w:val="left"/>
                <w:tab w:leader="none" w:pos="882" w:val="left"/>
                <w:tab w:leader="none" w:pos="4327" w:val="center"/>
                <w:tab w:leader="none" w:pos="8480" w:val="right"/>
              </w:tabs>
              <w:spacing w:after="200" w:before="0"/>
              <w:ind w:hanging="0" w:left="87" w:right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>
        <w:trPr>
          <w:cantSplit w:val="false"/>
        </w:trPr>
        <w:tc>
          <w:tcPr>
            <w:tcW w:type="dxa" w:w="1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</w:t>
            </w:r>
          </w:p>
        </w:tc>
        <w:tc>
          <w:tcPr>
            <w:tcW w:type="dxa" w:w="7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</w:t>
            </w:r>
            <w:r>
              <w:rPr>
                <w:rFonts w:ascii="Times New Roman" w:cs="Times New Roman" w:hAnsi="Times New Roman"/>
                <w:sz w:val="28"/>
                <w:szCs w:val="28"/>
                <w:shd w:fill="FFFF00" w:val="clear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доказательства из исследований, оцененных, как 1++ или 1+</w:t>
            </w:r>
          </w:p>
        </w:tc>
      </w:tr>
      <w:tr>
        <w:trPr>
          <w:cantSplit w:val="false"/>
        </w:trPr>
        <w:tc>
          <w:tcPr>
            <w:tcW w:type="dxa" w:w="1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</w:p>
        </w:tc>
        <w:tc>
          <w:tcPr>
            <w:tcW w:type="dxa" w:w="7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>
        <w:trPr>
          <w:cantSplit w:val="false"/>
        </w:trPr>
        <w:tc>
          <w:tcPr>
            <w:tcW w:type="dxa" w:w="1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type="dxa" w:w="7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1613" w:val="left"/>
                <w:tab w:leader="none" w:pos="4153" w:val="center"/>
                <w:tab w:leader="none" w:pos="8306" w:val="righ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>
      <w:pPr>
        <w:pStyle w:val="style0"/>
        <w:keepNext/>
        <w:keepLines/>
        <w:suppressAutoHyphens w:val="false"/>
        <w:spacing w:after="0" w:before="0" w:line="360" w:lineRule="auto"/>
        <w:jc w:val="both"/>
      </w:pPr>
      <w:r>
        <w:rPr/>
      </w:r>
    </w:p>
    <w:sectPr>
      <w:type w:val="nextPage"/>
      <w:pgSz w:h="16838" w:w="11906"/>
      <w:pgMar w:bottom="1134" w:footer="0" w:gutter="0" w:header="0" w:left="1276" w:right="849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Lucida Sans Unicode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ListLabel 1"/>
    <w:next w:val="style17"/>
    <w:rPr>
      <w:sz w:val="20"/>
    </w:rPr>
  </w:style>
  <w:style w:styleId="style18" w:type="character">
    <w:name w:val="ListLabel 2"/>
    <w:next w:val="style18"/>
    <w:rPr>
      <w:rFonts w:cs="Courier New"/>
    </w:rPr>
  </w:style>
  <w:style w:styleId="style19" w:type="character">
    <w:name w:val="ListLabel 3"/>
    <w:next w:val="style19"/>
    <w:rPr>
      <w:rFonts w:cs="Times New Roman" w:eastAsia="Times New Roman"/>
    </w:rPr>
  </w:style>
  <w:style w:styleId="style20" w:type="character">
    <w:name w:val="ListLabel 4"/>
    <w:next w:val="style20"/>
    <w:rPr>
      <w:rFonts w:cs="Symbol"/>
    </w:rPr>
  </w:style>
  <w:style w:styleId="style21" w:type="character">
    <w:name w:val="ListLabel 5"/>
    <w:next w:val="style21"/>
    <w:rPr>
      <w:rFonts w:cs="Courier New"/>
    </w:rPr>
  </w:style>
  <w:style w:styleId="style22" w:type="character">
    <w:name w:val="ListLabel 6"/>
    <w:next w:val="style22"/>
    <w:rPr>
      <w:rFonts w:cs="Wingdings"/>
    </w:rPr>
  </w:style>
  <w:style w:styleId="style23" w:type="character">
    <w:name w:val="ListLabel 7"/>
    <w:next w:val="style23"/>
    <w:rPr>
      <w:rFonts w:cs="Times New Roman"/>
      <w:sz w:val="28"/>
      <w:szCs w:val="28"/>
    </w:rPr>
  </w:style>
  <w:style w:styleId="style24" w:type="character">
    <w:name w:val="ListLabel 8"/>
    <w:next w:val="style24"/>
    <w:rPr>
      <w:rFonts w:cs="Symbol"/>
    </w:rPr>
  </w:style>
  <w:style w:styleId="style25" w:type="character">
    <w:name w:val="ListLabel 9"/>
    <w:next w:val="style25"/>
    <w:rPr>
      <w:rFonts w:cs="Courier New"/>
    </w:rPr>
  </w:style>
  <w:style w:styleId="style26" w:type="character">
    <w:name w:val="ListLabel 10"/>
    <w:next w:val="style26"/>
    <w:rPr>
      <w:rFonts w:cs="Wingdings"/>
    </w:rPr>
  </w:style>
  <w:style w:styleId="style27" w:type="character">
    <w:name w:val="ListLabel 11"/>
    <w:next w:val="style27"/>
    <w:rPr>
      <w:sz w:val="28"/>
      <w:szCs w:val="28"/>
    </w:rPr>
  </w:style>
  <w:style w:styleId="style28" w:type="character">
    <w:name w:val="ListLabel 12"/>
    <w:next w:val="style28"/>
    <w:rPr>
      <w:rFonts w:cs="Symbol"/>
    </w:rPr>
  </w:style>
  <w:style w:styleId="style29" w:type="character">
    <w:name w:val="ListLabel 13"/>
    <w:next w:val="style29"/>
    <w:rPr>
      <w:rFonts w:cs="Courier New"/>
    </w:rPr>
  </w:style>
  <w:style w:styleId="style30" w:type="character">
    <w:name w:val="ListLabel 14"/>
    <w:next w:val="style30"/>
    <w:rPr>
      <w:rFonts w:cs="Wingdings"/>
    </w:rPr>
  </w:style>
  <w:style w:styleId="style31" w:type="paragraph">
    <w:name w:val="Заголовок"/>
    <w:basedOn w:val="style0"/>
    <w:next w:val="style32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32" w:type="paragraph">
    <w:name w:val="Основной текст"/>
    <w:basedOn w:val="style0"/>
    <w:next w:val="style32"/>
    <w:pPr>
      <w:spacing w:after="120" w:before="0"/>
    </w:pPr>
    <w:rPr/>
  </w:style>
  <w:style w:styleId="style33" w:type="paragraph">
    <w:name w:val="Список"/>
    <w:basedOn w:val="style32"/>
    <w:next w:val="style33"/>
    <w:pPr/>
    <w:rPr>
      <w:rFonts w:cs="Mangal"/>
    </w:rPr>
  </w:style>
  <w:style w:styleId="style34" w:type="paragraph">
    <w:name w:val="Название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Указатель"/>
    <w:basedOn w:val="style0"/>
    <w:next w:val="style35"/>
    <w:pPr>
      <w:suppressLineNumbers/>
    </w:pPr>
    <w:rPr>
      <w:rFonts w:cs="Mangal"/>
    </w:rPr>
  </w:style>
  <w:style w:styleId="style36" w:type="paragraph">
    <w:name w:val="Заглавие"/>
    <w:basedOn w:val="style0"/>
    <w:next w:val="style37"/>
    <w:pPr>
      <w:suppressLineNumbers/>
      <w:spacing w:after="120" w:before="120"/>
      <w:jc w:val="center"/>
    </w:pPr>
    <w:rPr>
      <w:rFonts w:cs="Mangal"/>
      <w:b/>
      <w:bCs/>
      <w:i/>
      <w:iCs/>
      <w:sz w:val="24"/>
      <w:szCs w:val="24"/>
    </w:rPr>
  </w:style>
  <w:style w:styleId="style37" w:type="paragraph">
    <w:name w:val="Подзаголовок"/>
    <w:basedOn w:val="style31"/>
    <w:next w:val="style32"/>
    <w:pPr>
      <w:jc w:val="center"/>
    </w:pPr>
    <w:rPr>
      <w:i/>
      <w:iCs/>
      <w:sz w:val="28"/>
      <w:szCs w:val="28"/>
    </w:rPr>
  </w:style>
  <w:style w:styleId="style38" w:type="paragraph">
    <w:name w:val="index heading"/>
    <w:basedOn w:val="style0"/>
    <w:next w:val="style38"/>
    <w:pPr>
      <w:suppressLineNumbers/>
    </w:pPr>
    <w:rPr>
      <w:rFonts w:cs="Mangal"/>
    </w:rPr>
  </w:style>
  <w:style w:styleId="style39" w:type="paragraph">
    <w:name w:val="Normal (Web)"/>
    <w:basedOn w:val="style0"/>
    <w:next w:val="style39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0" w:type="paragraph">
    <w:name w:val="List Paragraph"/>
    <w:basedOn w:val="style0"/>
    <w:next w:val="style40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2013-10-30T20:22:00.00Z</dcterms:created>
  <dc:creator>user</dc:creator>
  <cp:lastModifiedBy>Николай</cp:lastModifiedBy>
  <cp:lastPrinted>2013-11-01T12:16:00.00Z</cp:lastPrinted>
  <dcterms:modified xsi:type="dcterms:W3CDTF">2013-12-07T20:01:00.00Z</dcterms:modified>
  <cp:revision>29</cp:revision>
</cp:coreProperties>
</file>