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95C" w:rsidRPr="003A2410" w:rsidRDefault="006D295C" w:rsidP="006D295C">
      <w:pPr>
        <w:spacing w:line="240" w:lineRule="auto"/>
        <w:contextualSpacing/>
        <w:jc w:val="center"/>
        <w:rPr>
          <w:rFonts w:ascii="Times New Roman" w:hAnsi="Times New Roman" w:cs="Times New Roman"/>
          <w:b/>
          <w:sz w:val="24"/>
          <w:szCs w:val="24"/>
        </w:rPr>
      </w:pPr>
      <w:bookmarkStart w:id="0" w:name="_GoBack"/>
      <w:bookmarkEnd w:id="0"/>
      <w:r w:rsidRPr="003A2410">
        <w:rPr>
          <w:rFonts w:ascii="Times New Roman" w:hAnsi="Times New Roman" w:cs="Times New Roman"/>
          <w:b/>
          <w:sz w:val="24"/>
          <w:szCs w:val="24"/>
        </w:rPr>
        <w:t>КЛИНИЧЕСКИЕ РЕКОМЕНДАЦИИ ПО ЛЕЧЕНИЮ КРОВОТЕЧЕНИЙ</w:t>
      </w:r>
    </w:p>
    <w:p w:rsidR="006D295C" w:rsidRPr="000E78E2" w:rsidRDefault="006D295C" w:rsidP="006D29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 ВАР</w:t>
      </w:r>
      <w:r w:rsidRPr="003A2410">
        <w:rPr>
          <w:rFonts w:ascii="Times New Roman" w:hAnsi="Times New Roman" w:cs="Times New Roman"/>
          <w:b/>
          <w:sz w:val="24"/>
          <w:szCs w:val="24"/>
        </w:rPr>
        <w:t>ИКОЗНО РАСШИРЕННЫХ ВЕН ПИЩЕВОДА И ЖЕЛУДКА</w:t>
      </w:r>
    </w:p>
    <w:p w:rsidR="006D295C" w:rsidRPr="00566E22" w:rsidRDefault="006D295C" w:rsidP="006D295C">
      <w:pPr>
        <w:spacing w:line="240" w:lineRule="auto"/>
        <w:contextualSpacing/>
        <w:jc w:val="center"/>
        <w:rPr>
          <w:rFonts w:ascii="Times New Roman" w:hAnsi="Times New Roman" w:cs="Times New Roman"/>
          <w:b/>
          <w:sz w:val="24"/>
          <w:szCs w:val="24"/>
        </w:rPr>
      </w:pPr>
      <w:r w:rsidRPr="00684E30">
        <w:rPr>
          <w:rFonts w:ascii="Times New Roman" w:hAnsi="Times New Roman" w:cs="Times New Roman"/>
          <w:b/>
          <w:sz w:val="24"/>
          <w:szCs w:val="24"/>
        </w:rPr>
        <w:t>(</w:t>
      </w:r>
      <w:r>
        <w:rPr>
          <w:rFonts w:ascii="Times New Roman" w:hAnsi="Times New Roman" w:cs="Times New Roman"/>
          <w:b/>
          <w:sz w:val="24"/>
          <w:szCs w:val="24"/>
        </w:rPr>
        <w:t>Российское общество хирургов,  Российское общество по изучению печени)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Рабочая группа:</w:t>
      </w:r>
    </w:p>
    <w:p w:rsidR="006D295C" w:rsidRDefault="006D295C" w:rsidP="006D295C">
      <w:pPr>
        <w:spacing w:line="240" w:lineRule="auto"/>
        <w:contextualSpacing/>
        <w:jc w:val="both"/>
        <w:rPr>
          <w:rFonts w:ascii="Times New Roman" w:hAnsi="Times New Roman" w:cs="Times New Roman"/>
          <w:b/>
          <w:sz w:val="24"/>
          <w:szCs w:val="24"/>
        </w:rPr>
      </w:pPr>
    </w:p>
    <w:p w:rsidR="006D295C"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 xml:space="preserve">Сопредседатели: </w:t>
      </w:r>
    </w:p>
    <w:p w:rsidR="006D295C" w:rsidRPr="00312115"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Затевахин Игорь Иванович- д.м.н., профессор, академик РАН, заведующий кафедрой хирургических болезней РНИМУ им. Н.И. Пирогова,</w:t>
      </w:r>
      <w:r>
        <w:rPr>
          <w:rFonts w:ascii="Times New Roman" w:hAnsi="Times New Roman" w:cs="Times New Roman"/>
          <w:sz w:val="24"/>
          <w:szCs w:val="24"/>
        </w:rPr>
        <w:t xml:space="preserve"> </w:t>
      </w:r>
      <w:r w:rsidRPr="005614C1">
        <w:rPr>
          <w:rFonts w:ascii="Times New Roman" w:hAnsi="Times New Roman" w:cs="Times New Roman"/>
          <w:sz w:val="24"/>
          <w:szCs w:val="24"/>
        </w:rPr>
        <w:t>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Ивашкин Владимир Трофимович – д.м.н., профессор, академик РАН, заведующий кафедрой пропедевтики внутренних болезней лечебного факультета, директор Клиники пропедевтики внутрен</w:t>
      </w:r>
      <w:r>
        <w:rPr>
          <w:rFonts w:ascii="Times New Roman" w:hAnsi="Times New Roman" w:cs="Times New Roman"/>
          <w:sz w:val="24"/>
          <w:szCs w:val="24"/>
        </w:rPr>
        <w:t>них болезней, гастроэнтерологии</w:t>
      </w:r>
      <w:r w:rsidRPr="00FF6132">
        <w:rPr>
          <w:rFonts w:ascii="Times New Roman" w:hAnsi="Times New Roman" w:cs="Times New Roman"/>
          <w:sz w:val="24"/>
          <w:szCs w:val="24"/>
        </w:rPr>
        <w:t xml:space="preserve"> </w:t>
      </w:r>
      <w:r>
        <w:rPr>
          <w:rFonts w:ascii="Times New Roman" w:hAnsi="Times New Roman" w:cs="Times New Roman"/>
          <w:sz w:val="24"/>
          <w:szCs w:val="24"/>
        </w:rPr>
        <w:t>и</w:t>
      </w:r>
      <w:r w:rsidRPr="005614C1">
        <w:rPr>
          <w:rFonts w:ascii="Times New Roman" w:hAnsi="Times New Roman" w:cs="Times New Roman"/>
          <w:sz w:val="24"/>
          <w:szCs w:val="24"/>
        </w:rPr>
        <w:t xml:space="preserve"> гепатологии </w:t>
      </w:r>
      <w:r>
        <w:rPr>
          <w:rFonts w:ascii="Times New Roman" w:hAnsi="Times New Roman" w:cs="Times New Roman"/>
          <w:sz w:val="24"/>
          <w:szCs w:val="24"/>
        </w:rPr>
        <w:t xml:space="preserve"> им.В.Х.Василенко </w:t>
      </w:r>
      <w:r w:rsidRPr="005614C1">
        <w:rPr>
          <w:rFonts w:ascii="Times New Roman" w:hAnsi="Times New Roman" w:cs="Times New Roman"/>
          <w:sz w:val="24"/>
          <w:szCs w:val="24"/>
        </w:rPr>
        <w:t>Первого МГМУ им. И.М. Сеченова, Москва</w:t>
      </w:r>
    </w:p>
    <w:p w:rsidR="006D295C" w:rsidRDefault="006D295C" w:rsidP="006D295C">
      <w:pPr>
        <w:spacing w:line="240" w:lineRule="auto"/>
        <w:contextualSpacing/>
        <w:jc w:val="both"/>
        <w:rPr>
          <w:rFonts w:ascii="Times New Roman" w:hAnsi="Times New Roman" w:cs="Times New Roman"/>
          <w:b/>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 xml:space="preserve">Ответственные исполнители: </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Киценко Евгений Александрович – д.м.н, ведущий научный сотрудник отделения экстренной хирургии и портальной гипертензии ФБГНУ РНЦХ им. акад. Б.В. Петровского,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Павлов Чавдар Савов – д.м.н., проф. кафедры пропедевтики внутренних болезней лечебного факультета Первого МГМУ им. И.М. Сеченова, Москва</w:t>
      </w:r>
    </w:p>
    <w:p w:rsidR="006D295C" w:rsidRDefault="006D295C" w:rsidP="006D295C">
      <w:pPr>
        <w:spacing w:line="240" w:lineRule="auto"/>
        <w:contextualSpacing/>
        <w:jc w:val="both"/>
        <w:rPr>
          <w:rFonts w:ascii="Times New Roman" w:hAnsi="Times New Roman" w:cs="Times New Roman"/>
          <w:b/>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Члены рабочей группы:</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Шерцингер Александр Георгиевич – д.м.н., профессор, заведующий отделением экстренной хирургии и портальной гипертензии ФБНГУ РНЦХ им. акад. Б.В.Петровского,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Чжао Алексей Владимирович – д.м.н., профессор, заведующий отделением абдоминальной хирургии, зам. директора института хирургии им. А.В. Вишневского по научной работе,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Маевская Марина Викторовна – д.м.н., профессор кафедры пропедевтики внутренних болезней лечебного факультета Первого МГМУ им. И.М. Сеченова, заведующая отделением гепатологии Клиники пропедевтики внутренних болезней, гастроэнтерологии и гепатологии им. В.Х. Василенко,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Верткин Аркадий Львович – д.м.н., профессор, заведующий кафедрой клинической фармакологии, фармакотерапии и скорой медицинской помощи МГМСУ им. А.И. Евдокимова,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Жигалова Светлана Борисовна- д.м.н., ведущий научный сотрудник отделения экстренной хирургии и портальной гипертензии ФБНГУ РНЦХ им. акад. Б.В. Петровского , Москва</w:t>
      </w:r>
    </w:p>
    <w:p w:rsidR="006D295C" w:rsidRPr="00FF6132"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Огурцов Павел Петрович – д.м.н., профессор кафедры факультетской терапии Российского Университета дружбы народов (РУДН), Москва</w:t>
      </w:r>
    </w:p>
    <w:p w:rsidR="006D295C" w:rsidRDefault="006D295C" w:rsidP="006D295C">
      <w:pPr>
        <w:spacing w:line="240" w:lineRule="auto"/>
        <w:contextualSpacing/>
        <w:jc w:val="both"/>
        <w:rPr>
          <w:rFonts w:ascii="Times New Roman" w:hAnsi="Times New Roman" w:cs="Times New Roman"/>
          <w:sz w:val="24"/>
          <w:szCs w:val="24"/>
        </w:rPr>
      </w:pPr>
      <w:r w:rsidRPr="006E5FB7">
        <w:rPr>
          <w:rFonts w:ascii="Times New Roman" w:hAnsi="Times New Roman" w:cs="Times New Roman"/>
          <w:sz w:val="24"/>
          <w:szCs w:val="24"/>
        </w:rPr>
        <w:t xml:space="preserve">Бунова Светлана Сергеевна - д.м.н., доцент, зав. кафедрой пропедевтики внутренних болезней ОмГМА, </w:t>
      </w:r>
      <w:r>
        <w:rPr>
          <w:rFonts w:ascii="Times New Roman" w:hAnsi="Times New Roman" w:cs="Times New Roman"/>
          <w:sz w:val="24"/>
          <w:szCs w:val="24"/>
        </w:rPr>
        <w:t>Омск</w:t>
      </w:r>
    </w:p>
    <w:p w:rsidR="006D295C" w:rsidRPr="006E5FB7"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Королев Михаил Павлович</w:t>
      </w:r>
      <w:r w:rsidRPr="0092605E">
        <w:rPr>
          <w:rFonts w:ascii="Times New Roman" w:hAnsi="Times New Roman" w:cs="Times New Roman"/>
          <w:sz w:val="24"/>
          <w:szCs w:val="24"/>
        </w:rPr>
        <w:t>-</w:t>
      </w:r>
      <w:r w:rsidRPr="0051494A">
        <w:rPr>
          <w:rFonts w:ascii="Times New Roman" w:hAnsi="Times New Roman" w:cs="Times New Roman"/>
          <w:sz w:val="24"/>
          <w:szCs w:val="24"/>
        </w:rPr>
        <w:t xml:space="preserve"> </w:t>
      </w:r>
      <w:r w:rsidRPr="005614C1">
        <w:rPr>
          <w:rFonts w:ascii="Times New Roman" w:hAnsi="Times New Roman" w:cs="Times New Roman"/>
          <w:sz w:val="24"/>
          <w:szCs w:val="24"/>
        </w:rPr>
        <w:t>д.м.н., профессор</w:t>
      </w:r>
      <w:r>
        <w:rPr>
          <w:rFonts w:ascii="Times New Roman" w:hAnsi="Times New Roman" w:cs="Times New Roman"/>
          <w:sz w:val="24"/>
          <w:szCs w:val="24"/>
        </w:rPr>
        <w:t>,</w:t>
      </w:r>
      <w:r w:rsidRPr="0092605E">
        <w:rPr>
          <w:rFonts w:ascii="Times New Roman" w:hAnsi="Times New Roman" w:cs="Times New Roman"/>
          <w:sz w:val="24"/>
          <w:szCs w:val="24"/>
        </w:rPr>
        <w:t xml:space="preserve"> заведующий кафедрой общей хирургии с курсом эндоскопии и ухода за хирургическим больным Санкт-Петербургского государственного педиатрического медицинского университета (СПбГПМУ)</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Котив Богдан Николаевич – д.м.н., профессор, зам. начальника Военно-Медицинской академии им. С.М. Кирова по учебной и научной работе,  Санкт-Петербург</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Дзидзава Илья Игоревич – д.м.н., профессор, начальник кафедры госпитальной хирургии Военно-медицинской академии им. С.М. Кирова, г. Санкт-Петербург</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Анисимов Андрей Юрьевич  – д.м.н., профессор кафедры Скорой Медицинской помощи ГБОУ ДПО, Казанская государственная медицинская академия Минздрава РФ, зам. Главного врача по хирургии ГАУЗ ГКБ 7 (главный врач – Садыков Марат Наилевич), главный хирург  Министерства здравоохранения и республики Татарстан.</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Прудков Михаил Иосифович – д.м.н., профессор, заведующий кафедрой хирургических болезней факультета повышения квалификации врачей и постдипломной подготовки ГБОУ ВПО Уральской государственной медицинской академии</w:t>
      </w:r>
      <w:r>
        <w:rPr>
          <w:rFonts w:ascii="Times New Roman" w:hAnsi="Times New Roman" w:cs="Times New Roman"/>
          <w:sz w:val="24"/>
          <w:szCs w:val="24"/>
        </w:rPr>
        <w:t>,</w:t>
      </w:r>
      <w:r w:rsidRPr="005614C1">
        <w:rPr>
          <w:rFonts w:ascii="Times New Roman" w:hAnsi="Times New Roman" w:cs="Times New Roman"/>
          <w:sz w:val="24"/>
          <w:szCs w:val="24"/>
        </w:rPr>
        <w:t xml:space="preserve">  Екатеринбург</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Хоронько Юрий Владиленович  – д.м.н., зав. кафедрой оперативной хирургии Ростовского государственного медицинского университета, Ростов-на-Дону</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Назыров Феруз</w:t>
      </w:r>
      <w:r>
        <w:rPr>
          <w:rFonts w:ascii="Times New Roman" w:hAnsi="Times New Roman" w:cs="Times New Roman"/>
          <w:sz w:val="24"/>
          <w:szCs w:val="24"/>
        </w:rPr>
        <w:t xml:space="preserve"> </w:t>
      </w:r>
      <w:r w:rsidRPr="005614C1">
        <w:rPr>
          <w:rFonts w:ascii="Times New Roman" w:hAnsi="Times New Roman" w:cs="Times New Roman"/>
          <w:sz w:val="24"/>
          <w:szCs w:val="24"/>
        </w:rPr>
        <w:t>Гафурович – д.м.н., профессор, заведующий кафедрой госпитальной хирургии Ташкентской медицинской академии (ректор – проф. Каримов Шавкат</w:t>
      </w:r>
      <w:r>
        <w:rPr>
          <w:rFonts w:ascii="Times New Roman" w:hAnsi="Times New Roman" w:cs="Times New Roman"/>
          <w:sz w:val="24"/>
          <w:szCs w:val="24"/>
        </w:rPr>
        <w:t xml:space="preserve"> </w:t>
      </w:r>
      <w:r w:rsidRPr="005614C1">
        <w:rPr>
          <w:rFonts w:ascii="Times New Roman" w:hAnsi="Times New Roman" w:cs="Times New Roman"/>
          <w:sz w:val="24"/>
          <w:szCs w:val="24"/>
        </w:rPr>
        <w:t>Ибрагимович), директор Республиканского центра хирургии им. акад. В.В. Вахидова, г. Ташкент.</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Девятов Андрей Васильевич  – д.м.н., главный научный сотрудник отделения портальной гипертензии и панкреатодуоденальной зоны Республиканского центра хирургии им. акад. В.В. Вахидова  – г. Ташкент</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Манукьян Гарик Ваганович -  д.м.н., ведущий научный сотрудник отделения экстренной хирургии и портальной гипертензии ФБГНУ им. акад.Б.В.</w:t>
      </w:r>
      <w:r>
        <w:rPr>
          <w:rFonts w:ascii="Times New Roman" w:hAnsi="Times New Roman" w:cs="Times New Roman"/>
          <w:sz w:val="24"/>
          <w:szCs w:val="24"/>
        </w:rPr>
        <w:t xml:space="preserve"> </w:t>
      </w:r>
      <w:r w:rsidRPr="005614C1">
        <w:rPr>
          <w:rFonts w:ascii="Times New Roman" w:hAnsi="Times New Roman" w:cs="Times New Roman"/>
          <w:sz w:val="24"/>
          <w:szCs w:val="24"/>
        </w:rPr>
        <w:t>Петровского,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Лебезев Виктор Михайлович – д.м.н., профессор, главный научный сотрудник отделения экстренной хирургии и портальной гипертензии ФБГНУ им. акад. Б.В.Петровского,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Цициашвили  Михаил Шалвович – д.м.н., профессор кафедры  хирургических  болезней  № 1 педиатрического факультета  РНИМУ им. Н.И.Пирогова, Москва.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Монахов Дмитрий Владимирович-  к.м.н., доцент кафедры хирургических болезней №1 педиатрического факультета  РНИМУ  им. Н.И.Пирогова, г.</w:t>
      </w:r>
      <w:r>
        <w:rPr>
          <w:rFonts w:ascii="Times New Roman" w:hAnsi="Times New Roman" w:cs="Times New Roman"/>
          <w:sz w:val="24"/>
          <w:szCs w:val="24"/>
        </w:rPr>
        <w:t xml:space="preserve"> </w:t>
      </w:r>
      <w:r w:rsidRPr="005614C1">
        <w:rPr>
          <w:rFonts w:ascii="Times New Roman" w:hAnsi="Times New Roman" w:cs="Times New Roman"/>
          <w:sz w:val="24"/>
          <w:szCs w:val="24"/>
        </w:rPr>
        <w:t>Москва.</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805713">
        <w:rPr>
          <w:rFonts w:ascii="Times New Roman" w:hAnsi="Times New Roman" w:cs="Times New Roman"/>
          <w:b/>
          <w:sz w:val="24"/>
          <w:szCs w:val="24"/>
        </w:rPr>
        <w:t>Настоящие рекомендации содержат следующие разделы:</w:t>
      </w:r>
      <w:r w:rsidRPr="005614C1">
        <w:rPr>
          <w:rFonts w:ascii="Times New Roman" w:hAnsi="Times New Roman" w:cs="Times New Roman"/>
          <w:sz w:val="24"/>
          <w:szCs w:val="24"/>
        </w:rPr>
        <w:t xml:space="preserve"> введение, этиология и патогенез портальной гипертензии, диагностика варикозно расширенных вен пищевода и желудка, лечение – медикаментозное, эндоскопическое, эндоваскулярное, хирургическое.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1.ВВЕДЕНИЕ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К настоящему времени накоплен существенный опыт ведения и лечения пациентов с  кровотечениями из варикозно расширенных вен пищевода и желудка, который  положен в основу представленных рекомендации[2, 4, 7].Кровотечение из варикозно расширенных вен пищевода - завершающее звено в последовательности осложнений цирроза печени, вызванных прогрессирующим  фиброзом ткани печени, блоком току крови через ее ткань, развитием синдрома портальной гипертензии, за которым следует сброс крови по путям коллатерального кровообращения в т.ч.  прогресс</w:t>
      </w:r>
      <w:r>
        <w:rPr>
          <w:rFonts w:ascii="Times New Roman" w:hAnsi="Times New Roman" w:cs="Times New Roman"/>
          <w:sz w:val="24"/>
          <w:szCs w:val="24"/>
        </w:rPr>
        <w:t>ирующее расширение вен пищевода</w:t>
      </w:r>
      <w:r w:rsidRPr="005614C1">
        <w:rPr>
          <w:rFonts w:ascii="Times New Roman" w:hAnsi="Times New Roman" w:cs="Times New Roman"/>
          <w:sz w:val="24"/>
          <w:szCs w:val="24"/>
        </w:rPr>
        <w:t xml:space="preserve"> с последующим их разрывом. Сегодня усилия врачей направлены на предотвращение развития последовательных стадий портальной гипертензии и на поиск терапевтических и хирургических методов, позволяющих радикально уменьшить давление в системе воротной вены и таким образом предупредить риск развития кровотечения из  варикозно расширенных</w:t>
      </w:r>
      <w:r>
        <w:rPr>
          <w:rFonts w:ascii="Times New Roman" w:hAnsi="Times New Roman" w:cs="Times New Roman"/>
          <w:sz w:val="24"/>
          <w:szCs w:val="24"/>
        </w:rPr>
        <w:t xml:space="preserve"> вен пищевода. Другим подходом  </w:t>
      </w:r>
      <w:r w:rsidRPr="005614C1">
        <w:rPr>
          <w:rFonts w:ascii="Times New Roman" w:hAnsi="Times New Roman" w:cs="Times New Roman"/>
          <w:sz w:val="24"/>
          <w:szCs w:val="24"/>
        </w:rPr>
        <w:t>к предупреждению гастроэзофагеальных кровотечений портального генеза является использование местной эндоскопической терапии</w:t>
      </w:r>
      <w:r w:rsidRPr="00787EFC">
        <w:rPr>
          <w:rFonts w:ascii="Times New Roman" w:hAnsi="Times New Roman" w:cs="Times New Roman"/>
          <w:sz w:val="24"/>
          <w:szCs w:val="24"/>
        </w:rPr>
        <w:t xml:space="preserve"> </w:t>
      </w:r>
      <w:r>
        <w:rPr>
          <w:rFonts w:ascii="Times New Roman" w:hAnsi="Times New Roman" w:cs="Times New Roman"/>
          <w:sz w:val="24"/>
          <w:szCs w:val="24"/>
        </w:rPr>
        <w:t>направленной</w:t>
      </w:r>
      <w:r w:rsidRPr="005614C1">
        <w:rPr>
          <w:rFonts w:ascii="Times New Roman" w:hAnsi="Times New Roman" w:cs="Times New Roman"/>
          <w:sz w:val="24"/>
          <w:szCs w:val="24"/>
        </w:rPr>
        <w:t xml:space="preserve"> на эрадикацию</w:t>
      </w:r>
      <w:r>
        <w:rPr>
          <w:rFonts w:ascii="Times New Roman" w:hAnsi="Times New Roman" w:cs="Times New Roman"/>
          <w:sz w:val="24"/>
          <w:szCs w:val="24"/>
        </w:rPr>
        <w:t xml:space="preserve"> варикозно расширенных вен</w:t>
      </w:r>
      <w:r w:rsidRPr="005614C1">
        <w:rPr>
          <w:rFonts w:ascii="Times New Roman" w:hAnsi="Times New Roman" w:cs="Times New Roman"/>
          <w:sz w:val="24"/>
          <w:szCs w:val="24"/>
        </w:rPr>
        <w:t xml:space="preserve"> с целью профилактики их разрыва[3, 5, 17].  Группой авторов проведен анализ отечественных и зарубежных работ с целью выработки единых подходов к лечению кровотечений из варикозных вен пищевода и желудка  больных  с циррозом печени.  В рекомендациях  сделан акцент на нерешенных проблемах и перспективах на будущее, открываемых новыми исследовательскими данными.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 настоящее время абсолютно очевиден жизнеугрожающий характер данного осложнения цирроза печени. Варикозно расширенные вены пищевода выявляются у 30-40 % больных компенсированным циррозом печени и у 60</w:t>
      </w:r>
      <w:r>
        <w:rPr>
          <w:rFonts w:ascii="Times New Roman" w:hAnsi="Times New Roman" w:cs="Times New Roman"/>
          <w:sz w:val="24"/>
          <w:szCs w:val="24"/>
        </w:rPr>
        <w:t xml:space="preserve">% с декомпенсированным циррозом </w:t>
      </w:r>
      <w:r w:rsidRPr="005614C1">
        <w:rPr>
          <w:rFonts w:ascii="Times New Roman" w:hAnsi="Times New Roman" w:cs="Times New Roman"/>
          <w:sz w:val="24"/>
          <w:szCs w:val="24"/>
        </w:rPr>
        <w:t xml:space="preserve"> на момент его диагностики [4, 8, 24, 25]. Частота кровотечений из варикозно расширенных </w:t>
      </w:r>
      <w:r w:rsidRPr="005614C1">
        <w:rPr>
          <w:rFonts w:ascii="Times New Roman" w:hAnsi="Times New Roman" w:cs="Times New Roman"/>
          <w:sz w:val="24"/>
          <w:szCs w:val="24"/>
        </w:rPr>
        <w:lastRenderedPageBreak/>
        <w:t>вен пищевода у больных с циррозом печени составляет в среднем 4% в год. Риск увеличивается до 15% у пациентов с венами средних и крупных размеров [26].</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Риск развития повторного кровотечения очень высок и зависит от тяжести цирроза: в первый год рецидив кровотечения наблюдается у 28% пациентов со степенью А (по Child-Pugh), у 48% - с B, у 68% - с C [9].</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Несмотря на достижения последних десятилетий, кровотечения из ВРВ пищевода и желудка сопровождаются </w:t>
      </w:r>
      <w:r>
        <w:rPr>
          <w:rFonts w:ascii="Times New Roman" w:hAnsi="Times New Roman" w:cs="Times New Roman"/>
          <w:sz w:val="24"/>
          <w:szCs w:val="24"/>
        </w:rPr>
        <w:t xml:space="preserve">летальностью </w:t>
      </w:r>
      <w:r w:rsidRPr="005614C1">
        <w:rPr>
          <w:rFonts w:ascii="Times New Roman" w:hAnsi="Times New Roman" w:cs="Times New Roman"/>
          <w:sz w:val="24"/>
          <w:szCs w:val="24"/>
        </w:rPr>
        <w:t xml:space="preserve"> 10-20% в течение 6 недель [17, 18, 22].</w:t>
      </w:r>
    </w:p>
    <w:p w:rsidR="006D295C" w:rsidRDefault="006D295C" w:rsidP="006D295C">
      <w:pPr>
        <w:spacing w:line="240" w:lineRule="auto"/>
        <w:ind w:firstLine="708"/>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Рекомендации по диагностике и лечению пациентов с  кровотечениями из варикозно расширенных вен пищевода и желудка, служат   руководством для практических врачей, осуществляющих ведение и лечение таких больных в стационарах различного уровня. Данные рекомендации подлежат регулярному пересмотру в соответствии с новыми данными научных исследований в этой области.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Рекомендации сопровождаются пояснениями об уровне и</w:t>
      </w:r>
      <w:r>
        <w:rPr>
          <w:rFonts w:ascii="Times New Roman" w:hAnsi="Times New Roman" w:cs="Times New Roman"/>
          <w:sz w:val="24"/>
          <w:szCs w:val="24"/>
        </w:rPr>
        <w:t xml:space="preserve"> </w:t>
      </w:r>
      <w:r w:rsidRPr="005614C1">
        <w:rPr>
          <w:rFonts w:ascii="Times New Roman" w:hAnsi="Times New Roman" w:cs="Times New Roman"/>
          <w:sz w:val="24"/>
          <w:szCs w:val="24"/>
        </w:rPr>
        <w:t>дока</w:t>
      </w:r>
      <w:r>
        <w:rPr>
          <w:rFonts w:ascii="Times New Roman" w:hAnsi="Times New Roman" w:cs="Times New Roman"/>
          <w:sz w:val="24"/>
          <w:szCs w:val="24"/>
        </w:rPr>
        <w:t>зательности отдельных положений</w:t>
      </w:r>
      <w:r w:rsidRPr="005614C1">
        <w:rPr>
          <w:rFonts w:ascii="Times New Roman" w:hAnsi="Times New Roman" w:cs="Times New Roman"/>
          <w:sz w:val="24"/>
          <w:szCs w:val="24"/>
        </w:rPr>
        <w:t xml:space="preserve"> согласно принятым международным правилам (Оксфордская система) (таблица 1) [15].</w:t>
      </w:r>
    </w:p>
    <w:p w:rsidR="006D295C" w:rsidRDefault="006D295C" w:rsidP="006D295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Таблица 1</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Уровни доказательности приводимых научных утверждений</w:t>
      </w:r>
    </w:p>
    <w:p w:rsidR="006D295C" w:rsidRPr="005614C1" w:rsidRDefault="006D295C" w:rsidP="006D295C">
      <w:pPr>
        <w:spacing w:line="240" w:lineRule="auto"/>
        <w:contextualSpacing/>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873"/>
        <w:gridCol w:w="6973"/>
      </w:tblGrid>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Уровень</w:t>
            </w:r>
            <w:r>
              <w:rPr>
                <w:sz w:val="24"/>
                <w:szCs w:val="24"/>
              </w:rPr>
              <w:t xml:space="preserve"> </w:t>
            </w:r>
            <w:r w:rsidRPr="005614C1">
              <w:rPr>
                <w:sz w:val="24"/>
                <w:szCs w:val="24"/>
              </w:rPr>
              <w:t>доказательности</w:t>
            </w:r>
          </w:p>
        </w:tc>
        <w:tc>
          <w:tcPr>
            <w:tcW w:w="6973" w:type="dxa"/>
          </w:tcPr>
          <w:p w:rsidR="006D295C" w:rsidRPr="005614C1" w:rsidRDefault="006D295C" w:rsidP="009F0880">
            <w:pPr>
              <w:contextualSpacing/>
              <w:jc w:val="both"/>
              <w:rPr>
                <w:sz w:val="24"/>
                <w:szCs w:val="24"/>
              </w:rPr>
            </w:pPr>
            <w:r w:rsidRPr="005614C1">
              <w:rPr>
                <w:sz w:val="24"/>
                <w:szCs w:val="24"/>
              </w:rPr>
              <w:t>Пояснения</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А</w:t>
            </w:r>
          </w:p>
        </w:tc>
        <w:tc>
          <w:tcPr>
            <w:tcW w:w="6973" w:type="dxa"/>
          </w:tcPr>
          <w:p w:rsidR="006D295C" w:rsidRPr="005614C1" w:rsidRDefault="006D295C" w:rsidP="009F0880">
            <w:pPr>
              <w:contextualSpacing/>
              <w:jc w:val="both"/>
              <w:rPr>
                <w:sz w:val="24"/>
                <w:szCs w:val="24"/>
              </w:rPr>
            </w:pPr>
            <w:r>
              <w:rPr>
                <w:sz w:val="24"/>
                <w:szCs w:val="24"/>
              </w:rPr>
              <w:t>Доказательство</w:t>
            </w:r>
            <w:r w:rsidRPr="005614C1">
              <w:rPr>
                <w:sz w:val="24"/>
                <w:szCs w:val="24"/>
              </w:rPr>
              <w:t xml:space="preserve"> I уровня или устойчивые многочисленные данные II уровня доказательности</w:t>
            </w:r>
            <w:r>
              <w:rPr>
                <w:sz w:val="24"/>
                <w:szCs w:val="24"/>
              </w:rPr>
              <w:t>.</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В</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II, III или IV уровня, считающиеся в целом устойчивыми данными.</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С</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II, III, IV уровня, но данные в целом неустойчивые.</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D</w:t>
            </w:r>
          </w:p>
        </w:tc>
        <w:tc>
          <w:tcPr>
            <w:tcW w:w="6973" w:type="dxa"/>
          </w:tcPr>
          <w:p w:rsidR="006D295C" w:rsidRPr="005614C1" w:rsidRDefault="006D295C" w:rsidP="009F0880">
            <w:pPr>
              <w:contextualSpacing/>
              <w:jc w:val="both"/>
              <w:rPr>
                <w:sz w:val="24"/>
                <w:szCs w:val="24"/>
              </w:rPr>
            </w:pPr>
            <w:r w:rsidRPr="005614C1">
              <w:rPr>
                <w:sz w:val="24"/>
                <w:szCs w:val="24"/>
              </w:rPr>
              <w:t>Слабые или несистематические эмпирические доказательства.</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Рекомендации</w:t>
            </w:r>
          </w:p>
        </w:tc>
        <w:tc>
          <w:tcPr>
            <w:tcW w:w="6973" w:type="dxa"/>
          </w:tcPr>
          <w:p w:rsidR="006D295C" w:rsidRPr="005614C1" w:rsidRDefault="006D295C" w:rsidP="009F0880">
            <w:pPr>
              <w:contextualSpacing/>
              <w:jc w:val="both"/>
              <w:rPr>
                <w:sz w:val="24"/>
                <w:szCs w:val="24"/>
              </w:rPr>
            </w:pPr>
            <w:r w:rsidRPr="005614C1">
              <w:rPr>
                <w:sz w:val="24"/>
                <w:szCs w:val="24"/>
              </w:rPr>
              <w:t>Пояснения</w:t>
            </w:r>
          </w:p>
        </w:tc>
      </w:tr>
      <w:tr w:rsidR="006D295C" w:rsidRPr="00ED750C"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I</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получены в результате мета-анализа большого числа хорошо спланированных рандомизированных исследований. Рандомизированные исследования с низким уровнем ложнопозитивных и ложнонегативных ошибок</w:t>
            </w:r>
            <w:r>
              <w:rPr>
                <w:sz w:val="24"/>
                <w:szCs w:val="24"/>
              </w:rPr>
              <w:t>.</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II</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основаны на результатах не менее одного хорошо спланированного рандомизированного исследования. Рандомизированные исследования с высоким уровнем ложнопозитивных и ложнонегативных ошибок.</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III</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основаны на результатах хорошо спланированных нерандомизированных исследований. Контролируемые исследования с одной группой больных, исследования с группой исторического контроля и т.д</w:t>
            </w:r>
            <w:r>
              <w:rPr>
                <w:sz w:val="24"/>
                <w:szCs w:val="24"/>
              </w:rPr>
              <w:t>.</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lastRenderedPageBreak/>
              <w:t>IV</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получены в результате нерандомизированных исследований. Непрямые сравнительные, описательно корелляционные исследования и исследования клинических случаев</w:t>
            </w:r>
            <w:r>
              <w:rPr>
                <w:sz w:val="24"/>
                <w:szCs w:val="24"/>
              </w:rPr>
              <w:t>.</w:t>
            </w:r>
          </w:p>
        </w:tc>
      </w:tr>
      <w:tr w:rsidR="006D295C" w:rsidRPr="005614C1" w:rsidTr="009F0880">
        <w:trPr>
          <w:jc w:val="center"/>
        </w:trPr>
        <w:tc>
          <w:tcPr>
            <w:tcW w:w="1873" w:type="dxa"/>
          </w:tcPr>
          <w:p w:rsidR="006D295C" w:rsidRPr="005614C1" w:rsidRDefault="006D295C" w:rsidP="009F0880">
            <w:pPr>
              <w:contextualSpacing/>
              <w:jc w:val="both"/>
              <w:rPr>
                <w:sz w:val="24"/>
                <w:szCs w:val="24"/>
              </w:rPr>
            </w:pPr>
            <w:r w:rsidRPr="005614C1">
              <w:rPr>
                <w:sz w:val="24"/>
                <w:szCs w:val="24"/>
              </w:rPr>
              <w:t>V</w:t>
            </w:r>
          </w:p>
        </w:tc>
        <w:tc>
          <w:tcPr>
            <w:tcW w:w="6973" w:type="dxa"/>
          </w:tcPr>
          <w:p w:rsidR="006D295C" w:rsidRPr="005614C1" w:rsidRDefault="006D295C" w:rsidP="009F0880">
            <w:pPr>
              <w:contextualSpacing/>
              <w:jc w:val="both"/>
              <w:rPr>
                <w:sz w:val="24"/>
                <w:szCs w:val="24"/>
              </w:rPr>
            </w:pPr>
            <w:r w:rsidRPr="005614C1">
              <w:rPr>
                <w:sz w:val="24"/>
                <w:szCs w:val="24"/>
              </w:rPr>
              <w:t>Доказательства основаны на клинических случаях и примерах.</w:t>
            </w:r>
          </w:p>
        </w:tc>
      </w:tr>
    </w:tbl>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b/>
          <w:sz w:val="24"/>
          <w:szCs w:val="24"/>
        </w:rPr>
      </w:pPr>
    </w:p>
    <w:p w:rsidR="006D295C" w:rsidRDefault="006D295C" w:rsidP="006D295C">
      <w:pPr>
        <w:spacing w:line="240" w:lineRule="auto"/>
        <w:contextualSpacing/>
        <w:jc w:val="both"/>
        <w:rPr>
          <w:rFonts w:ascii="Times New Roman" w:hAnsi="Times New Roman" w:cs="Times New Roman"/>
          <w:b/>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2.ЭТИОЛОГИЯ И ПАТОГЕНЕЗ</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Портальная гипертензия</w:t>
      </w:r>
      <w:r>
        <w:rPr>
          <w:rFonts w:ascii="Times New Roman" w:hAnsi="Times New Roman" w:cs="Times New Roman"/>
          <w:sz w:val="24"/>
          <w:szCs w:val="24"/>
        </w:rPr>
        <w:t xml:space="preserve"> </w:t>
      </w:r>
      <w:r w:rsidRPr="005614C1">
        <w:rPr>
          <w:rFonts w:ascii="Times New Roman" w:hAnsi="Times New Roman" w:cs="Times New Roman"/>
          <w:sz w:val="24"/>
          <w:szCs w:val="24"/>
        </w:rPr>
        <w:t>- часто встречающийся клинический синдром, который с точки зрения нарушен</w:t>
      </w:r>
      <w:r>
        <w:rPr>
          <w:rFonts w:ascii="Times New Roman" w:hAnsi="Times New Roman" w:cs="Times New Roman"/>
          <w:sz w:val="24"/>
          <w:szCs w:val="24"/>
        </w:rPr>
        <w:t>ия гемодинамики характеризуется</w:t>
      </w:r>
      <w:r w:rsidRPr="005614C1">
        <w:rPr>
          <w:rFonts w:ascii="Times New Roman" w:hAnsi="Times New Roman" w:cs="Times New Roman"/>
          <w:sz w:val="24"/>
          <w:szCs w:val="24"/>
        </w:rPr>
        <w:t xml:space="preserve"> патологическим увеличением портокавального</w:t>
      </w:r>
      <w:r>
        <w:rPr>
          <w:rFonts w:ascii="Times New Roman" w:hAnsi="Times New Roman" w:cs="Times New Roman"/>
          <w:sz w:val="24"/>
          <w:szCs w:val="24"/>
        </w:rPr>
        <w:t xml:space="preserve"> </w:t>
      </w:r>
      <w:r w:rsidRPr="005614C1">
        <w:rPr>
          <w:rFonts w:ascii="Times New Roman" w:hAnsi="Times New Roman" w:cs="Times New Roman"/>
          <w:sz w:val="24"/>
          <w:szCs w:val="24"/>
        </w:rPr>
        <w:t>градиента давления (разность давлени</w:t>
      </w:r>
      <w:r>
        <w:rPr>
          <w:rFonts w:ascii="Times New Roman" w:hAnsi="Times New Roman" w:cs="Times New Roman"/>
          <w:sz w:val="24"/>
          <w:szCs w:val="24"/>
        </w:rPr>
        <w:t>я в воротной и нижней полой венах</w:t>
      </w:r>
      <w:r w:rsidRPr="005614C1">
        <w:rPr>
          <w:rFonts w:ascii="Times New Roman" w:hAnsi="Times New Roman" w:cs="Times New Roman"/>
          <w:sz w:val="24"/>
          <w:szCs w:val="24"/>
        </w:rPr>
        <w:t>). Портальная гипертензия приводит к образованию портосистемных коллатералей, через которые часть кровотока из воротной вены шунтируется в системный кровоток в обход печени [1, 4, 10]. Нормальные значения</w:t>
      </w:r>
      <w:r>
        <w:rPr>
          <w:rFonts w:ascii="Times New Roman" w:hAnsi="Times New Roman" w:cs="Times New Roman"/>
          <w:sz w:val="24"/>
          <w:szCs w:val="24"/>
        </w:rPr>
        <w:t xml:space="preserve"> </w:t>
      </w:r>
      <w:r w:rsidRPr="005614C1">
        <w:rPr>
          <w:rFonts w:ascii="Times New Roman" w:hAnsi="Times New Roman" w:cs="Times New Roman"/>
          <w:sz w:val="24"/>
          <w:szCs w:val="24"/>
        </w:rPr>
        <w:t>портокавального градиента  давления составляют 1-5 мм рт. ст.</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О клинически значимой портальной гипертензии</w:t>
      </w:r>
      <w:r>
        <w:rPr>
          <w:rFonts w:ascii="Times New Roman" w:hAnsi="Times New Roman" w:cs="Times New Roman"/>
          <w:sz w:val="24"/>
          <w:szCs w:val="24"/>
        </w:rPr>
        <w:t xml:space="preserve"> </w:t>
      </w:r>
      <w:r w:rsidRPr="005614C1">
        <w:rPr>
          <w:rFonts w:ascii="Times New Roman" w:hAnsi="Times New Roman" w:cs="Times New Roman"/>
          <w:sz w:val="24"/>
          <w:szCs w:val="24"/>
        </w:rPr>
        <w:t>говорят в случае установленного увеличения диаметра воротной (более 14 мм) и селезеночной (более 7-8 мм) вен по данным УЗИ, асцита, варикозного расширения вен пищевода, желудка, прямой кишки,  а также когда</w:t>
      </w:r>
      <w:r>
        <w:rPr>
          <w:rFonts w:ascii="Times New Roman" w:hAnsi="Times New Roman" w:cs="Times New Roman"/>
          <w:sz w:val="24"/>
          <w:szCs w:val="24"/>
        </w:rPr>
        <w:t xml:space="preserve"> </w:t>
      </w:r>
      <w:r w:rsidRPr="005614C1">
        <w:rPr>
          <w:rFonts w:ascii="Times New Roman" w:hAnsi="Times New Roman" w:cs="Times New Roman"/>
          <w:sz w:val="24"/>
          <w:szCs w:val="24"/>
        </w:rPr>
        <w:t>портокавальный градиент давления превышает пороговое значение 10 мм рт. ст. Значение портокавального</w:t>
      </w:r>
      <w:r>
        <w:rPr>
          <w:rFonts w:ascii="Times New Roman" w:hAnsi="Times New Roman" w:cs="Times New Roman"/>
          <w:sz w:val="24"/>
          <w:szCs w:val="24"/>
        </w:rPr>
        <w:t xml:space="preserve"> </w:t>
      </w:r>
      <w:r w:rsidRPr="005614C1">
        <w:rPr>
          <w:rFonts w:ascii="Times New Roman" w:hAnsi="Times New Roman" w:cs="Times New Roman"/>
          <w:sz w:val="24"/>
          <w:szCs w:val="24"/>
        </w:rPr>
        <w:t>градиента давления в интервале 5-9 мм рт. ст. соответствует доклинической стадии портальной гипертензии [3, 6].</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b/>
          <w:sz w:val="24"/>
          <w:szCs w:val="24"/>
        </w:rPr>
      </w:pPr>
      <w:r w:rsidRPr="005614C1">
        <w:rPr>
          <w:rFonts w:ascii="Times New Roman" w:hAnsi="Times New Roman" w:cs="Times New Roman"/>
          <w:b/>
          <w:sz w:val="24"/>
          <w:szCs w:val="24"/>
        </w:rPr>
        <w:t>2.1.</w:t>
      </w:r>
      <w:r w:rsidRPr="005614C1">
        <w:rPr>
          <w:rFonts w:ascii="Times New Roman" w:hAnsi="Times New Roman" w:cs="Times New Roman"/>
          <w:b/>
          <w:sz w:val="24"/>
          <w:szCs w:val="24"/>
        </w:rPr>
        <w:tab/>
        <w:t xml:space="preserve">ЭТИОЛОГИЯ И КЛАССИФИКАЦИЯ </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Портальная гипертензия может развиваться при различных патологических процессах, сопровождающихся нарушением кровотока в системе воротной вены. В соответствии с анатомическим расположением препятствия кровотоку</w:t>
      </w:r>
      <w:r>
        <w:rPr>
          <w:rFonts w:ascii="Times New Roman" w:hAnsi="Times New Roman" w:cs="Times New Roman"/>
          <w:sz w:val="24"/>
          <w:szCs w:val="24"/>
        </w:rPr>
        <w:t xml:space="preserve"> </w:t>
      </w:r>
      <w:r w:rsidRPr="005614C1">
        <w:rPr>
          <w:rFonts w:ascii="Times New Roman" w:hAnsi="Times New Roman" w:cs="Times New Roman"/>
          <w:sz w:val="24"/>
          <w:szCs w:val="24"/>
        </w:rPr>
        <w:t>форма портальной гипертензии может быть классифицирована как подпеченочная (с вовлечением селезеночной, брыжеечной или воротной вен), внутрипеченочная (заболевания печени) и надпеченочная (заболевания, приводящие к нарушению  венозного оттока от</w:t>
      </w:r>
      <w:r>
        <w:rPr>
          <w:rFonts w:ascii="Times New Roman" w:hAnsi="Times New Roman" w:cs="Times New Roman"/>
          <w:sz w:val="24"/>
          <w:szCs w:val="24"/>
        </w:rPr>
        <w:t xml:space="preserve"> печени)</w:t>
      </w:r>
      <w:r w:rsidRPr="005614C1">
        <w:rPr>
          <w:rFonts w:ascii="Times New Roman" w:hAnsi="Times New Roman" w:cs="Times New Roman"/>
          <w:sz w:val="24"/>
          <w:szCs w:val="24"/>
        </w:rPr>
        <w:t xml:space="preserve"> (табл. № 2)</w:t>
      </w:r>
      <w:r>
        <w:rPr>
          <w:rFonts w:ascii="Times New Roman" w:hAnsi="Times New Roman" w:cs="Times New Roman"/>
          <w:sz w:val="24"/>
          <w:szCs w:val="24"/>
        </w:rPr>
        <w:t>.</w:t>
      </w:r>
    </w:p>
    <w:p w:rsidR="006D295C" w:rsidRDefault="006D295C" w:rsidP="006D295C">
      <w:pPr>
        <w:spacing w:line="240" w:lineRule="auto"/>
        <w:contextualSpacing/>
        <w:jc w:val="right"/>
        <w:rPr>
          <w:rFonts w:ascii="Times New Roman" w:hAnsi="Times New Roman" w:cs="Times New Roman"/>
          <w:sz w:val="24"/>
          <w:szCs w:val="24"/>
        </w:rPr>
      </w:pPr>
    </w:p>
    <w:p w:rsidR="006D295C" w:rsidRPr="005614C1" w:rsidRDefault="006D295C" w:rsidP="006D295C">
      <w:pPr>
        <w:spacing w:line="240" w:lineRule="auto"/>
        <w:contextualSpacing/>
        <w:jc w:val="right"/>
        <w:rPr>
          <w:rFonts w:ascii="Times New Roman" w:hAnsi="Times New Roman" w:cs="Times New Roman"/>
          <w:sz w:val="24"/>
          <w:szCs w:val="24"/>
        </w:rPr>
      </w:pPr>
      <w:r w:rsidRPr="005614C1">
        <w:rPr>
          <w:rFonts w:ascii="Times New Roman" w:hAnsi="Times New Roman" w:cs="Times New Roman"/>
          <w:sz w:val="24"/>
          <w:szCs w:val="24"/>
        </w:rPr>
        <w:t>Таблица 2</w:t>
      </w:r>
    </w:p>
    <w:p w:rsidR="006D295C" w:rsidRPr="005614C1"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Классификация портальной гипертензии в соответствии с анатомической областью блока кровотоку в воротной вене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D295C" w:rsidRPr="005614C1" w:rsidTr="009F0880">
        <w:tc>
          <w:tcPr>
            <w:tcW w:w="9571" w:type="dxa"/>
          </w:tcPr>
          <w:p w:rsidR="006D295C" w:rsidRPr="00523EBE" w:rsidRDefault="006D295C" w:rsidP="009F0880">
            <w:pPr>
              <w:pStyle w:val="a4"/>
              <w:numPr>
                <w:ilvl w:val="0"/>
                <w:numId w:val="15"/>
              </w:numPr>
            </w:pPr>
            <w:r w:rsidRPr="00523EBE">
              <w:t>Подпеченочная форма портальной гипертензии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Тромбоз селезеночной вены</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Тромбоз воротной вены</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Врожденная аномалия развития  воротной вены и кавернозная трансформация воротной вены.</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Наружное сдавление воротной вены</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Артериовенозная фистула</w:t>
            </w:r>
          </w:p>
          <w:p w:rsidR="006D295C" w:rsidRPr="00523EBE" w:rsidRDefault="006D295C" w:rsidP="009F0880">
            <w:pPr>
              <w:pStyle w:val="a4"/>
              <w:numPr>
                <w:ilvl w:val="0"/>
                <w:numId w:val="15"/>
              </w:numPr>
            </w:pPr>
            <w:r w:rsidRPr="00523EBE">
              <w:t>Внутрипеченочная форма портальной гипертензии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Цирроз (вирусный, алкогольный, билиарный, метаболический)</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Гранулематозные заболевания (шистосомоз, саркоидоз, туберкулез)</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Фокальная нодулярная гиперплазия*</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Врожденный фиброз печени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lastRenderedPageBreak/>
              <w:t>Поликистоз*</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Идиопатическая портальная гипертензия*</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Гипервитаминоз А</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Отравление мышьяком, сульфатом меди, мономерным винилхлоридом</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Амилоидоз</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Мастоцитоз</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Болезнь Рандю-Ослера-Вебера</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Инфильтрация печени при гематологических заболеваниях</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Острая жировая дистрофия печени беременных</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Тяжелый острый вирусный или алкогольный гепатит</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Хронический активный гепатит</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Гепатоцеллюлярная карцинома</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Отравление цианамидом</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Веноокклюзионная болезнь</w:t>
            </w:r>
          </w:p>
          <w:p w:rsidR="006D295C" w:rsidRPr="00523EBE" w:rsidRDefault="006D295C" w:rsidP="009F0880">
            <w:pPr>
              <w:pStyle w:val="a4"/>
              <w:numPr>
                <w:ilvl w:val="0"/>
                <w:numId w:val="15"/>
              </w:numPr>
            </w:pPr>
            <w:r w:rsidRPr="00523EBE">
              <w:t>Надпеченочная форма портальной гипертензии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Тромбоз печеночных вен (болезнь Бадда-Киари)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Врожденные мальформации и тромбоз нижней полой вены (синдром Бадда - Киари)</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Констриктивный  перикардит</w:t>
            </w:r>
          </w:p>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Поражение трехстворчатого клапана</w:t>
            </w:r>
          </w:p>
        </w:tc>
      </w:tr>
    </w:tbl>
    <w:p w:rsidR="006D295C" w:rsidRPr="00D12379" w:rsidRDefault="006D295C" w:rsidP="006D295C">
      <w:pPr>
        <w:spacing w:line="240" w:lineRule="auto"/>
        <w:contextualSpacing/>
        <w:jc w:val="both"/>
        <w:rPr>
          <w:rFonts w:ascii="Times New Roman" w:hAnsi="Times New Roman" w:cs="Times New Roman"/>
          <w:i/>
          <w:sz w:val="24"/>
          <w:szCs w:val="24"/>
        </w:rPr>
      </w:pPr>
      <w:r w:rsidRPr="005614C1">
        <w:rPr>
          <w:rFonts w:ascii="Times New Roman" w:hAnsi="Times New Roman" w:cs="Times New Roman"/>
          <w:sz w:val="24"/>
          <w:szCs w:val="24"/>
        </w:rPr>
        <w:lastRenderedPageBreak/>
        <w:t xml:space="preserve">* </w:t>
      </w:r>
      <w:r w:rsidRPr="00D12379">
        <w:rPr>
          <w:rFonts w:ascii="Times New Roman" w:hAnsi="Times New Roman" w:cs="Times New Roman"/>
          <w:i/>
          <w:sz w:val="24"/>
          <w:szCs w:val="24"/>
        </w:rPr>
        <w:t>Нос</w:t>
      </w:r>
      <w:r>
        <w:rPr>
          <w:rFonts w:ascii="Times New Roman" w:hAnsi="Times New Roman" w:cs="Times New Roman"/>
          <w:i/>
          <w:sz w:val="24"/>
          <w:szCs w:val="24"/>
        </w:rPr>
        <w:t>ит «пресинусоидальный» характер</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 данным статистики в развитых странах</w:t>
      </w:r>
      <w:r>
        <w:rPr>
          <w:rFonts w:ascii="Times New Roman" w:hAnsi="Times New Roman" w:cs="Times New Roman"/>
          <w:sz w:val="24"/>
          <w:szCs w:val="24"/>
        </w:rPr>
        <w:t>,</w:t>
      </w:r>
      <w:r w:rsidRPr="005614C1">
        <w:rPr>
          <w:rFonts w:ascii="Times New Roman" w:hAnsi="Times New Roman" w:cs="Times New Roman"/>
          <w:sz w:val="24"/>
          <w:szCs w:val="24"/>
        </w:rPr>
        <w:t xml:space="preserve">  цирроз печени обусловливает около 90% случаев портальной гипертензии. В развивающихся странах, кроме цирроза, частой причиной служит поражение мелких ветвей воротной вен при шистосомозе. Нецирротическая портальная гипертензия (вследствие воздействия других патогенетических факторов) составляет от  10 до 20% из всех случаев развития данного синдрома [17, 18].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Наиболее распространенной причиной подпеченочной портальной гипертензии является тромбоз воротной вены (ТВВ).У взрослых до 70% случаев начала развития тромбоза обусловлены тромбофилическими синдромами – врожденными (такие как дефицит белка С и S) или приобретенными (такие как хронические формы миелопролиферативного синдрома). Среди других факторов определенную роль в патогенезе ТВВ играют: сепсис, панкреатит, травма живота и хирургическое вмешательство в брюшной полости. Примерно в 30% случаев не  удается установить точный механизм развития тромбоза («идиопатический» ТВВ) [18]. Острый ТВВ диагностируется редко. Для него характерны следующие клинические признаки: боль в животе, повышение температуры, диарея и непроходимость кишечника в случаях присоединения тромбоза сосудов кишки. Ди</w:t>
      </w:r>
      <w:r>
        <w:rPr>
          <w:rFonts w:ascii="Times New Roman" w:hAnsi="Times New Roman" w:cs="Times New Roman"/>
          <w:sz w:val="24"/>
          <w:szCs w:val="24"/>
        </w:rPr>
        <w:t>агноз обычно подтверждают данными</w:t>
      </w:r>
      <w:r w:rsidRPr="005614C1">
        <w:rPr>
          <w:rFonts w:ascii="Times New Roman" w:hAnsi="Times New Roman" w:cs="Times New Roman"/>
          <w:sz w:val="24"/>
          <w:szCs w:val="24"/>
        </w:rPr>
        <w:t xml:space="preserve">  методов визуализации (УЗИ брюшной полости с допплерографией, КТ ангиографическое исследование). Хронический ТВВ характеризуется образованием коллатеральных сосудов, которые создают «шунт»</w:t>
      </w:r>
      <w:r>
        <w:rPr>
          <w:rFonts w:ascii="Times New Roman" w:hAnsi="Times New Roman" w:cs="Times New Roman"/>
          <w:sz w:val="24"/>
          <w:szCs w:val="24"/>
        </w:rPr>
        <w:t>,</w:t>
      </w:r>
      <w:r w:rsidRPr="005614C1">
        <w:rPr>
          <w:rFonts w:ascii="Times New Roman" w:hAnsi="Times New Roman" w:cs="Times New Roman"/>
          <w:sz w:val="24"/>
          <w:szCs w:val="24"/>
        </w:rPr>
        <w:t xml:space="preserve"> минуя  препятстви</w:t>
      </w:r>
      <w:r>
        <w:rPr>
          <w:rFonts w:ascii="Times New Roman" w:hAnsi="Times New Roman" w:cs="Times New Roman"/>
          <w:sz w:val="24"/>
          <w:szCs w:val="24"/>
        </w:rPr>
        <w:t>е</w:t>
      </w:r>
      <w:r w:rsidRPr="005614C1">
        <w:rPr>
          <w:rFonts w:ascii="Times New Roman" w:hAnsi="Times New Roman" w:cs="Times New Roman"/>
          <w:sz w:val="24"/>
          <w:szCs w:val="24"/>
        </w:rPr>
        <w:t xml:space="preserve"> току крови. У больных с хроническим ТВВ часто первым признаком портальной гипертензии служит эпизод кровотечения из варикозно расширенных вен.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Наиболее частой причиной надпеченочной портальной гипертензии является</w:t>
      </w:r>
      <w:r>
        <w:rPr>
          <w:rFonts w:ascii="Times New Roman" w:hAnsi="Times New Roman" w:cs="Times New Roman"/>
          <w:sz w:val="24"/>
          <w:szCs w:val="24"/>
        </w:rPr>
        <w:t xml:space="preserve"> </w:t>
      </w:r>
      <w:r w:rsidRPr="005614C1">
        <w:rPr>
          <w:rFonts w:ascii="Times New Roman" w:hAnsi="Times New Roman" w:cs="Times New Roman"/>
          <w:sz w:val="24"/>
          <w:szCs w:val="24"/>
        </w:rPr>
        <w:t>болезнь</w:t>
      </w:r>
      <w:r>
        <w:rPr>
          <w:rFonts w:ascii="Times New Roman" w:hAnsi="Times New Roman" w:cs="Times New Roman"/>
          <w:sz w:val="24"/>
          <w:szCs w:val="24"/>
        </w:rPr>
        <w:t xml:space="preserve"> </w:t>
      </w:r>
      <w:r w:rsidRPr="005614C1">
        <w:rPr>
          <w:rFonts w:ascii="Times New Roman" w:hAnsi="Times New Roman" w:cs="Times New Roman"/>
          <w:sz w:val="24"/>
          <w:szCs w:val="24"/>
        </w:rPr>
        <w:t>Бадда-Киари (тромбоз печеночных вен). Обтурация может возникнуть в основных печеночных венах или в самой</w:t>
      </w:r>
      <w:r>
        <w:rPr>
          <w:rFonts w:ascii="Times New Roman" w:hAnsi="Times New Roman" w:cs="Times New Roman"/>
          <w:sz w:val="24"/>
          <w:szCs w:val="24"/>
        </w:rPr>
        <w:t xml:space="preserve"> нижней полой вене</w:t>
      </w:r>
      <w:r w:rsidRPr="005614C1">
        <w:rPr>
          <w:rFonts w:ascii="Times New Roman" w:hAnsi="Times New Roman" w:cs="Times New Roman"/>
          <w:sz w:val="24"/>
          <w:szCs w:val="24"/>
        </w:rPr>
        <w:t xml:space="preserve"> (синдром Бадда - Киари). В качестве дополнительных факторов патогенеза часто выявляют ряд тромбофилических нарушений в рамках миелопролиферативного заболевания. Среди других осложнений ТВВ, необходимо помнить о возможности развития асцита и присоединения печеночной недостаточности на фоне кровотечения из желудочно-кишечного тракта.  Терапию проводят антикоагулянтными препаратами для предотвращения повторного развития и </w:t>
      </w:r>
      <w:r w:rsidRPr="005614C1">
        <w:rPr>
          <w:rFonts w:ascii="Times New Roman" w:hAnsi="Times New Roman" w:cs="Times New Roman"/>
          <w:sz w:val="24"/>
          <w:szCs w:val="24"/>
        </w:rPr>
        <w:lastRenderedPageBreak/>
        <w:t>прогрессирования тромбоза. Наложение сосудистого портокавального анастомоза или</w:t>
      </w:r>
      <w:r>
        <w:rPr>
          <w:rFonts w:ascii="Times New Roman" w:hAnsi="Times New Roman" w:cs="Times New Roman"/>
          <w:sz w:val="24"/>
          <w:szCs w:val="24"/>
        </w:rPr>
        <w:t xml:space="preserve"> </w:t>
      </w:r>
      <w:r w:rsidRPr="005614C1">
        <w:rPr>
          <w:rFonts w:ascii="Times New Roman" w:hAnsi="Times New Roman" w:cs="Times New Roman"/>
          <w:sz w:val="24"/>
          <w:szCs w:val="24"/>
        </w:rPr>
        <w:t>транс</w:t>
      </w:r>
      <w:r>
        <w:rPr>
          <w:rFonts w:ascii="Times New Roman" w:hAnsi="Times New Roman" w:cs="Times New Roman"/>
          <w:sz w:val="24"/>
          <w:szCs w:val="24"/>
        </w:rPr>
        <w:t>ъ</w:t>
      </w:r>
      <w:r w:rsidRPr="005614C1">
        <w:rPr>
          <w:rFonts w:ascii="Times New Roman" w:hAnsi="Times New Roman" w:cs="Times New Roman"/>
          <w:sz w:val="24"/>
          <w:szCs w:val="24"/>
        </w:rPr>
        <w:t>югулярного внутрипеченочного портосистемного шунта (ТВПШ) рекомендуется пациентам, состояние которых не улучшается в результате медикаментозной терапии. Пациентам с тяжелой печеночной недостаточностью показана трансплантация печени [9, 11].</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Внутрипеченочные причины портальной гипертензии классифицируют в соответствии с результатами определения давления</w:t>
      </w:r>
      <w:r>
        <w:rPr>
          <w:rFonts w:ascii="Times New Roman" w:hAnsi="Times New Roman" w:cs="Times New Roman"/>
          <w:sz w:val="24"/>
          <w:szCs w:val="24"/>
        </w:rPr>
        <w:t>,</w:t>
      </w:r>
      <w:r w:rsidRPr="005614C1">
        <w:rPr>
          <w:rFonts w:ascii="Times New Roman" w:hAnsi="Times New Roman" w:cs="Times New Roman"/>
          <w:sz w:val="24"/>
          <w:szCs w:val="24"/>
        </w:rPr>
        <w:t xml:space="preserve"> получаемого при катетеризации печеночной вены. </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b/>
          <w:sz w:val="24"/>
          <w:szCs w:val="24"/>
        </w:rPr>
      </w:pPr>
    </w:p>
    <w:p w:rsidR="006D295C" w:rsidRDefault="006D295C" w:rsidP="006D295C">
      <w:pPr>
        <w:spacing w:line="240" w:lineRule="auto"/>
        <w:contextualSpacing/>
        <w:jc w:val="both"/>
        <w:rPr>
          <w:rFonts w:ascii="Times New Roman" w:hAnsi="Times New Roman" w:cs="Times New Roman"/>
          <w:b/>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D71C5">
        <w:rPr>
          <w:rFonts w:ascii="Times New Roman" w:hAnsi="Times New Roman" w:cs="Times New Roman"/>
          <w:b/>
          <w:sz w:val="24"/>
          <w:szCs w:val="24"/>
        </w:rPr>
        <w:t>Данная классификация включает</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(a)</w:t>
      </w:r>
      <w:r w:rsidRPr="005614C1">
        <w:rPr>
          <w:rFonts w:ascii="Times New Roman" w:hAnsi="Times New Roman" w:cs="Times New Roman"/>
          <w:sz w:val="24"/>
          <w:szCs w:val="24"/>
        </w:rPr>
        <w:tab/>
      </w:r>
      <w:r w:rsidRPr="005D71C5">
        <w:rPr>
          <w:rFonts w:ascii="Times New Roman" w:hAnsi="Times New Roman" w:cs="Times New Roman"/>
          <w:b/>
          <w:sz w:val="24"/>
          <w:szCs w:val="24"/>
        </w:rPr>
        <w:t>пресинусоидальную ПГ:</w:t>
      </w:r>
      <w:r w:rsidRPr="005614C1">
        <w:rPr>
          <w:rFonts w:ascii="Times New Roman" w:hAnsi="Times New Roman" w:cs="Times New Roman"/>
          <w:sz w:val="24"/>
          <w:szCs w:val="24"/>
        </w:rPr>
        <w:t xml:space="preserve"> нормальное значение заклинивающего и свободного венозного давления в печени (ЗВДП и СВДП);</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(b)</w:t>
      </w:r>
      <w:r w:rsidRPr="005614C1">
        <w:rPr>
          <w:rFonts w:ascii="Times New Roman" w:hAnsi="Times New Roman" w:cs="Times New Roman"/>
          <w:sz w:val="24"/>
          <w:szCs w:val="24"/>
        </w:rPr>
        <w:tab/>
      </w:r>
      <w:r w:rsidRPr="005D71C5">
        <w:rPr>
          <w:rFonts w:ascii="Times New Roman" w:hAnsi="Times New Roman" w:cs="Times New Roman"/>
          <w:b/>
          <w:sz w:val="24"/>
          <w:szCs w:val="24"/>
        </w:rPr>
        <w:t>синусоидальную ПГ:</w:t>
      </w:r>
      <w:r w:rsidRPr="005614C1">
        <w:rPr>
          <w:rFonts w:ascii="Times New Roman" w:hAnsi="Times New Roman" w:cs="Times New Roman"/>
          <w:sz w:val="24"/>
          <w:szCs w:val="24"/>
        </w:rPr>
        <w:t xml:space="preserve"> повышенное ЗВДП и нормальное СВДП;</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(c)</w:t>
      </w:r>
      <w:r w:rsidRPr="005614C1">
        <w:rPr>
          <w:rFonts w:ascii="Times New Roman" w:hAnsi="Times New Roman" w:cs="Times New Roman"/>
          <w:sz w:val="24"/>
          <w:szCs w:val="24"/>
        </w:rPr>
        <w:tab/>
      </w:r>
      <w:r w:rsidRPr="005D71C5">
        <w:rPr>
          <w:rFonts w:ascii="Times New Roman" w:hAnsi="Times New Roman" w:cs="Times New Roman"/>
          <w:b/>
          <w:sz w:val="24"/>
          <w:szCs w:val="24"/>
        </w:rPr>
        <w:t>постсинусоидальную ПГ:</w:t>
      </w:r>
      <w:r w:rsidRPr="005614C1">
        <w:rPr>
          <w:rFonts w:ascii="Times New Roman" w:hAnsi="Times New Roman" w:cs="Times New Roman"/>
          <w:sz w:val="24"/>
          <w:szCs w:val="24"/>
        </w:rPr>
        <w:t xml:space="preserve"> повышенное ЗВДП и СВДП.</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Любые этиологические факторы хронических заболеваний печени, приводящие к развитию цирроза печени, за исключением хронического холестатического синдрома, вызывают синусоидальную ПГ [6, 9].</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D71C5" w:rsidRDefault="006D295C" w:rsidP="006D295C">
      <w:pPr>
        <w:spacing w:line="240" w:lineRule="auto"/>
        <w:contextualSpacing/>
        <w:jc w:val="both"/>
        <w:rPr>
          <w:rFonts w:ascii="Times New Roman" w:hAnsi="Times New Roman" w:cs="Times New Roman"/>
          <w:b/>
          <w:sz w:val="24"/>
          <w:szCs w:val="24"/>
        </w:rPr>
      </w:pPr>
      <w:r w:rsidRPr="005D71C5">
        <w:rPr>
          <w:rFonts w:ascii="Times New Roman" w:hAnsi="Times New Roman" w:cs="Times New Roman"/>
          <w:b/>
          <w:sz w:val="24"/>
          <w:szCs w:val="24"/>
        </w:rPr>
        <w:t>3. ДИАГНОСТИКА ВАРИКОЗНОГО РАСШИРЕНИЯ ВЕН ПИЩЕВОДА И ЖЕЛУДКА И ФОРМЫ ПОРТАЛЬНОЙ ГИПЕРТЕНЗИИ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настоящее время ЭГДС является «золотым стандартом» как в диагностике ВРВ пищевода и желудка, так и в выборе лечебной тактики. Эндоскопическое исследование позволяет определить не только наличие, но и локализацию варикозных вен, оценить степень их расширения, состояние стенки вены, слизистой оболочки пищевода и желудка, выявить сопутствующую патологию, а также стигматы угрозы кровотечения [3, 24].</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 нашей стране наиболее широкое применение получила классификация варикозных вен </w:t>
      </w:r>
      <w:r w:rsidRPr="000F6DA8">
        <w:rPr>
          <w:rFonts w:ascii="Times New Roman" w:hAnsi="Times New Roman" w:cs="Times New Roman"/>
          <w:b/>
          <w:sz w:val="24"/>
          <w:szCs w:val="24"/>
        </w:rPr>
        <w:t>по степени выраженности</w:t>
      </w:r>
      <w:r w:rsidRPr="005614C1">
        <w:rPr>
          <w:rFonts w:ascii="Times New Roman" w:hAnsi="Times New Roman" w:cs="Times New Roman"/>
          <w:sz w:val="24"/>
          <w:szCs w:val="24"/>
        </w:rPr>
        <w:t xml:space="preserve"> [11]:</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I степень – диаметр вен 2-3 мм</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II степень – диаметр вен 3-5 мм</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III степень – диаметр вен &gt;5 мм</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95494B" w:rsidRDefault="006D295C" w:rsidP="006D295C">
      <w:pPr>
        <w:spacing w:line="24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t xml:space="preserve">По </w:t>
      </w:r>
      <w:r w:rsidRPr="0095494B">
        <w:rPr>
          <w:rFonts w:ascii="Times New Roman" w:hAnsi="Times New Roman" w:cs="Times New Roman"/>
          <w:b/>
          <w:sz w:val="24"/>
          <w:szCs w:val="24"/>
        </w:rPr>
        <w:t xml:space="preserve">локализации выделяют: </w:t>
      </w: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изолированное варикозное расширение вен пищевода (ограниченный</w:t>
      </w:r>
      <w:r>
        <w:rPr>
          <w:rFonts w:ascii="Times New Roman" w:hAnsi="Times New Roman" w:cs="Times New Roman"/>
          <w:sz w:val="24"/>
          <w:szCs w:val="24"/>
        </w:rPr>
        <w:t xml:space="preserve"> </w:t>
      </w:r>
      <w:r w:rsidRPr="005614C1">
        <w:rPr>
          <w:rFonts w:ascii="Times New Roman" w:hAnsi="Times New Roman" w:cs="Times New Roman"/>
          <w:sz w:val="24"/>
          <w:szCs w:val="24"/>
        </w:rPr>
        <w:t>варикоз</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средней и нижней третей пищевода или тотальный варикоз) и варикозное расширение вен желудка. </w:t>
      </w:r>
    </w:p>
    <w:p w:rsidR="006D295C" w:rsidRDefault="006D295C" w:rsidP="006D295C">
      <w:pPr>
        <w:spacing w:line="240" w:lineRule="auto"/>
        <w:contextualSpacing/>
        <w:jc w:val="both"/>
        <w:rPr>
          <w:rFonts w:ascii="Times New Roman" w:hAnsi="Times New Roman" w:cs="Times New Roman"/>
          <w:sz w:val="24"/>
          <w:szCs w:val="24"/>
        </w:rPr>
      </w:pPr>
    </w:p>
    <w:p w:rsidR="006D295C" w:rsidRPr="0074508A" w:rsidRDefault="006D295C" w:rsidP="006D295C">
      <w:pPr>
        <w:spacing w:line="240" w:lineRule="auto"/>
        <w:ind w:firstLine="708"/>
        <w:contextualSpacing/>
        <w:jc w:val="both"/>
        <w:rPr>
          <w:rFonts w:ascii="Times New Roman" w:hAnsi="Times New Roman" w:cs="Times New Roman"/>
          <w:b/>
          <w:sz w:val="24"/>
          <w:szCs w:val="24"/>
        </w:rPr>
      </w:pPr>
      <w:r w:rsidRPr="0074508A">
        <w:rPr>
          <w:rFonts w:ascii="Times New Roman" w:hAnsi="Times New Roman" w:cs="Times New Roman"/>
          <w:b/>
          <w:sz w:val="24"/>
          <w:szCs w:val="24"/>
        </w:rPr>
        <w:t xml:space="preserve">При варикозном расширении ВЖ выделяют 4 типа вен: </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I тип - гастроэзофагеальные ВРВ с распространением на кардиальный и субкардиальный отделы малой кривизны желудка; </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II тип - гастроэзофагеальные ВРВ от эзофагокардиального перехода по большой кривизне по направлению к дну желудка; </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III тип - изолированные ВРВ желудка без ВРВ пищевода – варикозная трансформация вен фундального отдела желудка; </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IV тип - эктопические узлы тела, антрального отдела желудка, двенадцатиперстной кишки (рис. 1) [5].</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48249" cy="39251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469" cy="3925372"/>
                    </a:xfrm>
                    <a:prstGeom prst="rect">
                      <a:avLst/>
                    </a:prstGeom>
                    <a:noFill/>
                    <a:ln>
                      <a:noFill/>
                    </a:ln>
                  </pic:spPr>
                </pic:pic>
              </a:graphicData>
            </a:graphic>
          </wp:inline>
        </w:drawing>
      </w:r>
    </w:p>
    <w:p w:rsidR="006D295C" w:rsidRDefault="00ED78FE"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3195320</wp:posOffset>
                </wp:positionH>
                <wp:positionV relativeFrom="paragraph">
                  <wp:posOffset>2793365</wp:posOffset>
                </wp:positionV>
                <wp:extent cx="850900" cy="355600"/>
                <wp:effectExtent l="0" t="0" r="6350" b="6350"/>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5C" w:rsidRPr="00B960A5" w:rsidRDefault="006D295C" w:rsidP="006D295C">
                            <w:pPr>
                              <w:rPr>
                                <w:sz w:val="44"/>
                                <w:lang w:val="en-US"/>
                              </w:rPr>
                            </w:pPr>
                            <w:r>
                              <w:rPr>
                                <w:sz w:val="44"/>
                                <w:lang w:val="en-US"/>
                              </w:rPr>
                              <w:t>V</w:t>
                            </w:r>
                            <w:r w:rsidRPr="00B960A5">
                              <w:rPr>
                                <w:sz w:val="44"/>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1.6pt;margin-top:219.95pt;width:67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" stroked="f">
                <v:textbox>
                  <w:txbxContent>
                    <w:p w:rsidR="006D295C" w:rsidRPr="00B960A5" w:rsidRDefault="006D295C" w:rsidP="006D295C">
                      <w:pPr>
                        <w:rPr>
                          <w:sz w:val="44"/>
                          <w:lang w:val="en-US"/>
                        </w:rPr>
                      </w:pPr>
                      <w:r>
                        <w:rPr>
                          <w:sz w:val="44"/>
                          <w:lang w:val="en-US"/>
                        </w:rPr>
                        <w:t>V</w:t>
                      </w:r>
                      <w:r w:rsidRPr="00B960A5">
                        <w:rPr>
                          <w:sz w:val="44"/>
                          <w:lang w:val="en-US"/>
                        </w:rPr>
                        <w:t>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493395</wp:posOffset>
                </wp:positionH>
                <wp:positionV relativeFrom="paragraph">
                  <wp:posOffset>2884170</wp:posOffset>
                </wp:positionV>
                <wp:extent cx="850900" cy="355600"/>
                <wp:effectExtent l="0" t="0" r="6350" b="6350"/>
                <wp:wrapNone/>
                <wp:docPr id="1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5C" w:rsidRPr="00B960A5" w:rsidRDefault="006D295C" w:rsidP="006D295C">
                            <w:pPr>
                              <w:rPr>
                                <w:sz w:val="44"/>
                                <w:lang w:val="en-US"/>
                              </w:rPr>
                            </w:pPr>
                            <w:r>
                              <w:rPr>
                                <w:sz w:val="44"/>
                                <w:lang w:val="en-US"/>
                              </w:rPr>
                              <w:t>II</w:t>
                            </w:r>
                            <w:r w:rsidRPr="00B960A5">
                              <w:rPr>
                                <w:sz w:val="44"/>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8.85pt;margin-top:227.1pt;width:67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" stroked="f">
                <v:textbox>
                  <w:txbxContent>
                    <w:p w:rsidR="006D295C" w:rsidRPr="00B960A5" w:rsidRDefault="006D295C" w:rsidP="006D295C">
                      <w:pPr>
                        <w:rPr>
                          <w:sz w:val="44"/>
                          <w:lang w:val="en-US"/>
                        </w:rPr>
                      </w:pPr>
                      <w:r>
                        <w:rPr>
                          <w:sz w:val="44"/>
                          <w:lang w:val="en-US"/>
                        </w:rPr>
                        <w:t>II</w:t>
                      </w:r>
                      <w:r w:rsidRPr="00B960A5">
                        <w:rPr>
                          <w:sz w:val="44"/>
                          <w:lang w:val="en-US"/>
                        </w:rPr>
                        <w:t>I</w:t>
                      </w:r>
                    </w:p>
                  </w:txbxContent>
                </v:textbox>
              </v:shape>
            </w:pict>
          </mc:Fallback>
        </mc:AlternateConten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 Классификация ВРВ желудка по локализации.</w:t>
      </w:r>
    </w:p>
    <w:p w:rsidR="006D295C" w:rsidRDefault="006D295C" w:rsidP="006D295C">
      <w:pPr>
        <w:spacing w:line="240" w:lineRule="auto"/>
        <w:contextualSpacing/>
        <w:jc w:val="both"/>
        <w:rPr>
          <w:rFonts w:ascii="Times New Roman" w:hAnsi="Times New Roman" w:cs="Times New Roman"/>
          <w:b/>
          <w:sz w:val="24"/>
          <w:szCs w:val="24"/>
        </w:rPr>
      </w:pPr>
    </w:p>
    <w:p w:rsidR="006D295C" w:rsidRPr="00C27C80" w:rsidRDefault="006D295C" w:rsidP="006D295C">
      <w:pPr>
        <w:spacing w:line="240" w:lineRule="auto"/>
        <w:contextualSpacing/>
        <w:jc w:val="both"/>
        <w:rPr>
          <w:rFonts w:ascii="Times New Roman" w:hAnsi="Times New Roman" w:cs="Times New Roman"/>
          <w:b/>
          <w:sz w:val="24"/>
          <w:szCs w:val="24"/>
        </w:rPr>
      </w:pPr>
      <w:r w:rsidRPr="00C27C80">
        <w:rPr>
          <w:rFonts w:ascii="Times New Roman" w:hAnsi="Times New Roman" w:cs="Times New Roman"/>
          <w:b/>
          <w:sz w:val="24"/>
          <w:szCs w:val="24"/>
        </w:rPr>
        <w:t>Наличие и выра</w:t>
      </w:r>
      <w:r>
        <w:rPr>
          <w:rFonts w:ascii="Times New Roman" w:hAnsi="Times New Roman" w:cs="Times New Roman"/>
          <w:b/>
          <w:sz w:val="24"/>
          <w:szCs w:val="24"/>
        </w:rPr>
        <w:t>женность васкуло- и гастропатии</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C27C80">
        <w:rPr>
          <w:rFonts w:ascii="Times New Roman" w:hAnsi="Times New Roman" w:cs="Times New Roman"/>
          <w:b/>
          <w:sz w:val="24"/>
          <w:szCs w:val="24"/>
        </w:rPr>
        <w:t>Васкуло- и гастропатия</w:t>
      </w:r>
      <w:r w:rsidRPr="005614C1">
        <w:rPr>
          <w:rFonts w:ascii="Times New Roman" w:hAnsi="Times New Roman" w:cs="Times New Roman"/>
          <w:sz w:val="24"/>
          <w:szCs w:val="24"/>
        </w:rPr>
        <w:t xml:space="preserve"> – это совокупность макроскопических проявлений, наблюдаемых в слизистой оболочке пищевода и желудка при портальной гипертензии, связанных с эктазией и дилятацией сосудов слизистого и подслизистого слоев без значительных воспалительных изменений (рис. 2) [23]. </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Легкая - небольшие участки розового цвета, окруженные белым контуром.</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Средняя - плоские красные пятна в центре розовой ареолы</w:t>
      </w: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Тяжелая - сочетание с точечными кровоизлияниями</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1535" cy="19297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1929765"/>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2. Степени гастропатии: I – легкая, II – средняя, III – тяжелая [23].</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D80A24">
        <w:rPr>
          <w:rFonts w:ascii="Times New Roman" w:hAnsi="Times New Roman" w:cs="Times New Roman"/>
          <w:b/>
          <w:sz w:val="24"/>
          <w:szCs w:val="24"/>
        </w:rPr>
        <w:lastRenderedPageBreak/>
        <w:t>Определение степени дилатации пищевода</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Умеренная</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Выраженная</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D80A24">
        <w:rPr>
          <w:rFonts w:ascii="Times New Roman" w:hAnsi="Times New Roman" w:cs="Times New Roman"/>
          <w:b/>
          <w:sz w:val="24"/>
          <w:szCs w:val="24"/>
        </w:rPr>
        <w:t>Определение напряжения варикозно расширенных вен</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Вены при инсуффляции воздуха спадаются (не напряжены) – давление в портальной системе невысокое и риск развития кровотечения мал</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Вены при инсуфляции не спадаются (напряжены) – давление в портальной системе высокое – соответственно высокий риск развития кровотечения.</w:t>
      </w:r>
    </w:p>
    <w:p w:rsidR="006D295C" w:rsidRDefault="006D295C" w:rsidP="006D295C">
      <w:pPr>
        <w:spacing w:line="240" w:lineRule="auto"/>
        <w:contextualSpacing/>
        <w:jc w:val="both"/>
        <w:rPr>
          <w:rFonts w:ascii="Times New Roman" w:hAnsi="Times New Roman" w:cs="Times New Roman"/>
          <w:sz w:val="24"/>
          <w:szCs w:val="24"/>
        </w:rPr>
      </w:pPr>
    </w:p>
    <w:p w:rsidR="006D295C" w:rsidRPr="006C52C3" w:rsidRDefault="006D295C" w:rsidP="006D295C">
      <w:pPr>
        <w:spacing w:line="240" w:lineRule="auto"/>
        <w:contextualSpacing/>
        <w:jc w:val="both"/>
        <w:rPr>
          <w:rFonts w:ascii="Times New Roman" w:hAnsi="Times New Roman" w:cs="Times New Roman"/>
          <w:b/>
          <w:sz w:val="24"/>
          <w:szCs w:val="24"/>
        </w:rPr>
      </w:pPr>
      <w:r w:rsidRPr="006C52C3">
        <w:rPr>
          <w:rFonts w:ascii="Times New Roman" w:hAnsi="Times New Roman" w:cs="Times New Roman"/>
          <w:b/>
          <w:sz w:val="24"/>
          <w:szCs w:val="24"/>
        </w:rPr>
        <w:t>Определение сопутствующей патологии</w:t>
      </w:r>
    </w:p>
    <w:p w:rsidR="006D295C" w:rsidRDefault="006D295C" w:rsidP="006D295C">
      <w:pPr>
        <w:spacing w:line="240" w:lineRule="auto"/>
        <w:contextualSpacing/>
        <w:jc w:val="both"/>
        <w:rPr>
          <w:rFonts w:ascii="Times New Roman" w:hAnsi="Times New Roman" w:cs="Times New Roman"/>
          <w:sz w:val="24"/>
          <w:szCs w:val="24"/>
        </w:rPr>
      </w:pPr>
    </w:p>
    <w:p w:rsidR="006D295C" w:rsidRPr="006C52C3" w:rsidRDefault="006D295C" w:rsidP="006D295C">
      <w:pPr>
        <w:spacing w:line="240" w:lineRule="auto"/>
        <w:contextualSpacing/>
        <w:jc w:val="both"/>
        <w:rPr>
          <w:rFonts w:ascii="Times New Roman" w:hAnsi="Times New Roman" w:cs="Times New Roman"/>
          <w:b/>
          <w:sz w:val="24"/>
          <w:szCs w:val="24"/>
        </w:rPr>
      </w:pPr>
      <w:r w:rsidRPr="006C52C3">
        <w:rPr>
          <w:rFonts w:ascii="Times New Roman" w:hAnsi="Times New Roman" w:cs="Times New Roman"/>
          <w:b/>
          <w:sz w:val="24"/>
          <w:szCs w:val="24"/>
        </w:rPr>
        <w:t xml:space="preserve">Прогностические критерии возникновения кровотечения из ВРВ пищевода и желудка: </w:t>
      </w:r>
    </w:p>
    <w:p w:rsidR="006D295C" w:rsidRPr="006C52C3" w:rsidRDefault="006D295C" w:rsidP="006D295C">
      <w:pPr>
        <w:pStyle w:val="a4"/>
        <w:numPr>
          <w:ilvl w:val="0"/>
          <w:numId w:val="1"/>
        </w:numPr>
        <w:jc w:val="both"/>
      </w:pPr>
      <w:r w:rsidRPr="006C52C3">
        <w:t>III степень ВРВ;</w:t>
      </w:r>
    </w:p>
    <w:p w:rsidR="006D295C" w:rsidRPr="006C52C3" w:rsidRDefault="006D295C" w:rsidP="006D295C">
      <w:pPr>
        <w:pStyle w:val="a4"/>
        <w:numPr>
          <w:ilvl w:val="0"/>
          <w:numId w:val="1"/>
        </w:numPr>
        <w:jc w:val="both"/>
      </w:pPr>
      <w:r>
        <w:t>л</w:t>
      </w:r>
      <w:r w:rsidRPr="006C52C3">
        <w:t>окализация ВРВ;</w:t>
      </w:r>
    </w:p>
    <w:p w:rsidR="006D295C" w:rsidRPr="006C52C3" w:rsidRDefault="006D295C" w:rsidP="006D295C">
      <w:pPr>
        <w:pStyle w:val="a4"/>
        <w:numPr>
          <w:ilvl w:val="0"/>
          <w:numId w:val="1"/>
        </w:numPr>
        <w:jc w:val="both"/>
      </w:pPr>
      <w:r>
        <w:t>с</w:t>
      </w:r>
      <w:r w:rsidRPr="006C52C3">
        <w:t>тепень дилатации пищевода;</w:t>
      </w:r>
    </w:p>
    <w:p w:rsidR="006D295C" w:rsidRPr="006C52C3" w:rsidRDefault="006D295C" w:rsidP="006D295C">
      <w:pPr>
        <w:pStyle w:val="a4"/>
        <w:numPr>
          <w:ilvl w:val="0"/>
          <w:numId w:val="1"/>
        </w:numPr>
        <w:jc w:val="both"/>
      </w:pPr>
      <w:r>
        <w:t>н</w:t>
      </w:r>
      <w:r w:rsidRPr="006C52C3">
        <w:t>апряжение ВРВ – спадение вен при инсуфляции воздухом;</w:t>
      </w:r>
    </w:p>
    <w:p w:rsidR="006D295C" w:rsidRPr="006C52C3" w:rsidRDefault="006D295C" w:rsidP="006D295C">
      <w:pPr>
        <w:pStyle w:val="a4"/>
        <w:numPr>
          <w:ilvl w:val="0"/>
          <w:numId w:val="1"/>
        </w:numPr>
        <w:jc w:val="both"/>
      </w:pPr>
      <w:r>
        <w:t>т</w:t>
      </w:r>
      <w:r w:rsidRPr="006C52C3">
        <w:t>яжесть васкулопатии</w:t>
      </w:r>
      <w:r>
        <w:t xml:space="preserve"> </w:t>
      </w:r>
      <w:r w:rsidRPr="006C52C3">
        <w:t>для вен пищевода и тяжесть гастропатии для ВРВ желудка [</w:t>
      </w:r>
      <w:r>
        <w:t>2</w:t>
      </w:r>
      <w:r w:rsidRPr="00187CE7">
        <w:t>9</w:t>
      </w:r>
      <w:r w:rsidRPr="006C52C3">
        <w:t>];</w:t>
      </w:r>
    </w:p>
    <w:p w:rsidR="006D295C" w:rsidRPr="006C52C3" w:rsidRDefault="006D295C" w:rsidP="006D295C">
      <w:pPr>
        <w:pStyle w:val="a4"/>
        <w:numPr>
          <w:ilvl w:val="0"/>
          <w:numId w:val="1"/>
        </w:numPr>
        <w:jc w:val="both"/>
      </w:pPr>
      <w:r>
        <w:t>п</w:t>
      </w:r>
      <w:r w:rsidRPr="006C52C3">
        <w:t>ортокавальный градиент &gt;12 мм рт.ст.;</w:t>
      </w:r>
    </w:p>
    <w:p w:rsidR="006D295C" w:rsidRPr="006C52C3" w:rsidRDefault="006D295C" w:rsidP="006D295C">
      <w:pPr>
        <w:pStyle w:val="a4"/>
        <w:numPr>
          <w:ilvl w:val="0"/>
          <w:numId w:val="1"/>
        </w:numPr>
        <w:jc w:val="both"/>
      </w:pPr>
      <w:r>
        <w:t>т</w:t>
      </w:r>
      <w:r w:rsidRPr="006C52C3">
        <w:t>яжесть функционального состояния печени  (цирроз печени класса С</w:t>
      </w:r>
      <w:r>
        <w:t xml:space="preserve"> </w:t>
      </w:r>
      <w:r w:rsidRPr="006C52C3">
        <w:t xml:space="preserve">по </w:t>
      </w:r>
      <w:r>
        <w:rPr>
          <w:lang w:val="en-US"/>
        </w:rPr>
        <w:t>Child</w:t>
      </w:r>
      <w:r w:rsidRPr="0051494A">
        <w:t>-</w:t>
      </w:r>
      <w:r>
        <w:rPr>
          <w:lang w:val="en-US"/>
        </w:rPr>
        <w:t>Pugh</w:t>
      </w:r>
      <w:r w:rsidRPr="006C52C3">
        <w:t>);</w:t>
      </w:r>
    </w:p>
    <w:p w:rsidR="006D295C" w:rsidRPr="006C52C3" w:rsidRDefault="006D295C" w:rsidP="006D295C">
      <w:pPr>
        <w:pStyle w:val="a4"/>
        <w:numPr>
          <w:ilvl w:val="0"/>
          <w:numId w:val="1"/>
        </w:numPr>
        <w:jc w:val="both"/>
      </w:pPr>
      <w:r w:rsidRPr="006C52C3">
        <w:t>тромбоз воротной вены у больных циррозом печени.</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При выборе лечебной тактики у больных с ЦП необходимо оценить функциональное состояние печени. Для оценки тяжести состояния больных ЦП применяется классификация по Child-Pugh (табл. 3) [4, 6, 9].</w:t>
      </w:r>
    </w:p>
    <w:p w:rsidR="006D295C" w:rsidRDefault="006D295C" w:rsidP="006D295C">
      <w:pPr>
        <w:spacing w:line="240" w:lineRule="auto"/>
        <w:contextualSpacing/>
        <w:jc w:val="right"/>
        <w:rPr>
          <w:rFonts w:ascii="Times New Roman" w:hAnsi="Times New Roman" w:cs="Times New Roman"/>
          <w:sz w:val="24"/>
          <w:szCs w:val="24"/>
        </w:rPr>
      </w:pPr>
      <w:r w:rsidRPr="005614C1">
        <w:rPr>
          <w:rFonts w:ascii="Times New Roman" w:hAnsi="Times New Roman" w:cs="Times New Roman"/>
          <w:sz w:val="24"/>
          <w:szCs w:val="24"/>
        </w:rPr>
        <w:t>Таблица 3</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Прогностическая шкала Child-Pugh</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(классификация печеночно-клеточной функции при ЦП)</w:t>
      </w:r>
    </w:p>
    <w:p w:rsidR="006D295C" w:rsidRPr="005614C1" w:rsidRDefault="006D295C" w:rsidP="006D295C">
      <w:pPr>
        <w:spacing w:line="240" w:lineRule="auto"/>
        <w:contextualSpacing/>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2381"/>
        <w:gridCol w:w="2366"/>
        <w:gridCol w:w="2364"/>
        <w:gridCol w:w="2358"/>
      </w:tblGrid>
      <w:tr w:rsidR="006D295C" w:rsidRPr="005614C1" w:rsidTr="009F0880">
        <w:tc>
          <w:tcPr>
            <w:tcW w:w="2392" w:type="dxa"/>
            <w:vMerge w:val="restart"/>
          </w:tcPr>
          <w:p w:rsidR="006D295C" w:rsidRPr="005614C1" w:rsidRDefault="006D295C" w:rsidP="009F0880">
            <w:pPr>
              <w:contextualSpacing/>
              <w:jc w:val="both"/>
              <w:rPr>
                <w:sz w:val="24"/>
                <w:szCs w:val="24"/>
              </w:rPr>
            </w:pPr>
            <w:r w:rsidRPr="005614C1">
              <w:rPr>
                <w:sz w:val="24"/>
                <w:szCs w:val="24"/>
              </w:rPr>
              <w:t>Критерии оценки</w:t>
            </w:r>
          </w:p>
        </w:tc>
        <w:tc>
          <w:tcPr>
            <w:tcW w:w="7179" w:type="dxa"/>
            <w:gridSpan w:val="3"/>
          </w:tcPr>
          <w:p w:rsidR="006D295C" w:rsidRPr="005614C1" w:rsidRDefault="006D295C" w:rsidP="009F0880">
            <w:pPr>
              <w:contextualSpacing/>
              <w:jc w:val="both"/>
              <w:rPr>
                <w:sz w:val="24"/>
                <w:szCs w:val="24"/>
              </w:rPr>
            </w:pPr>
            <w:r w:rsidRPr="005614C1">
              <w:rPr>
                <w:sz w:val="24"/>
                <w:szCs w:val="24"/>
              </w:rPr>
              <w:t>Количество баллов</w:t>
            </w:r>
          </w:p>
        </w:tc>
      </w:tr>
      <w:tr w:rsidR="006D295C" w:rsidRPr="005614C1" w:rsidTr="009F0880">
        <w:tc>
          <w:tcPr>
            <w:tcW w:w="2392" w:type="dxa"/>
            <w:vMerge/>
          </w:tcPr>
          <w:p w:rsidR="006D295C" w:rsidRPr="005614C1" w:rsidRDefault="006D295C" w:rsidP="009F0880">
            <w:pPr>
              <w:contextualSpacing/>
              <w:jc w:val="both"/>
              <w:rPr>
                <w:sz w:val="24"/>
                <w:szCs w:val="24"/>
              </w:rPr>
            </w:pPr>
          </w:p>
        </w:tc>
        <w:tc>
          <w:tcPr>
            <w:tcW w:w="2393" w:type="dxa"/>
          </w:tcPr>
          <w:p w:rsidR="006D295C" w:rsidRPr="005614C1" w:rsidRDefault="006D295C" w:rsidP="009F0880">
            <w:pPr>
              <w:contextualSpacing/>
              <w:jc w:val="both"/>
              <w:rPr>
                <w:sz w:val="24"/>
                <w:szCs w:val="24"/>
              </w:rPr>
            </w:pPr>
            <w:r w:rsidRPr="005614C1">
              <w:rPr>
                <w:sz w:val="24"/>
                <w:szCs w:val="24"/>
              </w:rPr>
              <w:t>1</w:t>
            </w:r>
          </w:p>
        </w:tc>
        <w:tc>
          <w:tcPr>
            <w:tcW w:w="2393" w:type="dxa"/>
          </w:tcPr>
          <w:p w:rsidR="006D295C" w:rsidRPr="005614C1" w:rsidRDefault="006D295C" w:rsidP="009F0880">
            <w:pPr>
              <w:contextualSpacing/>
              <w:jc w:val="both"/>
              <w:rPr>
                <w:sz w:val="24"/>
                <w:szCs w:val="24"/>
              </w:rPr>
            </w:pPr>
            <w:r w:rsidRPr="005614C1">
              <w:rPr>
                <w:sz w:val="24"/>
                <w:szCs w:val="24"/>
              </w:rPr>
              <w:t>2</w:t>
            </w:r>
          </w:p>
        </w:tc>
        <w:tc>
          <w:tcPr>
            <w:tcW w:w="2393" w:type="dxa"/>
          </w:tcPr>
          <w:p w:rsidR="006D295C" w:rsidRPr="005614C1" w:rsidRDefault="006D295C" w:rsidP="009F0880">
            <w:pPr>
              <w:contextualSpacing/>
              <w:jc w:val="both"/>
              <w:rPr>
                <w:sz w:val="24"/>
                <w:szCs w:val="24"/>
              </w:rPr>
            </w:pPr>
            <w:r w:rsidRPr="005614C1">
              <w:rPr>
                <w:sz w:val="24"/>
                <w:szCs w:val="24"/>
              </w:rPr>
              <w:t>3</w:t>
            </w:r>
          </w:p>
        </w:tc>
      </w:tr>
      <w:tr w:rsidR="006D295C" w:rsidRPr="005614C1" w:rsidTr="009F0880">
        <w:tc>
          <w:tcPr>
            <w:tcW w:w="2392" w:type="dxa"/>
          </w:tcPr>
          <w:p w:rsidR="006D295C" w:rsidRPr="005614C1" w:rsidRDefault="006D295C" w:rsidP="009F0880">
            <w:pPr>
              <w:contextualSpacing/>
              <w:jc w:val="both"/>
              <w:rPr>
                <w:sz w:val="24"/>
                <w:szCs w:val="24"/>
              </w:rPr>
            </w:pPr>
            <w:r w:rsidRPr="005614C1">
              <w:rPr>
                <w:sz w:val="24"/>
                <w:szCs w:val="24"/>
              </w:rPr>
              <w:t>Асцит</w:t>
            </w:r>
          </w:p>
        </w:tc>
        <w:tc>
          <w:tcPr>
            <w:tcW w:w="2393" w:type="dxa"/>
          </w:tcPr>
          <w:p w:rsidR="006D295C" w:rsidRPr="005614C1" w:rsidRDefault="006D295C" w:rsidP="009F0880">
            <w:pPr>
              <w:contextualSpacing/>
              <w:jc w:val="both"/>
              <w:rPr>
                <w:sz w:val="24"/>
                <w:szCs w:val="24"/>
              </w:rPr>
            </w:pPr>
            <w:r w:rsidRPr="005614C1">
              <w:rPr>
                <w:sz w:val="24"/>
                <w:szCs w:val="24"/>
              </w:rPr>
              <w:t>отсутствует</w:t>
            </w:r>
          </w:p>
        </w:tc>
        <w:tc>
          <w:tcPr>
            <w:tcW w:w="2393" w:type="dxa"/>
          </w:tcPr>
          <w:p w:rsidR="006D295C" w:rsidRPr="005614C1" w:rsidRDefault="006D295C" w:rsidP="009F0880">
            <w:pPr>
              <w:contextualSpacing/>
              <w:jc w:val="both"/>
              <w:rPr>
                <w:sz w:val="24"/>
                <w:szCs w:val="24"/>
              </w:rPr>
            </w:pPr>
            <w:r w:rsidRPr="005614C1">
              <w:rPr>
                <w:sz w:val="24"/>
                <w:szCs w:val="24"/>
              </w:rPr>
              <w:t>небольшой</w:t>
            </w:r>
          </w:p>
        </w:tc>
        <w:tc>
          <w:tcPr>
            <w:tcW w:w="2393" w:type="dxa"/>
          </w:tcPr>
          <w:p w:rsidR="006D295C" w:rsidRPr="005614C1" w:rsidRDefault="006D295C" w:rsidP="009F0880">
            <w:pPr>
              <w:contextualSpacing/>
              <w:jc w:val="both"/>
              <w:rPr>
                <w:sz w:val="24"/>
                <w:szCs w:val="24"/>
              </w:rPr>
            </w:pPr>
            <w:r w:rsidRPr="005614C1">
              <w:rPr>
                <w:sz w:val="24"/>
                <w:szCs w:val="24"/>
              </w:rPr>
              <w:t>большой</w:t>
            </w:r>
          </w:p>
        </w:tc>
      </w:tr>
      <w:tr w:rsidR="006D295C" w:rsidRPr="005614C1" w:rsidTr="009F0880">
        <w:tc>
          <w:tcPr>
            <w:tcW w:w="2392" w:type="dxa"/>
          </w:tcPr>
          <w:p w:rsidR="006D295C" w:rsidRPr="005614C1" w:rsidRDefault="006D295C" w:rsidP="009F0880">
            <w:pPr>
              <w:contextualSpacing/>
              <w:jc w:val="both"/>
              <w:rPr>
                <w:sz w:val="24"/>
                <w:szCs w:val="24"/>
              </w:rPr>
            </w:pPr>
            <w:r w:rsidRPr="005614C1">
              <w:rPr>
                <w:sz w:val="24"/>
                <w:szCs w:val="24"/>
              </w:rPr>
              <w:t>Степень энцефалопатии</w:t>
            </w:r>
          </w:p>
        </w:tc>
        <w:tc>
          <w:tcPr>
            <w:tcW w:w="2393" w:type="dxa"/>
          </w:tcPr>
          <w:p w:rsidR="006D295C" w:rsidRPr="005614C1" w:rsidRDefault="006D295C" w:rsidP="009F0880">
            <w:pPr>
              <w:contextualSpacing/>
              <w:jc w:val="both"/>
              <w:rPr>
                <w:sz w:val="24"/>
                <w:szCs w:val="24"/>
              </w:rPr>
            </w:pPr>
            <w:r w:rsidRPr="005614C1">
              <w:rPr>
                <w:sz w:val="24"/>
                <w:szCs w:val="24"/>
              </w:rPr>
              <w:t>нет</w:t>
            </w:r>
          </w:p>
        </w:tc>
        <w:tc>
          <w:tcPr>
            <w:tcW w:w="2393" w:type="dxa"/>
          </w:tcPr>
          <w:p w:rsidR="006D295C" w:rsidRPr="005614C1" w:rsidRDefault="006D295C" w:rsidP="009F0880">
            <w:pPr>
              <w:contextualSpacing/>
              <w:jc w:val="both"/>
              <w:rPr>
                <w:sz w:val="24"/>
                <w:szCs w:val="24"/>
              </w:rPr>
            </w:pPr>
            <w:r w:rsidRPr="005614C1">
              <w:rPr>
                <w:sz w:val="24"/>
                <w:szCs w:val="24"/>
              </w:rPr>
              <w:t>1 – 2</w:t>
            </w:r>
          </w:p>
        </w:tc>
        <w:tc>
          <w:tcPr>
            <w:tcW w:w="2393" w:type="dxa"/>
          </w:tcPr>
          <w:p w:rsidR="006D295C" w:rsidRPr="005614C1" w:rsidRDefault="006D295C" w:rsidP="009F0880">
            <w:pPr>
              <w:contextualSpacing/>
              <w:jc w:val="both"/>
              <w:rPr>
                <w:sz w:val="24"/>
                <w:szCs w:val="24"/>
              </w:rPr>
            </w:pPr>
            <w:r w:rsidRPr="005614C1">
              <w:rPr>
                <w:sz w:val="24"/>
                <w:szCs w:val="24"/>
              </w:rPr>
              <w:t>3 - 4</w:t>
            </w:r>
          </w:p>
        </w:tc>
      </w:tr>
      <w:tr w:rsidR="006D295C" w:rsidRPr="005614C1" w:rsidTr="009F0880">
        <w:tc>
          <w:tcPr>
            <w:tcW w:w="2392" w:type="dxa"/>
          </w:tcPr>
          <w:p w:rsidR="006D295C" w:rsidRPr="005614C1" w:rsidRDefault="006D295C" w:rsidP="009F0880">
            <w:pPr>
              <w:contextualSpacing/>
              <w:jc w:val="both"/>
              <w:rPr>
                <w:sz w:val="24"/>
                <w:szCs w:val="24"/>
              </w:rPr>
            </w:pPr>
            <w:r w:rsidRPr="005614C1">
              <w:rPr>
                <w:sz w:val="24"/>
                <w:szCs w:val="24"/>
              </w:rPr>
              <w:t>Билирубин (ммоль/л)</w:t>
            </w:r>
          </w:p>
        </w:tc>
        <w:tc>
          <w:tcPr>
            <w:tcW w:w="2393" w:type="dxa"/>
          </w:tcPr>
          <w:p w:rsidR="006D295C" w:rsidRPr="005614C1" w:rsidRDefault="006D295C" w:rsidP="009F0880">
            <w:pPr>
              <w:contextualSpacing/>
              <w:jc w:val="both"/>
              <w:rPr>
                <w:sz w:val="24"/>
                <w:szCs w:val="24"/>
              </w:rPr>
            </w:pPr>
            <w:r w:rsidRPr="005614C1">
              <w:rPr>
                <w:sz w:val="24"/>
                <w:szCs w:val="24"/>
              </w:rPr>
              <w:t>&lt; 34</w:t>
            </w:r>
          </w:p>
        </w:tc>
        <w:tc>
          <w:tcPr>
            <w:tcW w:w="2393" w:type="dxa"/>
          </w:tcPr>
          <w:p w:rsidR="006D295C" w:rsidRPr="005614C1" w:rsidRDefault="006D295C" w:rsidP="009F0880">
            <w:pPr>
              <w:contextualSpacing/>
              <w:jc w:val="both"/>
              <w:rPr>
                <w:sz w:val="24"/>
                <w:szCs w:val="24"/>
              </w:rPr>
            </w:pPr>
            <w:r w:rsidRPr="005614C1">
              <w:rPr>
                <w:sz w:val="24"/>
                <w:szCs w:val="24"/>
              </w:rPr>
              <w:t>34 – 51</w:t>
            </w:r>
          </w:p>
        </w:tc>
        <w:tc>
          <w:tcPr>
            <w:tcW w:w="2393" w:type="dxa"/>
          </w:tcPr>
          <w:p w:rsidR="006D295C" w:rsidRPr="005614C1" w:rsidRDefault="006D295C" w:rsidP="009F0880">
            <w:pPr>
              <w:contextualSpacing/>
              <w:jc w:val="both"/>
              <w:rPr>
                <w:sz w:val="24"/>
                <w:szCs w:val="24"/>
              </w:rPr>
            </w:pPr>
            <w:r w:rsidRPr="005614C1">
              <w:rPr>
                <w:sz w:val="24"/>
                <w:szCs w:val="24"/>
              </w:rPr>
              <w:t>&gt; 51</w:t>
            </w:r>
          </w:p>
        </w:tc>
      </w:tr>
      <w:tr w:rsidR="006D295C" w:rsidRPr="005614C1" w:rsidTr="009F0880">
        <w:tc>
          <w:tcPr>
            <w:tcW w:w="2392" w:type="dxa"/>
          </w:tcPr>
          <w:p w:rsidR="006D295C" w:rsidRPr="005614C1" w:rsidRDefault="006D295C" w:rsidP="009F0880">
            <w:pPr>
              <w:contextualSpacing/>
              <w:jc w:val="both"/>
              <w:rPr>
                <w:sz w:val="24"/>
                <w:szCs w:val="24"/>
              </w:rPr>
            </w:pPr>
            <w:r w:rsidRPr="005614C1">
              <w:rPr>
                <w:sz w:val="24"/>
                <w:szCs w:val="24"/>
              </w:rPr>
              <w:t>Альбумин (г/л)</w:t>
            </w:r>
          </w:p>
        </w:tc>
        <w:tc>
          <w:tcPr>
            <w:tcW w:w="2393" w:type="dxa"/>
          </w:tcPr>
          <w:p w:rsidR="006D295C" w:rsidRPr="005614C1" w:rsidRDefault="006D295C" w:rsidP="009F0880">
            <w:pPr>
              <w:contextualSpacing/>
              <w:jc w:val="both"/>
              <w:rPr>
                <w:sz w:val="24"/>
                <w:szCs w:val="24"/>
              </w:rPr>
            </w:pPr>
            <w:r w:rsidRPr="005614C1">
              <w:rPr>
                <w:sz w:val="24"/>
                <w:szCs w:val="24"/>
              </w:rPr>
              <w:t>&gt; 35</w:t>
            </w:r>
          </w:p>
        </w:tc>
        <w:tc>
          <w:tcPr>
            <w:tcW w:w="2393" w:type="dxa"/>
          </w:tcPr>
          <w:p w:rsidR="006D295C" w:rsidRPr="005614C1" w:rsidRDefault="006D295C" w:rsidP="009F0880">
            <w:pPr>
              <w:contextualSpacing/>
              <w:jc w:val="both"/>
              <w:rPr>
                <w:sz w:val="24"/>
                <w:szCs w:val="24"/>
              </w:rPr>
            </w:pPr>
            <w:r w:rsidRPr="005614C1">
              <w:rPr>
                <w:sz w:val="24"/>
                <w:szCs w:val="24"/>
              </w:rPr>
              <w:t>28 – 35</w:t>
            </w:r>
          </w:p>
        </w:tc>
        <w:tc>
          <w:tcPr>
            <w:tcW w:w="2393" w:type="dxa"/>
          </w:tcPr>
          <w:p w:rsidR="006D295C" w:rsidRPr="005614C1" w:rsidRDefault="006D295C" w:rsidP="009F0880">
            <w:pPr>
              <w:contextualSpacing/>
              <w:jc w:val="both"/>
              <w:rPr>
                <w:sz w:val="24"/>
                <w:szCs w:val="24"/>
              </w:rPr>
            </w:pPr>
            <w:r w:rsidRPr="005614C1">
              <w:rPr>
                <w:sz w:val="24"/>
                <w:szCs w:val="24"/>
              </w:rPr>
              <w:t>&lt; 28</w:t>
            </w:r>
          </w:p>
        </w:tc>
      </w:tr>
      <w:tr w:rsidR="006D295C" w:rsidRPr="005614C1" w:rsidTr="009F0880">
        <w:tc>
          <w:tcPr>
            <w:tcW w:w="2392" w:type="dxa"/>
          </w:tcPr>
          <w:p w:rsidR="006D295C" w:rsidRPr="005614C1" w:rsidRDefault="006D295C" w:rsidP="009F0880">
            <w:pPr>
              <w:contextualSpacing/>
              <w:jc w:val="both"/>
              <w:rPr>
                <w:sz w:val="24"/>
                <w:szCs w:val="24"/>
              </w:rPr>
            </w:pPr>
            <w:r w:rsidRPr="005614C1">
              <w:rPr>
                <w:sz w:val="24"/>
                <w:szCs w:val="24"/>
              </w:rPr>
              <w:t>Протромбиновый индекс (%)</w:t>
            </w:r>
          </w:p>
        </w:tc>
        <w:tc>
          <w:tcPr>
            <w:tcW w:w="2393" w:type="dxa"/>
          </w:tcPr>
          <w:p w:rsidR="006D295C" w:rsidRPr="005614C1" w:rsidRDefault="006D295C" w:rsidP="009F0880">
            <w:pPr>
              <w:contextualSpacing/>
              <w:jc w:val="both"/>
              <w:rPr>
                <w:sz w:val="24"/>
                <w:szCs w:val="24"/>
              </w:rPr>
            </w:pPr>
            <w:r w:rsidRPr="005614C1">
              <w:rPr>
                <w:sz w:val="24"/>
                <w:szCs w:val="24"/>
              </w:rPr>
              <w:t>&lt;70</w:t>
            </w:r>
          </w:p>
        </w:tc>
        <w:tc>
          <w:tcPr>
            <w:tcW w:w="2393" w:type="dxa"/>
          </w:tcPr>
          <w:p w:rsidR="006D295C" w:rsidRPr="005614C1" w:rsidRDefault="006D295C" w:rsidP="009F0880">
            <w:pPr>
              <w:contextualSpacing/>
              <w:jc w:val="both"/>
              <w:rPr>
                <w:sz w:val="24"/>
                <w:szCs w:val="24"/>
              </w:rPr>
            </w:pPr>
            <w:r w:rsidRPr="005614C1">
              <w:rPr>
                <w:sz w:val="24"/>
                <w:szCs w:val="24"/>
              </w:rPr>
              <w:t>50-70</w:t>
            </w:r>
          </w:p>
        </w:tc>
        <w:tc>
          <w:tcPr>
            <w:tcW w:w="2393" w:type="dxa"/>
          </w:tcPr>
          <w:p w:rsidR="006D295C" w:rsidRPr="005614C1" w:rsidRDefault="006D295C" w:rsidP="009F0880">
            <w:pPr>
              <w:contextualSpacing/>
              <w:jc w:val="both"/>
              <w:rPr>
                <w:sz w:val="24"/>
                <w:szCs w:val="24"/>
              </w:rPr>
            </w:pPr>
            <w:r w:rsidRPr="005614C1">
              <w:rPr>
                <w:sz w:val="24"/>
                <w:szCs w:val="24"/>
              </w:rPr>
              <w:t>&gt;50</w:t>
            </w:r>
          </w:p>
        </w:tc>
      </w:tr>
    </w:tbl>
    <w:p w:rsidR="006D295C" w:rsidRPr="005614C1" w:rsidRDefault="006D295C" w:rsidP="006D295C">
      <w:pPr>
        <w:spacing w:line="240" w:lineRule="auto"/>
        <w:contextualSpacing/>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738"/>
        <w:gridCol w:w="4731"/>
      </w:tblGrid>
      <w:tr w:rsidR="006D295C" w:rsidRPr="005614C1" w:rsidTr="009F0880">
        <w:tc>
          <w:tcPr>
            <w:tcW w:w="4785" w:type="dxa"/>
          </w:tcPr>
          <w:p w:rsidR="006D295C" w:rsidRPr="005614C1" w:rsidRDefault="006D295C" w:rsidP="009F0880">
            <w:pPr>
              <w:contextualSpacing/>
              <w:jc w:val="both"/>
              <w:rPr>
                <w:sz w:val="24"/>
                <w:szCs w:val="24"/>
              </w:rPr>
            </w:pPr>
            <w:r w:rsidRPr="005614C1">
              <w:rPr>
                <w:sz w:val="24"/>
                <w:szCs w:val="24"/>
              </w:rPr>
              <w:t>Общее количество баллов</w:t>
            </w:r>
          </w:p>
        </w:tc>
        <w:tc>
          <w:tcPr>
            <w:tcW w:w="4786" w:type="dxa"/>
          </w:tcPr>
          <w:p w:rsidR="006D295C" w:rsidRPr="005614C1" w:rsidRDefault="006D295C" w:rsidP="009F0880">
            <w:pPr>
              <w:contextualSpacing/>
              <w:jc w:val="both"/>
              <w:rPr>
                <w:sz w:val="24"/>
                <w:szCs w:val="24"/>
              </w:rPr>
            </w:pPr>
            <w:r w:rsidRPr="005614C1">
              <w:rPr>
                <w:sz w:val="24"/>
                <w:szCs w:val="24"/>
              </w:rPr>
              <w:t>Класс</w:t>
            </w:r>
          </w:p>
        </w:tc>
      </w:tr>
      <w:tr w:rsidR="006D295C" w:rsidRPr="005614C1" w:rsidTr="009F0880">
        <w:tc>
          <w:tcPr>
            <w:tcW w:w="4785" w:type="dxa"/>
          </w:tcPr>
          <w:p w:rsidR="006D295C" w:rsidRPr="005614C1" w:rsidRDefault="006D295C" w:rsidP="009F0880">
            <w:pPr>
              <w:contextualSpacing/>
              <w:jc w:val="both"/>
              <w:rPr>
                <w:sz w:val="24"/>
                <w:szCs w:val="24"/>
              </w:rPr>
            </w:pPr>
            <w:r w:rsidRPr="005614C1">
              <w:rPr>
                <w:sz w:val="24"/>
                <w:szCs w:val="24"/>
              </w:rPr>
              <w:t>5-6</w:t>
            </w:r>
          </w:p>
        </w:tc>
        <w:tc>
          <w:tcPr>
            <w:tcW w:w="4786" w:type="dxa"/>
          </w:tcPr>
          <w:p w:rsidR="006D295C" w:rsidRPr="005614C1" w:rsidRDefault="006D295C" w:rsidP="009F0880">
            <w:pPr>
              <w:contextualSpacing/>
              <w:jc w:val="both"/>
              <w:rPr>
                <w:sz w:val="24"/>
                <w:szCs w:val="24"/>
              </w:rPr>
            </w:pPr>
            <w:r w:rsidRPr="005614C1">
              <w:rPr>
                <w:sz w:val="24"/>
                <w:szCs w:val="24"/>
              </w:rPr>
              <w:t>A</w:t>
            </w:r>
          </w:p>
        </w:tc>
      </w:tr>
      <w:tr w:rsidR="006D295C" w:rsidRPr="005614C1" w:rsidTr="009F0880">
        <w:tc>
          <w:tcPr>
            <w:tcW w:w="4785" w:type="dxa"/>
          </w:tcPr>
          <w:p w:rsidR="006D295C" w:rsidRPr="005614C1" w:rsidRDefault="006D295C" w:rsidP="009F0880">
            <w:pPr>
              <w:contextualSpacing/>
              <w:jc w:val="both"/>
              <w:rPr>
                <w:sz w:val="24"/>
                <w:szCs w:val="24"/>
              </w:rPr>
            </w:pPr>
            <w:r w:rsidRPr="005614C1">
              <w:rPr>
                <w:sz w:val="24"/>
                <w:szCs w:val="24"/>
              </w:rPr>
              <w:lastRenderedPageBreak/>
              <w:t>7-9</w:t>
            </w:r>
          </w:p>
        </w:tc>
        <w:tc>
          <w:tcPr>
            <w:tcW w:w="4786" w:type="dxa"/>
          </w:tcPr>
          <w:p w:rsidR="006D295C" w:rsidRPr="005614C1" w:rsidRDefault="006D295C" w:rsidP="009F0880">
            <w:pPr>
              <w:contextualSpacing/>
              <w:jc w:val="both"/>
              <w:rPr>
                <w:sz w:val="24"/>
                <w:szCs w:val="24"/>
              </w:rPr>
            </w:pPr>
            <w:r w:rsidRPr="005614C1">
              <w:rPr>
                <w:sz w:val="24"/>
                <w:szCs w:val="24"/>
              </w:rPr>
              <w:t>B</w:t>
            </w:r>
          </w:p>
        </w:tc>
      </w:tr>
      <w:tr w:rsidR="006D295C" w:rsidRPr="005614C1" w:rsidTr="009F0880">
        <w:tc>
          <w:tcPr>
            <w:tcW w:w="4785" w:type="dxa"/>
          </w:tcPr>
          <w:p w:rsidR="006D295C" w:rsidRPr="005614C1" w:rsidRDefault="006D295C" w:rsidP="009F0880">
            <w:pPr>
              <w:contextualSpacing/>
              <w:jc w:val="both"/>
              <w:rPr>
                <w:sz w:val="24"/>
                <w:szCs w:val="24"/>
              </w:rPr>
            </w:pPr>
            <w:r w:rsidRPr="005614C1">
              <w:rPr>
                <w:sz w:val="24"/>
                <w:szCs w:val="24"/>
              </w:rPr>
              <w:t>10-15</w:t>
            </w:r>
          </w:p>
        </w:tc>
        <w:tc>
          <w:tcPr>
            <w:tcW w:w="4786" w:type="dxa"/>
          </w:tcPr>
          <w:p w:rsidR="006D295C" w:rsidRPr="005614C1" w:rsidRDefault="006D295C" w:rsidP="009F0880">
            <w:pPr>
              <w:contextualSpacing/>
              <w:jc w:val="both"/>
              <w:rPr>
                <w:sz w:val="24"/>
                <w:szCs w:val="24"/>
              </w:rPr>
            </w:pPr>
            <w:r w:rsidRPr="005614C1">
              <w:rPr>
                <w:sz w:val="24"/>
                <w:szCs w:val="24"/>
              </w:rPr>
              <w:t>C</w:t>
            </w:r>
          </w:p>
        </w:tc>
      </w:tr>
    </w:tbl>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При функциональном классе ЦП «А» и «В» проведение хирургического вмешательства считается возможным, при декомпенсированном ЦП (класс «С») риск операции предельно высок и при возникновении кровотечений из ВРВ пищевода и желудка преимущество следует отдавать консервативным или «малоинвазивным» методам лечения.</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качестве второго параметра определения функционального состояния печени используется шкала индекса MELD (Model</w:t>
      </w:r>
      <w:r w:rsidRPr="00187CE7">
        <w:rPr>
          <w:rFonts w:ascii="Times New Roman" w:hAnsi="Times New Roman" w:cs="Times New Roman"/>
          <w:sz w:val="24"/>
          <w:szCs w:val="24"/>
        </w:rPr>
        <w:t xml:space="preserve"> </w:t>
      </w:r>
      <w:r w:rsidRPr="005614C1">
        <w:rPr>
          <w:rFonts w:ascii="Times New Roman" w:hAnsi="Times New Roman" w:cs="Times New Roman"/>
          <w:sz w:val="24"/>
          <w:szCs w:val="24"/>
        </w:rPr>
        <w:t>of</w:t>
      </w:r>
      <w:r w:rsidRPr="00187CE7">
        <w:rPr>
          <w:rFonts w:ascii="Times New Roman" w:hAnsi="Times New Roman" w:cs="Times New Roman"/>
          <w:sz w:val="24"/>
          <w:szCs w:val="24"/>
        </w:rPr>
        <w:t xml:space="preserve"> </w:t>
      </w:r>
      <w:r w:rsidRPr="005614C1">
        <w:rPr>
          <w:rFonts w:ascii="Times New Roman" w:hAnsi="Times New Roman" w:cs="Times New Roman"/>
          <w:sz w:val="24"/>
          <w:szCs w:val="24"/>
        </w:rPr>
        <w:t>End</w:t>
      </w:r>
      <w:r w:rsidRPr="00187CE7">
        <w:rPr>
          <w:rFonts w:ascii="Times New Roman" w:hAnsi="Times New Roman" w:cs="Times New Roman"/>
          <w:sz w:val="24"/>
          <w:szCs w:val="24"/>
        </w:rPr>
        <w:t xml:space="preserve"> </w:t>
      </w:r>
      <w:r w:rsidRPr="005614C1">
        <w:rPr>
          <w:rFonts w:ascii="Times New Roman" w:hAnsi="Times New Roman" w:cs="Times New Roman"/>
          <w:sz w:val="24"/>
          <w:szCs w:val="24"/>
        </w:rPr>
        <w:t>Stage</w:t>
      </w:r>
      <w:r w:rsidRPr="00187CE7">
        <w:rPr>
          <w:rFonts w:ascii="Times New Roman" w:hAnsi="Times New Roman" w:cs="Times New Roman"/>
          <w:sz w:val="24"/>
          <w:szCs w:val="24"/>
        </w:rPr>
        <w:t xml:space="preserve"> </w:t>
      </w:r>
      <w:r w:rsidRPr="005614C1">
        <w:rPr>
          <w:rFonts w:ascii="Times New Roman" w:hAnsi="Times New Roman" w:cs="Times New Roman"/>
          <w:sz w:val="24"/>
          <w:szCs w:val="24"/>
        </w:rPr>
        <w:t>Liver</w:t>
      </w:r>
      <w:r w:rsidRPr="00187CE7">
        <w:rPr>
          <w:rFonts w:ascii="Times New Roman" w:hAnsi="Times New Roman" w:cs="Times New Roman"/>
          <w:sz w:val="24"/>
          <w:szCs w:val="24"/>
        </w:rPr>
        <w:t xml:space="preserve"> </w:t>
      </w:r>
      <w:r w:rsidRPr="005614C1">
        <w:rPr>
          <w:rFonts w:ascii="Times New Roman" w:hAnsi="Times New Roman" w:cs="Times New Roman"/>
          <w:sz w:val="24"/>
          <w:szCs w:val="24"/>
        </w:rPr>
        <w:t>Diseases), изначально применяемая в трансплантологии для определения очередности трансплантации печени. Данный показатель рассчитывается, исходя из уровня билирубина, креатинина сыворотки, а также уровня МНО по следующей формуле:</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MELD = 3.78[Lg билирубина сыворотки (мг/дл)] + 11.2[Lg МНО] + 9.57[Lgкреатинина сыворотки (мг/дл)] + 6.43</w:t>
      </w:r>
      <w:r>
        <w:rPr>
          <w:rFonts w:ascii="Times New Roman" w:hAnsi="Times New Roman" w:cs="Times New Roman"/>
          <w:sz w:val="24"/>
          <w:szCs w:val="24"/>
        </w:rPr>
        <w:t xml:space="preserve">. </w:t>
      </w:r>
      <w:r w:rsidRPr="005614C1">
        <w:rPr>
          <w:rFonts w:ascii="Times New Roman" w:hAnsi="Times New Roman" w:cs="Times New Roman"/>
          <w:sz w:val="24"/>
          <w:szCs w:val="24"/>
        </w:rPr>
        <w:t>Клиническое значение шкалы MELD (табл. 4 )</w:t>
      </w:r>
      <w:r>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Таблица 4</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 xml:space="preserve">Расчет летальности от печеночно-клеточной недостаточности </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в течение 3х месяцев по MELD</w:t>
      </w:r>
    </w:p>
    <w:p w:rsidR="006D295C" w:rsidRDefault="006D295C" w:rsidP="006D295C">
      <w:pPr>
        <w:spacing w:line="240" w:lineRule="auto"/>
        <w:contextualSpacing/>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4731"/>
        <w:gridCol w:w="4738"/>
      </w:tblGrid>
      <w:tr w:rsidR="006D295C" w:rsidRPr="005614C1" w:rsidTr="009F0880">
        <w:tc>
          <w:tcPr>
            <w:tcW w:w="4731" w:type="dxa"/>
          </w:tcPr>
          <w:p w:rsidR="006D295C" w:rsidRPr="005614C1" w:rsidRDefault="006D295C" w:rsidP="009F0880">
            <w:pPr>
              <w:contextualSpacing/>
              <w:jc w:val="both"/>
              <w:rPr>
                <w:sz w:val="24"/>
                <w:szCs w:val="24"/>
              </w:rPr>
            </w:pPr>
            <w:r w:rsidRPr="005614C1">
              <w:rPr>
                <w:sz w:val="24"/>
                <w:szCs w:val="24"/>
              </w:rPr>
              <w:t>Индекс MELD</w:t>
            </w:r>
          </w:p>
        </w:tc>
        <w:tc>
          <w:tcPr>
            <w:tcW w:w="4738" w:type="dxa"/>
          </w:tcPr>
          <w:p w:rsidR="006D295C" w:rsidRPr="005614C1" w:rsidRDefault="006D295C" w:rsidP="009F0880">
            <w:pPr>
              <w:contextualSpacing/>
              <w:jc w:val="both"/>
              <w:rPr>
                <w:sz w:val="24"/>
                <w:szCs w:val="24"/>
              </w:rPr>
            </w:pPr>
            <w:r w:rsidRPr="005614C1">
              <w:rPr>
                <w:sz w:val="24"/>
                <w:szCs w:val="24"/>
              </w:rPr>
              <w:t>Летальность %</w:t>
            </w:r>
          </w:p>
        </w:tc>
      </w:tr>
      <w:tr w:rsidR="006D295C" w:rsidRPr="005614C1" w:rsidTr="009F0880">
        <w:tc>
          <w:tcPr>
            <w:tcW w:w="4731" w:type="dxa"/>
          </w:tcPr>
          <w:p w:rsidR="006D295C" w:rsidRPr="005614C1" w:rsidRDefault="006D295C" w:rsidP="009F0880">
            <w:pPr>
              <w:contextualSpacing/>
              <w:jc w:val="both"/>
              <w:rPr>
                <w:sz w:val="24"/>
                <w:szCs w:val="24"/>
              </w:rPr>
            </w:pPr>
            <w:r w:rsidRPr="005614C1">
              <w:rPr>
                <w:sz w:val="24"/>
                <w:szCs w:val="24"/>
              </w:rPr>
              <w:t>40 и более</w:t>
            </w:r>
          </w:p>
        </w:tc>
        <w:tc>
          <w:tcPr>
            <w:tcW w:w="4738" w:type="dxa"/>
          </w:tcPr>
          <w:p w:rsidR="006D295C" w:rsidRPr="005614C1" w:rsidRDefault="006D295C" w:rsidP="009F0880">
            <w:pPr>
              <w:contextualSpacing/>
              <w:jc w:val="both"/>
              <w:rPr>
                <w:sz w:val="24"/>
                <w:szCs w:val="24"/>
              </w:rPr>
            </w:pPr>
            <w:r w:rsidRPr="005614C1">
              <w:rPr>
                <w:sz w:val="24"/>
                <w:szCs w:val="24"/>
              </w:rPr>
              <w:t>71,3</w:t>
            </w:r>
          </w:p>
        </w:tc>
      </w:tr>
      <w:tr w:rsidR="006D295C" w:rsidRPr="005614C1" w:rsidTr="009F0880">
        <w:tc>
          <w:tcPr>
            <w:tcW w:w="4731" w:type="dxa"/>
          </w:tcPr>
          <w:p w:rsidR="006D295C" w:rsidRPr="005614C1" w:rsidRDefault="006D295C" w:rsidP="009F0880">
            <w:pPr>
              <w:contextualSpacing/>
              <w:jc w:val="both"/>
              <w:rPr>
                <w:sz w:val="24"/>
                <w:szCs w:val="24"/>
              </w:rPr>
            </w:pPr>
            <w:r w:rsidRPr="005614C1">
              <w:rPr>
                <w:sz w:val="24"/>
                <w:szCs w:val="24"/>
              </w:rPr>
              <w:t>30-39</w:t>
            </w:r>
          </w:p>
        </w:tc>
        <w:tc>
          <w:tcPr>
            <w:tcW w:w="4738" w:type="dxa"/>
          </w:tcPr>
          <w:p w:rsidR="006D295C" w:rsidRPr="005614C1" w:rsidRDefault="006D295C" w:rsidP="009F0880">
            <w:pPr>
              <w:contextualSpacing/>
              <w:jc w:val="both"/>
              <w:rPr>
                <w:sz w:val="24"/>
                <w:szCs w:val="24"/>
              </w:rPr>
            </w:pPr>
            <w:r w:rsidRPr="005614C1">
              <w:rPr>
                <w:sz w:val="24"/>
                <w:szCs w:val="24"/>
              </w:rPr>
              <w:t>52,6</w:t>
            </w:r>
          </w:p>
        </w:tc>
      </w:tr>
      <w:tr w:rsidR="006D295C" w:rsidRPr="005614C1" w:rsidTr="009F0880">
        <w:tc>
          <w:tcPr>
            <w:tcW w:w="4731" w:type="dxa"/>
          </w:tcPr>
          <w:p w:rsidR="006D295C" w:rsidRPr="005614C1" w:rsidRDefault="006D295C" w:rsidP="009F0880">
            <w:pPr>
              <w:contextualSpacing/>
              <w:jc w:val="both"/>
              <w:rPr>
                <w:sz w:val="24"/>
                <w:szCs w:val="24"/>
              </w:rPr>
            </w:pPr>
            <w:r w:rsidRPr="005614C1">
              <w:rPr>
                <w:sz w:val="24"/>
                <w:szCs w:val="24"/>
              </w:rPr>
              <w:t>20-29</w:t>
            </w:r>
          </w:p>
        </w:tc>
        <w:tc>
          <w:tcPr>
            <w:tcW w:w="4738" w:type="dxa"/>
          </w:tcPr>
          <w:p w:rsidR="006D295C" w:rsidRPr="005614C1" w:rsidRDefault="006D295C" w:rsidP="009F0880">
            <w:pPr>
              <w:contextualSpacing/>
              <w:jc w:val="both"/>
              <w:rPr>
                <w:sz w:val="24"/>
                <w:szCs w:val="24"/>
              </w:rPr>
            </w:pPr>
            <w:r w:rsidRPr="005614C1">
              <w:rPr>
                <w:sz w:val="24"/>
                <w:szCs w:val="24"/>
              </w:rPr>
              <w:t>19,6</w:t>
            </w:r>
          </w:p>
        </w:tc>
      </w:tr>
      <w:tr w:rsidR="006D295C" w:rsidRPr="005614C1" w:rsidTr="009F0880">
        <w:tc>
          <w:tcPr>
            <w:tcW w:w="4731" w:type="dxa"/>
            <w:tcBorders>
              <w:bottom w:val="single" w:sz="4" w:space="0" w:color="auto"/>
            </w:tcBorders>
          </w:tcPr>
          <w:p w:rsidR="006D295C" w:rsidRPr="005614C1" w:rsidRDefault="006D295C" w:rsidP="009F0880">
            <w:pPr>
              <w:contextualSpacing/>
              <w:jc w:val="both"/>
              <w:rPr>
                <w:sz w:val="24"/>
                <w:szCs w:val="24"/>
              </w:rPr>
            </w:pPr>
            <w:r w:rsidRPr="005614C1">
              <w:rPr>
                <w:sz w:val="24"/>
                <w:szCs w:val="24"/>
              </w:rPr>
              <w:t>10-19</w:t>
            </w:r>
          </w:p>
        </w:tc>
        <w:tc>
          <w:tcPr>
            <w:tcW w:w="4738" w:type="dxa"/>
            <w:tcBorders>
              <w:bottom w:val="single" w:sz="4" w:space="0" w:color="auto"/>
            </w:tcBorders>
          </w:tcPr>
          <w:p w:rsidR="006D295C" w:rsidRPr="005614C1" w:rsidRDefault="006D295C" w:rsidP="009F0880">
            <w:pPr>
              <w:contextualSpacing/>
              <w:jc w:val="both"/>
              <w:rPr>
                <w:sz w:val="24"/>
                <w:szCs w:val="24"/>
              </w:rPr>
            </w:pPr>
            <w:r w:rsidRPr="005614C1">
              <w:rPr>
                <w:sz w:val="24"/>
                <w:szCs w:val="24"/>
              </w:rPr>
              <w:t>6</w:t>
            </w:r>
          </w:p>
        </w:tc>
      </w:tr>
      <w:tr w:rsidR="006D295C" w:rsidRPr="005614C1" w:rsidTr="009F0880">
        <w:tc>
          <w:tcPr>
            <w:tcW w:w="4731" w:type="dxa"/>
            <w:tcBorders>
              <w:top w:val="single" w:sz="4" w:space="0" w:color="auto"/>
              <w:left w:val="single" w:sz="4" w:space="0" w:color="auto"/>
              <w:bottom w:val="single" w:sz="4" w:space="0" w:color="auto"/>
              <w:right w:val="single" w:sz="4" w:space="0" w:color="auto"/>
            </w:tcBorders>
          </w:tcPr>
          <w:p w:rsidR="006D295C" w:rsidRPr="005614C1" w:rsidRDefault="006D295C" w:rsidP="009F0880">
            <w:pPr>
              <w:contextualSpacing/>
              <w:jc w:val="both"/>
              <w:rPr>
                <w:sz w:val="24"/>
                <w:szCs w:val="24"/>
              </w:rPr>
            </w:pPr>
            <w:r w:rsidRPr="005614C1">
              <w:rPr>
                <w:sz w:val="24"/>
                <w:szCs w:val="24"/>
              </w:rPr>
              <w:t>&lt; 9</w:t>
            </w:r>
          </w:p>
        </w:tc>
        <w:tc>
          <w:tcPr>
            <w:tcW w:w="4738" w:type="dxa"/>
            <w:tcBorders>
              <w:top w:val="single" w:sz="4" w:space="0" w:color="auto"/>
              <w:left w:val="single" w:sz="4" w:space="0" w:color="auto"/>
              <w:bottom w:val="single" w:sz="4" w:space="0" w:color="auto"/>
              <w:right w:val="single" w:sz="4" w:space="0" w:color="auto"/>
            </w:tcBorders>
          </w:tcPr>
          <w:p w:rsidR="006D295C" w:rsidRPr="005614C1" w:rsidRDefault="006D295C" w:rsidP="009F0880">
            <w:pPr>
              <w:contextualSpacing/>
              <w:jc w:val="both"/>
              <w:rPr>
                <w:sz w:val="24"/>
                <w:szCs w:val="24"/>
              </w:rPr>
            </w:pPr>
            <w:r w:rsidRPr="005614C1">
              <w:rPr>
                <w:sz w:val="24"/>
                <w:szCs w:val="24"/>
              </w:rPr>
              <w:t>1,9</w:t>
            </w:r>
          </w:p>
        </w:tc>
      </w:tr>
      <w:tr w:rsidR="006D295C" w:rsidRPr="005614C1" w:rsidTr="009F0880">
        <w:tc>
          <w:tcPr>
            <w:tcW w:w="4731" w:type="dxa"/>
            <w:tcBorders>
              <w:top w:val="single" w:sz="4" w:space="0" w:color="auto"/>
              <w:left w:val="nil"/>
              <w:bottom w:val="nil"/>
              <w:right w:val="nil"/>
            </w:tcBorders>
          </w:tcPr>
          <w:p w:rsidR="006D295C" w:rsidRPr="005614C1" w:rsidRDefault="006D295C" w:rsidP="009F0880">
            <w:pPr>
              <w:contextualSpacing/>
              <w:jc w:val="both"/>
              <w:rPr>
                <w:sz w:val="24"/>
                <w:szCs w:val="24"/>
              </w:rPr>
            </w:pPr>
          </w:p>
        </w:tc>
        <w:tc>
          <w:tcPr>
            <w:tcW w:w="4738" w:type="dxa"/>
            <w:tcBorders>
              <w:top w:val="single" w:sz="4" w:space="0" w:color="auto"/>
              <w:left w:val="nil"/>
              <w:bottom w:val="nil"/>
              <w:right w:val="nil"/>
            </w:tcBorders>
          </w:tcPr>
          <w:p w:rsidR="006D295C" w:rsidRPr="005614C1" w:rsidRDefault="006D295C" w:rsidP="009F0880">
            <w:pPr>
              <w:contextualSpacing/>
              <w:jc w:val="both"/>
              <w:rPr>
                <w:sz w:val="24"/>
                <w:szCs w:val="24"/>
              </w:rPr>
            </w:pPr>
          </w:p>
        </w:tc>
      </w:tr>
    </w:tbl>
    <w:tbl>
      <w:tblPr>
        <w:tblW w:w="94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092"/>
        <w:gridCol w:w="3200"/>
        <w:gridCol w:w="3200"/>
      </w:tblGrid>
      <w:tr w:rsidR="006D295C" w:rsidRPr="005614C1" w:rsidTr="009F0880">
        <w:trPr>
          <w:jc w:val="center"/>
        </w:trPr>
        <w:tc>
          <w:tcPr>
            <w:tcW w:w="3092"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Индекс MELD </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Период, мес.</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Выживаемость, %</w:t>
            </w:r>
          </w:p>
        </w:tc>
      </w:tr>
      <w:tr w:rsidR="006D295C" w:rsidRPr="005614C1" w:rsidTr="009F0880">
        <w:trPr>
          <w:jc w:val="center"/>
        </w:trPr>
        <w:tc>
          <w:tcPr>
            <w:tcW w:w="3092" w:type="dxa"/>
            <w:vMerge w:val="restart"/>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10 баллов </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3</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74</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6</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66</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12</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59</w:t>
            </w:r>
          </w:p>
        </w:tc>
      </w:tr>
      <w:tr w:rsidR="006D295C" w:rsidRPr="005614C1" w:rsidTr="009F0880">
        <w:trPr>
          <w:jc w:val="center"/>
        </w:trPr>
        <w:tc>
          <w:tcPr>
            <w:tcW w:w="3092" w:type="dxa"/>
            <w:vMerge w:val="restart"/>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20 баллов </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3</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52</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6</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40</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12</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30</w:t>
            </w:r>
          </w:p>
        </w:tc>
      </w:tr>
      <w:tr w:rsidR="006D295C" w:rsidRPr="005614C1" w:rsidTr="009F0880">
        <w:trPr>
          <w:jc w:val="center"/>
        </w:trPr>
        <w:tc>
          <w:tcPr>
            <w:tcW w:w="3092" w:type="dxa"/>
            <w:vMerge w:val="restart"/>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30 баллов </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3</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11</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6</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5</w:t>
            </w:r>
          </w:p>
        </w:tc>
      </w:tr>
      <w:tr w:rsidR="006D295C" w:rsidRPr="005614C1" w:rsidTr="009F0880">
        <w:trPr>
          <w:jc w:val="center"/>
        </w:trPr>
        <w:tc>
          <w:tcPr>
            <w:tcW w:w="3092" w:type="dxa"/>
            <w:vMerge/>
            <w:shd w:val="clear" w:color="auto" w:fill="FFFFFF" w:themeFill="background1"/>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12</w:t>
            </w:r>
          </w:p>
        </w:tc>
        <w:tc>
          <w:tcPr>
            <w:tcW w:w="3200" w:type="dxa"/>
            <w:shd w:val="clear" w:color="auto" w:fill="FFFFFF" w:themeFill="background1"/>
            <w:tcMar>
              <w:top w:w="15" w:type="dxa"/>
              <w:left w:w="15" w:type="dxa"/>
              <w:bottom w:w="15" w:type="dxa"/>
              <w:right w:w="15" w:type="dxa"/>
            </w:tcMar>
            <w:vAlign w:val="center"/>
            <w:hideMark/>
          </w:tcPr>
          <w:p w:rsidR="006D295C" w:rsidRPr="005614C1" w:rsidRDefault="006D295C" w:rsidP="009F0880">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2</w:t>
            </w:r>
          </w:p>
        </w:tc>
      </w:tr>
    </w:tbl>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Для определения формы портальной гипертензии необходимо выполнять УЗИ органов брюшной полости с УЗДС портального кровотока  (табл.5).</w:t>
      </w: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r w:rsidRPr="005614C1">
        <w:rPr>
          <w:rFonts w:ascii="Times New Roman" w:hAnsi="Times New Roman" w:cs="Times New Roman"/>
          <w:sz w:val="24"/>
          <w:szCs w:val="24"/>
        </w:rPr>
        <w:t>Таблица 5</w:t>
      </w:r>
    </w:p>
    <w:p w:rsidR="006D295C" w:rsidRPr="005614C1"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Нормальные пок</w:t>
      </w:r>
      <w:r>
        <w:rPr>
          <w:rFonts w:ascii="Times New Roman" w:hAnsi="Times New Roman" w:cs="Times New Roman"/>
          <w:sz w:val="24"/>
          <w:szCs w:val="24"/>
        </w:rPr>
        <w:t>азатели портальной гемодинамики</w:t>
      </w:r>
    </w:p>
    <w:p w:rsidR="006D295C" w:rsidRPr="005614C1" w:rsidRDefault="006D295C" w:rsidP="006D295C">
      <w:pPr>
        <w:spacing w:line="240" w:lineRule="auto"/>
        <w:contextualSpacing/>
        <w:jc w:val="center"/>
        <w:rPr>
          <w:rFonts w:ascii="Times New Roman" w:hAnsi="Times New Roman" w:cs="Times New Roman"/>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0"/>
        <w:gridCol w:w="1840"/>
        <w:gridCol w:w="2100"/>
        <w:gridCol w:w="1560"/>
        <w:gridCol w:w="1840"/>
      </w:tblGrid>
      <w:tr w:rsidR="006D295C" w:rsidRPr="005614C1" w:rsidTr="009F0880">
        <w:trPr>
          <w:trHeight w:val="253"/>
          <w:jc w:val="center"/>
        </w:trPr>
        <w:tc>
          <w:tcPr>
            <w:tcW w:w="1840" w:type="dxa"/>
            <w:vMerge w:val="restart"/>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Название вены</w:t>
            </w:r>
          </w:p>
        </w:tc>
        <w:tc>
          <w:tcPr>
            <w:tcW w:w="7340" w:type="dxa"/>
            <w:gridSpan w:val="4"/>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Нормальные показатели</w:t>
            </w:r>
          </w:p>
        </w:tc>
      </w:tr>
      <w:tr w:rsidR="006D295C" w:rsidRPr="005614C1" w:rsidTr="009F0880">
        <w:trPr>
          <w:trHeight w:val="231"/>
          <w:jc w:val="center"/>
        </w:trPr>
        <w:tc>
          <w:tcPr>
            <w:tcW w:w="0" w:type="auto"/>
            <w:vMerge/>
            <w:vAlign w:val="center"/>
            <w:hideMark/>
          </w:tcPr>
          <w:p w:rsidR="006D295C" w:rsidRPr="005614C1" w:rsidRDefault="006D295C" w:rsidP="009F0880">
            <w:pPr>
              <w:spacing w:line="240" w:lineRule="auto"/>
              <w:contextualSpacing/>
              <w:rPr>
                <w:rFonts w:ascii="Times New Roman" w:hAnsi="Times New Roman" w:cs="Times New Roman"/>
                <w:sz w:val="24"/>
                <w:szCs w:val="24"/>
              </w:rPr>
            </w:pP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Диаметр (см)</w:t>
            </w:r>
          </w:p>
        </w:tc>
        <w:tc>
          <w:tcPr>
            <w:tcW w:w="210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Характер кровотока</w:t>
            </w:r>
          </w:p>
        </w:tc>
        <w:tc>
          <w:tcPr>
            <w:tcW w:w="156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Vmean (см/сек) </w:t>
            </w: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Vvol (мл/мин)</w:t>
            </w:r>
          </w:p>
        </w:tc>
      </w:tr>
      <w:tr w:rsidR="006D295C" w:rsidRPr="005614C1" w:rsidTr="009F0880">
        <w:trPr>
          <w:trHeight w:val="349"/>
          <w:jc w:val="center"/>
        </w:trPr>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Воротная вена</w:t>
            </w: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0,91 + 0,1 </w:t>
            </w:r>
          </w:p>
        </w:tc>
        <w:tc>
          <w:tcPr>
            <w:tcW w:w="210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Гепатопетальный</w:t>
            </w:r>
          </w:p>
        </w:tc>
        <w:tc>
          <w:tcPr>
            <w:tcW w:w="156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23 + 4 </w:t>
            </w: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897,04 + 220,8 </w:t>
            </w:r>
          </w:p>
        </w:tc>
      </w:tr>
      <w:tr w:rsidR="006D295C" w:rsidRPr="005614C1" w:rsidTr="009F0880">
        <w:trPr>
          <w:trHeight w:val="236"/>
          <w:jc w:val="center"/>
        </w:trPr>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Селезеночная вена</w:t>
            </w: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 xml:space="preserve">0,54 + 0,09 </w:t>
            </w:r>
          </w:p>
        </w:tc>
        <w:tc>
          <w:tcPr>
            <w:tcW w:w="210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Гепатопетальный</w:t>
            </w:r>
          </w:p>
        </w:tc>
        <w:tc>
          <w:tcPr>
            <w:tcW w:w="156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25,5 + 5</w:t>
            </w:r>
          </w:p>
        </w:tc>
        <w:tc>
          <w:tcPr>
            <w:tcW w:w="1840" w:type="dxa"/>
            <w:shd w:val="clear" w:color="auto" w:fill="auto"/>
            <w:tcMar>
              <w:top w:w="72" w:type="dxa"/>
              <w:left w:w="144" w:type="dxa"/>
              <w:bottom w:w="72" w:type="dxa"/>
              <w:right w:w="144" w:type="dxa"/>
            </w:tcMar>
            <w:hideMark/>
          </w:tcPr>
          <w:p w:rsidR="006D295C" w:rsidRPr="005614C1" w:rsidRDefault="006D295C" w:rsidP="009F0880">
            <w:pPr>
              <w:spacing w:line="240" w:lineRule="auto"/>
              <w:contextualSpacing/>
              <w:rPr>
                <w:rFonts w:ascii="Times New Roman" w:hAnsi="Times New Roman" w:cs="Times New Roman"/>
                <w:sz w:val="24"/>
                <w:szCs w:val="24"/>
              </w:rPr>
            </w:pPr>
            <w:r w:rsidRPr="005614C1">
              <w:rPr>
                <w:rFonts w:ascii="Times New Roman" w:hAnsi="Times New Roman" w:cs="Times New Roman"/>
                <w:sz w:val="24"/>
                <w:szCs w:val="24"/>
              </w:rPr>
              <w:t>320,2 +78,5</w:t>
            </w:r>
          </w:p>
        </w:tc>
      </w:tr>
    </w:tbl>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сомнительных случаях возможно выполнение ангиографии и КТ ангиографии.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43E3" w:rsidRDefault="006D295C" w:rsidP="006D295C">
      <w:pPr>
        <w:spacing w:line="240" w:lineRule="auto"/>
        <w:contextualSpacing/>
        <w:jc w:val="both"/>
        <w:rPr>
          <w:rFonts w:ascii="Times New Roman" w:hAnsi="Times New Roman" w:cs="Times New Roman"/>
          <w:b/>
          <w:sz w:val="24"/>
          <w:szCs w:val="24"/>
        </w:rPr>
      </w:pPr>
      <w:r w:rsidRPr="00F643E3">
        <w:rPr>
          <w:rFonts w:ascii="Times New Roman" w:hAnsi="Times New Roman" w:cs="Times New Roman"/>
          <w:b/>
          <w:sz w:val="24"/>
          <w:szCs w:val="24"/>
        </w:rPr>
        <w:t>4. ЛЕЧЕНИЕ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Основными причинами пищеводно-желудочных кровотечений при портальной гипертензии являются:</w:t>
      </w:r>
    </w:p>
    <w:p w:rsidR="006D295C" w:rsidRPr="00F643E3" w:rsidRDefault="006D295C" w:rsidP="006D295C">
      <w:pPr>
        <w:pStyle w:val="a4"/>
        <w:numPr>
          <w:ilvl w:val="0"/>
          <w:numId w:val="2"/>
        </w:numPr>
        <w:jc w:val="both"/>
      </w:pPr>
      <w:r>
        <w:t>г</w:t>
      </w:r>
      <w:r w:rsidRPr="00F643E3">
        <w:t>ипертонический криз в портальной системе (повышение порто-системного градиента боле 12 мм.рт.ст);</w:t>
      </w:r>
    </w:p>
    <w:p w:rsidR="006D295C" w:rsidRPr="00F643E3" w:rsidRDefault="006D295C" w:rsidP="006D295C">
      <w:pPr>
        <w:pStyle w:val="a4"/>
        <w:numPr>
          <w:ilvl w:val="0"/>
          <w:numId w:val="2"/>
        </w:numPr>
        <w:jc w:val="both"/>
      </w:pPr>
      <w:r>
        <w:t>т</w:t>
      </w:r>
      <w:r w:rsidRPr="00F643E3">
        <w:t>рофические изменения слизистой пищевода и желудка вследствие нарушения гемоциркуляции и воздействия кислотно-пептического фактора;</w:t>
      </w:r>
    </w:p>
    <w:p w:rsidR="006D295C" w:rsidRPr="00F643E3" w:rsidRDefault="006D295C" w:rsidP="006D295C">
      <w:pPr>
        <w:pStyle w:val="a4"/>
        <w:numPr>
          <w:ilvl w:val="0"/>
          <w:numId w:val="2"/>
        </w:numPr>
        <w:jc w:val="both"/>
      </w:pPr>
      <w:r>
        <w:t>н</w:t>
      </w:r>
      <w:r w:rsidRPr="00F643E3">
        <w:t>арушения</w:t>
      </w:r>
      <w:r>
        <w:t xml:space="preserve"> </w:t>
      </w:r>
      <w:r w:rsidRPr="00F643E3">
        <w:t>свертывающей</w:t>
      </w:r>
      <w:r>
        <w:t xml:space="preserve"> </w:t>
      </w:r>
      <w:r w:rsidRPr="00F643E3">
        <w:t>системы.</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Единого мнения относительно того, какой из этих факторов является основным, до настоящего времени нет [4, 7, 11, 13, </w:t>
      </w:r>
      <w:r>
        <w:rPr>
          <w:rFonts w:ascii="Times New Roman" w:hAnsi="Times New Roman" w:cs="Times New Roman"/>
          <w:sz w:val="24"/>
          <w:szCs w:val="24"/>
        </w:rPr>
        <w:t>3</w:t>
      </w:r>
      <w:r w:rsidRPr="00187CE7">
        <w:rPr>
          <w:rFonts w:ascii="Times New Roman" w:hAnsi="Times New Roman" w:cs="Times New Roman"/>
          <w:sz w:val="24"/>
          <w:szCs w:val="24"/>
        </w:rPr>
        <w:t>5</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lastRenderedPageBreak/>
        <w:drawing>
          <wp:inline distT="0" distB="0" distL="0" distR="0">
            <wp:extent cx="5126733" cy="3574473"/>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136333" cy="3581166"/>
                    </a:xfrm>
                    <a:prstGeom prst="rect">
                      <a:avLst/>
                    </a:prstGeom>
                    <a:noFill/>
                    <a:ln w="9525">
                      <a:noFill/>
                      <a:miter lim="800000"/>
                      <a:headEnd/>
                      <a:tailEnd/>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3. Патогенез пищеводно-желудочных кровотечений при ПГ</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1B7FF3" w:rsidRDefault="006D295C" w:rsidP="006D295C">
      <w:pPr>
        <w:spacing w:line="240" w:lineRule="auto"/>
        <w:contextualSpacing/>
        <w:jc w:val="both"/>
        <w:rPr>
          <w:rFonts w:ascii="Times New Roman" w:hAnsi="Times New Roman" w:cs="Times New Roman"/>
          <w:b/>
          <w:sz w:val="24"/>
          <w:szCs w:val="24"/>
        </w:rPr>
      </w:pPr>
      <w:r w:rsidRPr="001B7FF3">
        <w:rPr>
          <w:rFonts w:ascii="Times New Roman" w:hAnsi="Times New Roman" w:cs="Times New Roman"/>
          <w:b/>
          <w:sz w:val="24"/>
          <w:szCs w:val="24"/>
        </w:rPr>
        <w:t>Основные задачи лечения</w:t>
      </w:r>
      <w:r w:rsidRPr="001B7FF3">
        <w:rPr>
          <w:rFonts w:ascii="Times New Roman" w:hAnsi="Times New Roman" w:cs="Times New Roman"/>
          <w:sz w:val="24"/>
          <w:szCs w:val="24"/>
        </w:rPr>
        <w:t>[3, 12, 14, 17]</w:t>
      </w:r>
      <w:r w:rsidRPr="001B7FF3">
        <w:rPr>
          <w:rFonts w:ascii="Times New Roman" w:hAnsi="Times New Roman" w:cs="Times New Roman"/>
          <w:b/>
          <w:sz w:val="24"/>
          <w:szCs w:val="24"/>
        </w:rPr>
        <w:t>:</w:t>
      </w:r>
    </w:p>
    <w:p w:rsidR="006D295C" w:rsidRPr="001B7FF3" w:rsidRDefault="006D295C" w:rsidP="006D295C">
      <w:pPr>
        <w:pStyle w:val="a4"/>
        <w:numPr>
          <w:ilvl w:val="0"/>
          <w:numId w:val="3"/>
        </w:numPr>
        <w:jc w:val="both"/>
      </w:pPr>
      <w:r w:rsidRPr="001B7FF3">
        <w:t>Остановка кровотечения</w:t>
      </w:r>
    </w:p>
    <w:p w:rsidR="006D295C" w:rsidRPr="001B7FF3" w:rsidRDefault="006D295C" w:rsidP="006D295C">
      <w:pPr>
        <w:pStyle w:val="a4"/>
        <w:numPr>
          <w:ilvl w:val="0"/>
          <w:numId w:val="3"/>
        </w:numPr>
        <w:jc w:val="both"/>
      </w:pPr>
      <w:r w:rsidRPr="001B7FF3">
        <w:t>Возмещение кровопотери</w:t>
      </w:r>
    </w:p>
    <w:p w:rsidR="006D295C" w:rsidRPr="001B7FF3" w:rsidRDefault="006D295C" w:rsidP="006D295C">
      <w:pPr>
        <w:pStyle w:val="a4"/>
        <w:numPr>
          <w:ilvl w:val="0"/>
          <w:numId w:val="3"/>
        </w:numPr>
        <w:jc w:val="both"/>
      </w:pPr>
      <w:r w:rsidRPr="001B7FF3">
        <w:t>Лечение</w:t>
      </w:r>
      <w:r>
        <w:t xml:space="preserve"> </w:t>
      </w:r>
      <w:r w:rsidRPr="001B7FF3">
        <w:t>коагулопатии</w:t>
      </w:r>
    </w:p>
    <w:p w:rsidR="006D295C" w:rsidRPr="001B7FF3" w:rsidRDefault="006D295C" w:rsidP="006D295C">
      <w:pPr>
        <w:pStyle w:val="a4"/>
        <w:numPr>
          <w:ilvl w:val="0"/>
          <w:numId w:val="3"/>
        </w:numPr>
        <w:jc w:val="both"/>
      </w:pPr>
      <w:r w:rsidRPr="001B7FF3">
        <w:t>Предотвращение</w:t>
      </w:r>
      <w:r>
        <w:t xml:space="preserve"> </w:t>
      </w:r>
      <w:r w:rsidRPr="001B7FF3">
        <w:t>рецидивов</w:t>
      </w:r>
      <w:r>
        <w:t xml:space="preserve"> </w:t>
      </w:r>
      <w:r w:rsidRPr="001B7FF3">
        <w:t>кровотечения</w:t>
      </w:r>
    </w:p>
    <w:p w:rsidR="006D295C" w:rsidRPr="001B7FF3" w:rsidRDefault="006D295C" w:rsidP="006D295C">
      <w:pPr>
        <w:pStyle w:val="a4"/>
        <w:numPr>
          <w:ilvl w:val="0"/>
          <w:numId w:val="3"/>
        </w:numPr>
        <w:jc w:val="both"/>
      </w:pPr>
      <w:r w:rsidRPr="001B7FF3">
        <w:t>Предотвращение ухудшения функции печени и осложнений, обусловленных кровотечениями (инфекции, печеночная энцефалопатия и т.д.).</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1B7FF3" w:rsidRDefault="006D295C" w:rsidP="006D295C">
      <w:pPr>
        <w:spacing w:line="240" w:lineRule="auto"/>
        <w:contextualSpacing/>
        <w:jc w:val="both"/>
        <w:rPr>
          <w:rFonts w:ascii="Times New Roman" w:hAnsi="Times New Roman" w:cs="Times New Roman"/>
          <w:b/>
          <w:sz w:val="24"/>
          <w:szCs w:val="24"/>
        </w:rPr>
      </w:pPr>
      <w:r w:rsidRPr="001B7FF3">
        <w:rPr>
          <w:rFonts w:ascii="Times New Roman" w:hAnsi="Times New Roman" w:cs="Times New Roman"/>
          <w:b/>
          <w:sz w:val="24"/>
          <w:szCs w:val="24"/>
        </w:rPr>
        <w:t>Лечение острого кровотечения из ВРВ (рекомендации Baveno V)</w:t>
      </w:r>
      <w:r>
        <w:rPr>
          <w:rFonts w:ascii="Times New Roman" w:hAnsi="Times New Roman" w:cs="Times New Roman"/>
          <w:b/>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3356C9" w:rsidRDefault="006D295C" w:rsidP="006D295C">
      <w:pPr>
        <w:pStyle w:val="a4"/>
        <w:numPr>
          <w:ilvl w:val="0"/>
          <w:numId w:val="9"/>
        </w:numPr>
        <w:jc w:val="both"/>
      </w:pPr>
      <w:r>
        <w:t>в</w:t>
      </w:r>
      <w:r w:rsidRPr="003356C9">
        <w:t>осполнение ОЦК, используя осторожное введение свежезамороженной плазмы (СЗП) (1B; A),</w:t>
      </w:r>
    </w:p>
    <w:p w:rsidR="006D295C" w:rsidRPr="003356C9" w:rsidRDefault="006D295C" w:rsidP="006D295C">
      <w:pPr>
        <w:pStyle w:val="a4"/>
        <w:numPr>
          <w:ilvl w:val="0"/>
          <w:numId w:val="9"/>
        </w:numPr>
        <w:jc w:val="both"/>
      </w:pPr>
      <w:r>
        <w:t>т</w:t>
      </w:r>
      <w:r w:rsidRPr="003356C9">
        <w:t>рансфузия эритромассы для поддержания Hb 80 г/л (1B; A),</w:t>
      </w:r>
    </w:p>
    <w:p w:rsidR="006D295C" w:rsidRPr="003356C9" w:rsidRDefault="006D295C" w:rsidP="006D295C">
      <w:pPr>
        <w:pStyle w:val="a4"/>
        <w:numPr>
          <w:ilvl w:val="0"/>
          <w:numId w:val="9"/>
        </w:numPr>
        <w:jc w:val="both"/>
      </w:pPr>
      <w:r>
        <w:t>и</w:t>
      </w:r>
      <w:r w:rsidRPr="003356C9">
        <w:t>спользование антибиотикотерапии для профилактики спонтанного бактериального перитонита (1a; A),</w:t>
      </w:r>
    </w:p>
    <w:p w:rsidR="006D295C" w:rsidRPr="003356C9" w:rsidRDefault="006D295C" w:rsidP="006D295C">
      <w:pPr>
        <w:pStyle w:val="a4"/>
        <w:numPr>
          <w:ilvl w:val="0"/>
          <w:numId w:val="9"/>
        </w:numPr>
        <w:jc w:val="both"/>
      </w:pPr>
      <w:r>
        <w:t>п</w:t>
      </w:r>
      <w:r w:rsidRPr="003356C9">
        <w:t>рофилактика печеночной энцефалопатии (5;D)</w:t>
      </w:r>
      <w:r>
        <w:t>,</w:t>
      </w:r>
    </w:p>
    <w:p w:rsidR="006D295C" w:rsidRPr="003356C9" w:rsidRDefault="006D295C" w:rsidP="006D295C">
      <w:pPr>
        <w:pStyle w:val="a4"/>
        <w:numPr>
          <w:ilvl w:val="0"/>
          <w:numId w:val="9"/>
        </w:numPr>
        <w:jc w:val="both"/>
      </w:pPr>
      <w:r w:rsidRPr="003356C9">
        <w:t>ЭГДС проводится сразу же при поступлении в стационар (5; D),</w:t>
      </w:r>
    </w:p>
    <w:p w:rsidR="006D295C" w:rsidRPr="003356C9" w:rsidRDefault="006D295C" w:rsidP="006D295C">
      <w:pPr>
        <w:pStyle w:val="a4"/>
        <w:numPr>
          <w:ilvl w:val="0"/>
          <w:numId w:val="9"/>
        </w:numPr>
        <w:jc w:val="both"/>
      </w:pPr>
      <w:r>
        <w:t>б</w:t>
      </w:r>
      <w:r w:rsidRPr="003356C9">
        <w:t>аллонная тампонада должна использоваться только при массивном кровотечении как временная мера (2B; B),</w:t>
      </w:r>
    </w:p>
    <w:p w:rsidR="006D295C" w:rsidRPr="003356C9" w:rsidRDefault="006D295C" w:rsidP="006D295C">
      <w:pPr>
        <w:pStyle w:val="a4"/>
        <w:numPr>
          <w:ilvl w:val="0"/>
          <w:numId w:val="9"/>
        </w:numPr>
        <w:jc w:val="both"/>
      </w:pPr>
      <w:r>
        <w:t>п</w:t>
      </w:r>
      <w:r w:rsidRPr="003356C9">
        <w:t>ри подозрении на кровотечение из ВРВ должны быть назначены вазоактивные препараты как можно раньше (1a; A),</w:t>
      </w:r>
    </w:p>
    <w:p w:rsidR="006D295C" w:rsidRPr="003356C9" w:rsidRDefault="006D295C" w:rsidP="006D295C">
      <w:pPr>
        <w:pStyle w:val="a4"/>
        <w:numPr>
          <w:ilvl w:val="0"/>
          <w:numId w:val="9"/>
        </w:numPr>
        <w:jc w:val="both"/>
      </w:pPr>
      <w:r>
        <w:t>э</w:t>
      </w:r>
      <w:r w:rsidRPr="003356C9">
        <w:t>ндоскопическое</w:t>
      </w:r>
      <w:r>
        <w:t xml:space="preserve"> </w:t>
      </w:r>
      <w:r w:rsidRPr="003356C9">
        <w:t>лигирование (ЭЛ) является рекомендуемым методом гемостаза, при невозможности выполнить можно использовать эндоскопическую склеротерапию(ЭС) (1B; A),</w:t>
      </w:r>
    </w:p>
    <w:p w:rsidR="006D295C" w:rsidRPr="003356C9" w:rsidRDefault="006D295C" w:rsidP="006D295C">
      <w:pPr>
        <w:pStyle w:val="a4"/>
        <w:numPr>
          <w:ilvl w:val="0"/>
          <w:numId w:val="9"/>
        </w:numPr>
        <w:jc w:val="both"/>
      </w:pPr>
      <w:r>
        <w:t>п</w:t>
      </w:r>
      <w:r w:rsidRPr="003356C9">
        <w:t>ри кровотечении из ВРВ желудка используется тканевой</w:t>
      </w:r>
      <w:r>
        <w:t xml:space="preserve"> </w:t>
      </w:r>
      <w:r w:rsidRPr="003356C9">
        <w:t>адгезив (N-butyl-cyanoacrylate) (5; D) [18].</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Алгоритм лечения острого варикозного кровотечения представлен на рис. 4.</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1535" cy="4358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4358005"/>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Рис. </w:t>
      </w:r>
      <w:r>
        <w:rPr>
          <w:rFonts w:ascii="Times New Roman" w:hAnsi="Times New Roman" w:cs="Times New Roman"/>
          <w:sz w:val="24"/>
          <w:szCs w:val="24"/>
        </w:rPr>
        <w:t>4</w:t>
      </w:r>
      <w:r w:rsidRPr="005614C1">
        <w:rPr>
          <w:rFonts w:ascii="Times New Roman" w:hAnsi="Times New Roman" w:cs="Times New Roman"/>
          <w:sz w:val="24"/>
          <w:szCs w:val="24"/>
        </w:rPr>
        <w:t>. Алгоритм лечения острого варикозного кровотечения</w:t>
      </w:r>
    </w:p>
    <w:p w:rsidR="006D295C" w:rsidRDefault="006D295C" w:rsidP="006D295C">
      <w:pPr>
        <w:spacing w:line="240" w:lineRule="auto"/>
        <w:contextualSpacing/>
        <w:jc w:val="both"/>
        <w:rPr>
          <w:rFonts w:ascii="Times New Roman" w:hAnsi="Times New Roman" w:cs="Times New Roman"/>
          <w:sz w:val="24"/>
          <w:szCs w:val="24"/>
        </w:rPr>
      </w:pPr>
    </w:p>
    <w:p w:rsidR="006D295C" w:rsidRPr="001B7FF3" w:rsidRDefault="006D295C" w:rsidP="006D295C">
      <w:pPr>
        <w:spacing w:line="240" w:lineRule="auto"/>
        <w:contextualSpacing/>
        <w:jc w:val="both"/>
        <w:rPr>
          <w:rFonts w:ascii="Times New Roman" w:hAnsi="Times New Roman" w:cs="Times New Roman"/>
          <w:b/>
          <w:sz w:val="24"/>
          <w:szCs w:val="24"/>
        </w:rPr>
      </w:pPr>
      <w:r w:rsidRPr="001B7FF3">
        <w:rPr>
          <w:rFonts w:ascii="Times New Roman" w:hAnsi="Times New Roman" w:cs="Times New Roman"/>
          <w:b/>
          <w:sz w:val="24"/>
          <w:szCs w:val="24"/>
        </w:rPr>
        <w:t>4.1. МЕДИКАМЕНТОЗНОЕ: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соответствии с механизмом снижения портального давления все лекарственные средства можно разделить на 2 основные группы:</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Венозные вазодилятаторы:</w:t>
      </w:r>
    </w:p>
    <w:p w:rsidR="006D295C" w:rsidRPr="004C68CD" w:rsidRDefault="006D295C" w:rsidP="006D295C">
      <w:pPr>
        <w:pStyle w:val="a4"/>
        <w:numPr>
          <w:ilvl w:val="0"/>
          <w:numId w:val="10"/>
        </w:numPr>
        <w:ind w:left="426"/>
        <w:jc w:val="both"/>
      </w:pPr>
      <w:r w:rsidRPr="004C68CD">
        <w:t>Нитроглицерин – периферический вазодилятатор – снижает печеночный венозный градиент на 40-44% (перлинганит, изосорбид5-мононитрат</w:t>
      </w:r>
      <w:r>
        <w:t>)</w:t>
      </w:r>
    </w:p>
    <w:p w:rsidR="006D295C" w:rsidRPr="004C68CD" w:rsidRDefault="006D295C" w:rsidP="006D295C">
      <w:pPr>
        <w:pStyle w:val="a4"/>
        <w:numPr>
          <w:ilvl w:val="0"/>
          <w:numId w:val="10"/>
        </w:numPr>
        <w:ind w:left="426"/>
        <w:jc w:val="both"/>
      </w:pPr>
      <w:r w:rsidRPr="004C68CD">
        <w:t>Нитропруссид натрия (нанипрусс)</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 качестве монотерапии нитраты используются редко и обычно применяются в комбинации с вазопрессином и его аналогами.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Дозировка: 1% - 1,0 р-ра нитроглицерина (1 ампула перлинганита или нанипрусса) на 400 мл раствора Рингера или физиологического раствора внутривенно капельно (10-12 капель в минуту). Включение нитратов в схему лечения возможно только при стабильной гемодинамике (уровень систолического АД более 100 мм рт</w:t>
      </w:r>
      <w:r>
        <w:rPr>
          <w:rFonts w:ascii="Times New Roman" w:hAnsi="Times New Roman" w:cs="Times New Roman"/>
          <w:sz w:val="24"/>
          <w:szCs w:val="24"/>
        </w:rPr>
        <w:t>.</w:t>
      </w:r>
      <w:r w:rsidRPr="005614C1">
        <w:rPr>
          <w:rFonts w:ascii="Times New Roman" w:hAnsi="Times New Roman" w:cs="Times New Roman"/>
          <w:sz w:val="24"/>
          <w:szCs w:val="24"/>
        </w:rPr>
        <w:t>ст</w:t>
      </w:r>
      <w:r>
        <w:rPr>
          <w:rFonts w:ascii="Times New Roman" w:hAnsi="Times New Roman" w:cs="Times New Roman"/>
          <w:sz w:val="24"/>
          <w:szCs w:val="24"/>
        </w:rPr>
        <w:t>.</w:t>
      </w:r>
      <w:r w:rsidRPr="005614C1">
        <w:rPr>
          <w:rFonts w:ascii="Times New Roman" w:hAnsi="Times New Roman" w:cs="Times New Roman"/>
          <w:sz w:val="24"/>
          <w:szCs w:val="24"/>
        </w:rPr>
        <w:t>) и после коррекции гиповолемии[4].</w:t>
      </w:r>
    </w:p>
    <w:p w:rsidR="006D295C" w:rsidRDefault="006D295C" w:rsidP="006D295C">
      <w:pPr>
        <w:spacing w:line="240" w:lineRule="auto"/>
        <w:contextualSpacing/>
        <w:jc w:val="both"/>
        <w:rPr>
          <w:rFonts w:ascii="Times New Roman" w:hAnsi="Times New Roman" w:cs="Times New Roman"/>
          <w:b/>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Вазоконстрикторы:</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 xml:space="preserve">Соматостатин (стиламин, сандостатин, октреотид) – селективная вазоконстрикция внутренних органов, связанная с подавлением активности эндогенных вазодилятаторов (в частности, глюкагон) и секреции соляной кислоты. Портальное давление снижается на 20-25%. </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Октреотид вводится первоначально болюсно в дозе 50-100 мкг, затем переходят на длительную внутривенную инфузию в дозе 25-50 мкг/час в течение 5-7 дней.</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Вазопрессин, глипрессин, терлипрессин (Реместип) – уменьшают артериальный приток в портальную систему, снижая портальное давление на 30-40%.</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8F00E5">
        <w:rPr>
          <w:rFonts w:ascii="Times New Roman" w:hAnsi="Times New Roman" w:cs="Times New Roman"/>
          <w:sz w:val="24"/>
          <w:szCs w:val="24"/>
        </w:rPr>
        <w:t>Ioannou GN, Doust J, Rockey DC.</w:t>
      </w:r>
      <w:r>
        <w:rPr>
          <w:rFonts w:ascii="Times New Roman" w:hAnsi="Times New Roman" w:cs="Times New Roman"/>
          <w:sz w:val="24"/>
          <w:szCs w:val="24"/>
        </w:rPr>
        <w:t>-20</w:t>
      </w:r>
      <w:r w:rsidRPr="002A7F30">
        <w:rPr>
          <w:rFonts w:ascii="Times New Roman" w:hAnsi="Times New Roman" w:cs="Times New Roman"/>
          <w:sz w:val="24"/>
          <w:szCs w:val="24"/>
        </w:rPr>
        <w:t>09</w:t>
      </w:r>
      <w:r w:rsidRPr="005614C1">
        <w:rPr>
          <w:rFonts w:ascii="Times New Roman" w:hAnsi="Times New Roman" w:cs="Times New Roman"/>
          <w:sz w:val="24"/>
          <w:szCs w:val="24"/>
        </w:rPr>
        <w:t>г</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опубликовали</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в</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Кохрейновской</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библиотеке</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мета</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анализ</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эффективности</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терлипрессина</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в</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терапии</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кровотечений</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из</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варикозно</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расширенных</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вен</w:t>
      </w:r>
      <w:r w:rsidRPr="008F00E5">
        <w:rPr>
          <w:rFonts w:ascii="Times New Roman" w:hAnsi="Times New Roman" w:cs="Times New Roman"/>
          <w:sz w:val="24"/>
          <w:szCs w:val="24"/>
        </w:rPr>
        <w:t xml:space="preserve"> </w:t>
      </w:r>
      <w:r w:rsidRPr="005614C1">
        <w:rPr>
          <w:rFonts w:ascii="Times New Roman" w:hAnsi="Times New Roman" w:cs="Times New Roman"/>
          <w:sz w:val="24"/>
          <w:szCs w:val="24"/>
        </w:rPr>
        <w:t>пищевода</w:t>
      </w:r>
      <w:r w:rsidRPr="008F00E5">
        <w:rPr>
          <w:rFonts w:ascii="Times New Roman" w:hAnsi="Times New Roman" w:cs="Times New Roman"/>
          <w:sz w:val="24"/>
          <w:szCs w:val="24"/>
        </w:rPr>
        <w:t xml:space="preserve">. </w:t>
      </w:r>
      <w:r>
        <w:rPr>
          <w:rFonts w:ascii="Times New Roman" w:hAnsi="Times New Roman" w:cs="Times New Roman"/>
          <w:sz w:val="24"/>
          <w:szCs w:val="24"/>
        </w:rPr>
        <w:t>В систематический обзор</w:t>
      </w:r>
      <w:r w:rsidRPr="005614C1">
        <w:rPr>
          <w:rFonts w:ascii="Times New Roman" w:hAnsi="Times New Roman" w:cs="Times New Roman"/>
          <w:sz w:val="24"/>
          <w:szCs w:val="24"/>
        </w:rPr>
        <w:t xml:space="preserve"> были включены 20 клинических исследований с 1609 пациентами. На основании полученных результатов авторы делают вывод,  что из всех вазоактивных препаратов,  терлипрессин является препаратом выбора для лечения острого кровотечения,  поскольку его назначение приводит к снижению на 34 % риска смертельного исхода</w:t>
      </w:r>
      <w:r w:rsidRPr="008F00E5">
        <w:rPr>
          <w:rFonts w:ascii="Times New Roman" w:hAnsi="Times New Roman" w:cs="Times New Roman"/>
          <w:sz w:val="24"/>
          <w:szCs w:val="24"/>
        </w:rPr>
        <w:t xml:space="preserve"> [27</w:t>
      </w:r>
      <w:r w:rsidRPr="00B00923">
        <w:rPr>
          <w:rFonts w:ascii="Times New Roman" w:hAnsi="Times New Roman" w:cs="Times New Roman"/>
          <w:sz w:val="24"/>
          <w:szCs w:val="24"/>
        </w:rPr>
        <w:t>]</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Терлипрессин:</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Снижение портального давления на 30-40%. Эффект достигается в течение 5 минут.</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Повышает А</w:t>
      </w:r>
      <w:r>
        <w:rPr>
          <w:rFonts w:ascii="Times New Roman" w:hAnsi="Times New Roman" w:cs="Times New Roman"/>
          <w:sz w:val="24"/>
          <w:szCs w:val="24"/>
        </w:rPr>
        <w:t>Д на 15-20% и снижает частоту пульса</w:t>
      </w:r>
      <w:r w:rsidRPr="005614C1">
        <w:rPr>
          <w:rFonts w:ascii="Times New Roman" w:hAnsi="Times New Roman" w:cs="Times New Roman"/>
          <w:sz w:val="24"/>
          <w:szCs w:val="24"/>
        </w:rPr>
        <w:t xml:space="preserve"> на 15%.</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Уменьшается число переливаний крови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Остановка кровотечения у больных ЦП в течение 12 часов – 70% (плацебо 30%).</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Рекомендовано вводить пациентам с подозрением на варикозное кровотечение до проведения эндоскопической диагностики.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При невозможности немедленного привлечения квалифицированных специалистов по эндоскопии использование препарата улучшает выживаемость.</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При кровотечениях неясного генеза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Для предупреждения и лечения гепаторенального синдрома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Терлипрессин применяют в начале в виде болюсной инъекции в дозе 2 мг, а затем внутривенно по 1 мг каждые 6 часов (2-5 суток по показаниям) [13, 18, 19, 27, 34].</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Все терапевтические  препараты</w:t>
      </w:r>
      <w:r>
        <w:rPr>
          <w:rFonts w:ascii="Times New Roman" w:hAnsi="Times New Roman" w:cs="Times New Roman"/>
          <w:sz w:val="24"/>
          <w:szCs w:val="24"/>
        </w:rPr>
        <w:t>,</w:t>
      </w:r>
      <w:r w:rsidRPr="005614C1">
        <w:rPr>
          <w:rFonts w:ascii="Times New Roman" w:hAnsi="Times New Roman" w:cs="Times New Roman"/>
          <w:sz w:val="24"/>
          <w:szCs w:val="24"/>
        </w:rPr>
        <w:t xml:space="preserve"> применяемы</w:t>
      </w:r>
      <w:r>
        <w:rPr>
          <w:rFonts w:ascii="Times New Roman" w:hAnsi="Times New Roman" w:cs="Times New Roman"/>
          <w:sz w:val="24"/>
          <w:szCs w:val="24"/>
        </w:rPr>
        <w:t>е</w:t>
      </w:r>
      <w:r w:rsidRPr="005614C1">
        <w:rPr>
          <w:rFonts w:ascii="Times New Roman" w:hAnsi="Times New Roman" w:cs="Times New Roman"/>
          <w:sz w:val="24"/>
          <w:szCs w:val="24"/>
        </w:rPr>
        <w:t xml:space="preserve"> при кровотечениях на фоне портальной гипертензией</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 перечислены в таблице 6.</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right"/>
        <w:rPr>
          <w:rFonts w:ascii="Times New Roman" w:hAnsi="Times New Roman" w:cs="Times New Roman"/>
          <w:sz w:val="24"/>
          <w:szCs w:val="24"/>
        </w:rPr>
      </w:pPr>
      <w:r w:rsidRPr="005614C1">
        <w:rPr>
          <w:rFonts w:ascii="Times New Roman" w:hAnsi="Times New Roman" w:cs="Times New Roman"/>
          <w:sz w:val="24"/>
          <w:szCs w:val="24"/>
        </w:rPr>
        <w:t>Таблица 6</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 xml:space="preserve">Лекарственные препараты, используемые для снижения портального давления </w:t>
      </w:r>
    </w:p>
    <w:p w:rsidR="006D295C" w:rsidRDefault="006D295C" w:rsidP="006D295C">
      <w:pPr>
        <w:spacing w:line="240" w:lineRule="auto"/>
        <w:contextualSpacing/>
        <w:jc w:val="center"/>
        <w:rPr>
          <w:rFonts w:ascii="Times New Roman" w:hAnsi="Times New Roman" w:cs="Times New Roman"/>
          <w:sz w:val="24"/>
          <w:szCs w:val="24"/>
        </w:rPr>
      </w:pPr>
      <w:r w:rsidRPr="005614C1">
        <w:rPr>
          <w:rFonts w:ascii="Times New Roman" w:hAnsi="Times New Roman" w:cs="Times New Roman"/>
          <w:sz w:val="24"/>
          <w:szCs w:val="24"/>
        </w:rPr>
        <w:t>при циррозе</w:t>
      </w:r>
      <w:r>
        <w:rPr>
          <w:rFonts w:ascii="Times New Roman" w:hAnsi="Times New Roman" w:cs="Times New Roman"/>
          <w:sz w:val="24"/>
          <w:szCs w:val="24"/>
        </w:rPr>
        <w:t xml:space="preserve"> печени</w:t>
      </w:r>
      <w:r w:rsidRPr="005614C1">
        <w:rPr>
          <w:rFonts w:ascii="Times New Roman" w:hAnsi="Times New Roman" w:cs="Times New Roman"/>
          <w:sz w:val="24"/>
          <w:szCs w:val="24"/>
        </w:rPr>
        <w:t>, и их дозы</w:t>
      </w:r>
    </w:p>
    <w:p w:rsidR="006D295C" w:rsidRPr="005614C1" w:rsidRDefault="006D295C" w:rsidP="006D295C">
      <w:pPr>
        <w:spacing w:line="240" w:lineRule="auto"/>
        <w:contextualSpacing/>
        <w:jc w:val="center"/>
        <w:rPr>
          <w:rFonts w:ascii="Times New Roman" w:hAnsi="Times New Roman" w:cs="Times New Roman"/>
          <w:sz w:val="24"/>
          <w:szCs w:val="24"/>
        </w:rPr>
      </w:pPr>
    </w:p>
    <w:tbl>
      <w:tblPr>
        <w:tblStyle w:val="a3"/>
        <w:tblW w:w="9696" w:type="dxa"/>
        <w:tblLook w:val="04A0" w:firstRow="1" w:lastRow="0" w:firstColumn="1" w:lastColumn="0" w:noHBand="0" w:noVBand="1"/>
      </w:tblPr>
      <w:tblGrid>
        <w:gridCol w:w="2435"/>
        <w:gridCol w:w="2512"/>
        <w:gridCol w:w="2278"/>
        <w:gridCol w:w="2471"/>
      </w:tblGrid>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Лекарственный препарат</w:t>
            </w:r>
          </w:p>
        </w:tc>
        <w:tc>
          <w:tcPr>
            <w:tcW w:w="2512" w:type="dxa"/>
          </w:tcPr>
          <w:p w:rsidR="006D295C" w:rsidRPr="005614C1" w:rsidRDefault="006D295C" w:rsidP="009F0880">
            <w:pPr>
              <w:contextualSpacing/>
              <w:jc w:val="both"/>
              <w:rPr>
                <w:sz w:val="24"/>
                <w:szCs w:val="24"/>
              </w:rPr>
            </w:pPr>
            <w:r w:rsidRPr="005614C1">
              <w:rPr>
                <w:sz w:val="24"/>
                <w:szCs w:val="24"/>
              </w:rPr>
              <w:t>Способ введения</w:t>
            </w:r>
          </w:p>
        </w:tc>
        <w:tc>
          <w:tcPr>
            <w:tcW w:w="2278" w:type="dxa"/>
          </w:tcPr>
          <w:p w:rsidR="006D295C" w:rsidRPr="005614C1" w:rsidRDefault="006D295C" w:rsidP="009F0880">
            <w:pPr>
              <w:contextualSpacing/>
              <w:jc w:val="both"/>
              <w:rPr>
                <w:sz w:val="24"/>
                <w:szCs w:val="24"/>
              </w:rPr>
            </w:pPr>
            <w:r w:rsidRPr="005614C1">
              <w:rPr>
                <w:sz w:val="24"/>
                <w:szCs w:val="24"/>
              </w:rPr>
              <w:t>Доза</w:t>
            </w:r>
          </w:p>
        </w:tc>
        <w:tc>
          <w:tcPr>
            <w:tcW w:w="2471" w:type="dxa"/>
          </w:tcPr>
          <w:p w:rsidR="006D295C" w:rsidRPr="005614C1" w:rsidRDefault="006D295C" w:rsidP="009F0880">
            <w:pPr>
              <w:contextualSpacing/>
              <w:jc w:val="both"/>
              <w:rPr>
                <w:sz w:val="24"/>
                <w:szCs w:val="24"/>
              </w:rPr>
            </w:pPr>
            <w:r w:rsidRPr="005614C1">
              <w:rPr>
                <w:sz w:val="24"/>
                <w:szCs w:val="24"/>
              </w:rPr>
              <w:t>Длительность применения</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Вазопрессин (ВП) + нитроглицерин (НП)</w:t>
            </w:r>
          </w:p>
        </w:tc>
        <w:tc>
          <w:tcPr>
            <w:tcW w:w="2512" w:type="dxa"/>
          </w:tcPr>
          <w:p w:rsidR="006D295C" w:rsidRPr="005614C1" w:rsidRDefault="006D295C" w:rsidP="009F0880">
            <w:pPr>
              <w:contextualSpacing/>
              <w:rPr>
                <w:sz w:val="24"/>
                <w:szCs w:val="24"/>
              </w:rPr>
            </w:pPr>
            <w:r w:rsidRPr="005614C1">
              <w:rPr>
                <w:sz w:val="24"/>
                <w:szCs w:val="24"/>
              </w:rPr>
              <w:t>ВП: в.в. инфузия</w:t>
            </w:r>
          </w:p>
          <w:p w:rsidR="006D295C" w:rsidRPr="005614C1" w:rsidRDefault="006D295C" w:rsidP="009F0880">
            <w:pPr>
              <w:contextualSpacing/>
              <w:rPr>
                <w:sz w:val="24"/>
                <w:szCs w:val="24"/>
              </w:rPr>
            </w:pPr>
            <w:r w:rsidRPr="005614C1">
              <w:rPr>
                <w:sz w:val="24"/>
                <w:szCs w:val="24"/>
              </w:rPr>
              <w:t>НГ: подкожно</w:t>
            </w:r>
          </w:p>
        </w:tc>
        <w:tc>
          <w:tcPr>
            <w:tcW w:w="2278" w:type="dxa"/>
          </w:tcPr>
          <w:p w:rsidR="006D295C" w:rsidRPr="005614C1" w:rsidRDefault="006D295C" w:rsidP="009F0880">
            <w:pPr>
              <w:contextualSpacing/>
              <w:rPr>
                <w:sz w:val="24"/>
                <w:szCs w:val="24"/>
              </w:rPr>
            </w:pPr>
            <w:r w:rsidRPr="005614C1">
              <w:rPr>
                <w:sz w:val="24"/>
                <w:szCs w:val="24"/>
              </w:rPr>
              <w:t>ВП: 0,4 мкЕ/мин</w:t>
            </w:r>
          </w:p>
          <w:p w:rsidR="006D295C" w:rsidRPr="005614C1" w:rsidRDefault="006D295C" w:rsidP="009F0880">
            <w:pPr>
              <w:contextualSpacing/>
              <w:rPr>
                <w:sz w:val="24"/>
                <w:szCs w:val="24"/>
              </w:rPr>
            </w:pPr>
            <w:r w:rsidRPr="005614C1">
              <w:rPr>
                <w:sz w:val="24"/>
                <w:szCs w:val="24"/>
              </w:rPr>
              <w:t>НГ: 20 мг</w:t>
            </w:r>
          </w:p>
        </w:tc>
        <w:tc>
          <w:tcPr>
            <w:tcW w:w="2471" w:type="dxa"/>
          </w:tcPr>
          <w:p w:rsidR="006D295C" w:rsidRPr="005614C1" w:rsidRDefault="006D295C" w:rsidP="009F0880">
            <w:pPr>
              <w:contextualSpacing/>
              <w:rPr>
                <w:sz w:val="24"/>
                <w:szCs w:val="24"/>
              </w:rPr>
            </w:pPr>
            <w:r w:rsidRPr="005614C1">
              <w:rPr>
                <w:sz w:val="24"/>
                <w:szCs w:val="24"/>
              </w:rPr>
              <w:t>2-5 дней (острое кровотечение)</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Терлипрессин</w:t>
            </w:r>
          </w:p>
        </w:tc>
        <w:tc>
          <w:tcPr>
            <w:tcW w:w="2512" w:type="dxa"/>
          </w:tcPr>
          <w:p w:rsidR="006D295C" w:rsidRPr="005614C1" w:rsidRDefault="006D295C" w:rsidP="009F0880">
            <w:pPr>
              <w:contextualSpacing/>
              <w:rPr>
                <w:sz w:val="24"/>
                <w:szCs w:val="24"/>
              </w:rPr>
            </w:pPr>
            <w:r w:rsidRPr="005614C1">
              <w:rPr>
                <w:sz w:val="24"/>
                <w:szCs w:val="24"/>
              </w:rPr>
              <w:t>в.в. болюсная инъекция</w:t>
            </w:r>
          </w:p>
        </w:tc>
        <w:tc>
          <w:tcPr>
            <w:tcW w:w="2278" w:type="dxa"/>
          </w:tcPr>
          <w:p w:rsidR="006D295C" w:rsidRPr="005614C1" w:rsidRDefault="006D295C" w:rsidP="009F0880">
            <w:pPr>
              <w:contextualSpacing/>
              <w:rPr>
                <w:sz w:val="24"/>
                <w:szCs w:val="24"/>
              </w:rPr>
            </w:pPr>
            <w:r w:rsidRPr="005614C1">
              <w:rPr>
                <w:sz w:val="24"/>
                <w:szCs w:val="24"/>
              </w:rPr>
              <w:t>2 мг/4 ч втечение 24-48 ч, затем 1 мг/4 ч</w:t>
            </w:r>
          </w:p>
        </w:tc>
        <w:tc>
          <w:tcPr>
            <w:tcW w:w="2471" w:type="dxa"/>
          </w:tcPr>
          <w:p w:rsidR="006D295C" w:rsidRPr="005614C1" w:rsidRDefault="006D295C" w:rsidP="009F0880">
            <w:pPr>
              <w:contextualSpacing/>
              <w:rPr>
                <w:sz w:val="24"/>
                <w:szCs w:val="24"/>
              </w:rPr>
            </w:pPr>
            <w:r w:rsidRPr="005614C1">
              <w:rPr>
                <w:sz w:val="24"/>
                <w:szCs w:val="24"/>
              </w:rPr>
              <w:t>2-5 дней (острое кровотечение)</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Соматостатин</w:t>
            </w:r>
          </w:p>
        </w:tc>
        <w:tc>
          <w:tcPr>
            <w:tcW w:w="2512" w:type="dxa"/>
          </w:tcPr>
          <w:p w:rsidR="006D295C" w:rsidRPr="005614C1" w:rsidRDefault="006D295C" w:rsidP="009F0880">
            <w:pPr>
              <w:contextualSpacing/>
              <w:rPr>
                <w:sz w:val="24"/>
                <w:szCs w:val="24"/>
              </w:rPr>
            </w:pPr>
            <w:r w:rsidRPr="005614C1">
              <w:rPr>
                <w:sz w:val="24"/>
                <w:szCs w:val="24"/>
              </w:rPr>
              <w:t>в.в. болюсная инъекция, затем в.в. инфузия</w:t>
            </w:r>
          </w:p>
        </w:tc>
        <w:tc>
          <w:tcPr>
            <w:tcW w:w="2278" w:type="dxa"/>
          </w:tcPr>
          <w:p w:rsidR="006D295C" w:rsidRPr="005614C1" w:rsidRDefault="006D295C" w:rsidP="009F0880">
            <w:pPr>
              <w:contextualSpacing/>
              <w:rPr>
                <w:sz w:val="24"/>
                <w:szCs w:val="24"/>
              </w:rPr>
            </w:pPr>
            <w:r w:rsidRPr="005614C1">
              <w:rPr>
                <w:sz w:val="24"/>
                <w:szCs w:val="24"/>
              </w:rPr>
              <w:t>250 мкг, затем 250-500 мкг/ч</w:t>
            </w:r>
          </w:p>
        </w:tc>
        <w:tc>
          <w:tcPr>
            <w:tcW w:w="2471" w:type="dxa"/>
          </w:tcPr>
          <w:p w:rsidR="006D295C" w:rsidRPr="005614C1" w:rsidRDefault="006D295C" w:rsidP="009F0880">
            <w:pPr>
              <w:contextualSpacing/>
              <w:rPr>
                <w:sz w:val="24"/>
                <w:szCs w:val="24"/>
              </w:rPr>
            </w:pPr>
            <w:r w:rsidRPr="005614C1">
              <w:rPr>
                <w:sz w:val="24"/>
                <w:szCs w:val="24"/>
              </w:rPr>
              <w:t>2-5 дней (острое кровотечение)</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lastRenderedPageBreak/>
              <w:t>Остреотид</w:t>
            </w:r>
          </w:p>
        </w:tc>
        <w:tc>
          <w:tcPr>
            <w:tcW w:w="2512" w:type="dxa"/>
          </w:tcPr>
          <w:p w:rsidR="006D295C" w:rsidRPr="005614C1" w:rsidRDefault="006D295C" w:rsidP="009F0880">
            <w:pPr>
              <w:contextualSpacing/>
              <w:rPr>
                <w:sz w:val="24"/>
                <w:szCs w:val="24"/>
              </w:rPr>
            </w:pPr>
            <w:r w:rsidRPr="005614C1">
              <w:rPr>
                <w:sz w:val="24"/>
                <w:szCs w:val="24"/>
              </w:rPr>
              <w:t>в.в. болюсная инъекция, затем в.в. инфузия</w:t>
            </w:r>
          </w:p>
        </w:tc>
        <w:tc>
          <w:tcPr>
            <w:tcW w:w="2278" w:type="dxa"/>
          </w:tcPr>
          <w:p w:rsidR="006D295C" w:rsidRPr="005614C1" w:rsidRDefault="006D295C" w:rsidP="009F0880">
            <w:pPr>
              <w:contextualSpacing/>
              <w:rPr>
                <w:sz w:val="24"/>
                <w:szCs w:val="24"/>
              </w:rPr>
            </w:pPr>
            <w:r w:rsidRPr="005614C1">
              <w:rPr>
                <w:sz w:val="24"/>
                <w:szCs w:val="24"/>
              </w:rPr>
              <w:t>50 мкг, затем 50 мкг/ч</w:t>
            </w:r>
          </w:p>
        </w:tc>
        <w:tc>
          <w:tcPr>
            <w:tcW w:w="2471" w:type="dxa"/>
          </w:tcPr>
          <w:p w:rsidR="006D295C" w:rsidRPr="005614C1" w:rsidRDefault="006D295C" w:rsidP="009F0880">
            <w:pPr>
              <w:contextualSpacing/>
              <w:rPr>
                <w:sz w:val="24"/>
                <w:szCs w:val="24"/>
              </w:rPr>
            </w:pPr>
            <w:r w:rsidRPr="005614C1">
              <w:rPr>
                <w:sz w:val="24"/>
                <w:szCs w:val="24"/>
              </w:rPr>
              <w:t>2-5 дней (острое кровотечение)</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Пропранолол (неселективный ББ)</w:t>
            </w:r>
          </w:p>
        </w:tc>
        <w:tc>
          <w:tcPr>
            <w:tcW w:w="2512" w:type="dxa"/>
          </w:tcPr>
          <w:p w:rsidR="006D295C" w:rsidRPr="005614C1" w:rsidRDefault="006D295C" w:rsidP="009F0880">
            <w:pPr>
              <w:contextualSpacing/>
              <w:jc w:val="both"/>
              <w:rPr>
                <w:sz w:val="24"/>
                <w:szCs w:val="24"/>
              </w:rPr>
            </w:pPr>
            <w:r w:rsidRPr="005614C1">
              <w:rPr>
                <w:sz w:val="24"/>
                <w:szCs w:val="24"/>
              </w:rPr>
              <w:t>Перорально</w:t>
            </w:r>
          </w:p>
        </w:tc>
        <w:tc>
          <w:tcPr>
            <w:tcW w:w="2278" w:type="dxa"/>
          </w:tcPr>
          <w:p w:rsidR="006D295C" w:rsidRPr="005614C1" w:rsidRDefault="006D295C" w:rsidP="009F0880">
            <w:pPr>
              <w:contextualSpacing/>
              <w:rPr>
                <w:sz w:val="24"/>
                <w:szCs w:val="24"/>
              </w:rPr>
            </w:pPr>
            <w:r w:rsidRPr="005614C1">
              <w:rPr>
                <w:sz w:val="24"/>
                <w:szCs w:val="24"/>
              </w:rPr>
              <w:t>20 мг два раза в день; увеличение дозы до максимально переносимой (максимально 320 мг/день)</w:t>
            </w:r>
          </w:p>
        </w:tc>
        <w:tc>
          <w:tcPr>
            <w:tcW w:w="2471" w:type="dxa"/>
          </w:tcPr>
          <w:p w:rsidR="006D295C" w:rsidRPr="005614C1" w:rsidRDefault="006D295C" w:rsidP="009F0880">
            <w:pPr>
              <w:contextualSpacing/>
              <w:rPr>
                <w:sz w:val="24"/>
                <w:szCs w:val="24"/>
              </w:rPr>
            </w:pPr>
            <w:r w:rsidRPr="005614C1">
              <w:rPr>
                <w:sz w:val="24"/>
                <w:szCs w:val="24"/>
              </w:rPr>
              <w:t>Постоянно (первичная и вторичная профилактика)</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Надолол (неселективный ББ)</w:t>
            </w:r>
          </w:p>
        </w:tc>
        <w:tc>
          <w:tcPr>
            <w:tcW w:w="2512" w:type="dxa"/>
          </w:tcPr>
          <w:p w:rsidR="006D295C" w:rsidRPr="005614C1" w:rsidRDefault="006D295C" w:rsidP="009F0880">
            <w:pPr>
              <w:contextualSpacing/>
              <w:jc w:val="both"/>
              <w:rPr>
                <w:sz w:val="24"/>
                <w:szCs w:val="24"/>
              </w:rPr>
            </w:pPr>
            <w:r w:rsidRPr="005614C1">
              <w:rPr>
                <w:sz w:val="24"/>
                <w:szCs w:val="24"/>
              </w:rPr>
              <w:t>Перорально</w:t>
            </w:r>
          </w:p>
        </w:tc>
        <w:tc>
          <w:tcPr>
            <w:tcW w:w="2278" w:type="dxa"/>
          </w:tcPr>
          <w:p w:rsidR="006D295C" w:rsidRPr="005614C1" w:rsidRDefault="006D295C" w:rsidP="009F0880">
            <w:pPr>
              <w:contextualSpacing/>
              <w:rPr>
                <w:sz w:val="24"/>
                <w:szCs w:val="24"/>
              </w:rPr>
            </w:pPr>
            <w:r w:rsidRPr="005614C1">
              <w:rPr>
                <w:sz w:val="24"/>
                <w:szCs w:val="24"/>
              </w:rPr>
              <w:t>40 мг два раза в день; увеличение дозы до максимально переносимой (максимально 160 мг/день)</w:t>
            </w:r>
          </w:p>
        </w:tc>
        <w:tc>
          <w:tcPr>
            <w:tcW w:w="2471" w:type="dxa"/>
          </w:tcPr>
          <w:p w:rsidR="006D295C" w:rsidRPr="005614C1" w:rsidRDefault="006D295C" w:rsidP="009F0880">
            <w:pPr>
              <w:contextualSpacing/>
              <w:rPr>
                <w:sz w:val="24"/>
                <w:szCs w:val="24"/>
              </w:rPr>
            </w:pPr>
            <w:r w:rsidRPr="005614C1">
              <w:rPr>
                <w:sz w:val="24"/>
                <w:szCs w:val="24"/>
              </w:rPr>
              <w:t>Постоянно (первичная и вторичная профилактика)</w:t>
            </w:r>
          </w:p>
        </w:tc>
      </w:tr>
      <w:tr w:rsidR="006D295C" w:rsidRPr="005614C1" w:rsidTr="009F0880">
        <w:trPr>
          <w:trHeight w:val="1980"/>
        </w:trPr>
        <w:tc>
          <w:tcPr>
            <w:tcW w:w="2435" w:type="dxa"/>
          </w:tcPr>
          <w:p w:rsidR="006D295C" w:rsidRPr="005614C1" w:rsidRDefault="006D295C" w:rsidP="009F0880">
            <w:pPr>
              <w:contextualSpacing/>
              <w:jc w:val="both"/>
              <w:rPr>
                <w:sz w:val="24"/>
                <w:szCs w:val="24"/>
              </w:rPr>
            </w:pPr>
            <w:r w:rsidRPr="005614C1">
              <w:rPr>
                <w:sz w:val="24"/>
                <w:szCs w:val="24"/>
              </w:rPr>
              <w:t>Карведилол (неселективный ББ с действием альфа-блокатора)</w:t>
            </w:r>
          </w:p>
        </w:tc>
        <w:tc>
          <w:tcPr>
            <w:tcW w:w="2512" w:type="dxa"/>
          </w:tcPr>
          <w:p w:rsidR="006D295C" w:rsidRPr="005614C1" w:rsidRDefault="006D295C" w:rsidP="009F0880">
            <w:pPr>
              <w:contextualSpacing/>
              <w:jc w:val="both"/>
              <w:rPr>
                <w:sz w:val="24"/>
                <w:szCs w:val="24"/>
              </w:rPr>
            </w:pPr>
            <w:r w:rsidRPr="005614C1">
              <w:rPr>
                <w:sz w:val="24"/>
                <w:szCs w:val="24"/>
              </w:rPr>
              <w:t>Перорально</w:t>
            </w:r>
          </w:p>
        </w:tc>
        <w:tc>
          <w:tcPr>
            <w:tcW w:w="2278" w:type="dxa"/>
          </w:tcPr>
          <w:p w:rsidR="006D295C" w:rsidRPr="005614C1" w:rsidRDefault="006D295C" w:rsidP="009F0880">
            <w:pPr>
              <w:contextualSpacing/>
              <w:rPr>
                <w:sz w:val="24"/>
                <w:szCs w:val="24"/>
              </w:rPr>
            </w:pPr>
            <w:r w:rsidRPr="005614C1">
              <w:rPr>
                <w:sz w:val="24"/>
                <w:szCs w:val="24"/>
              </w:rPr>
              <w:t>6.25 мг два раза в день; увеличение дозы до максимально переносимой (максимально 50 мг/день)</w:t>
            </w:r>
          </w:p>
        </w:tc>
        <w:tc>
          <w:tcPr>
            <w:tcW w:w="2471" w:type="dxa"/>
          </w:tcPr>
          <w:p w:rsidR="006D295C" w:rsidRPr="005614C1" w:rsidRDefault="006D295C" w:rsidP="009F0880">
            <w:pPr>
              <w:contextualSpacing/>
              <w:rPr>
                <w:sz w:val="24"/>
                <w:szCs w:val="24"/>
              </w:rPr>
            </w:pPr>
            <w:r w:rsidRPr="005614C1">
              <w:rPr>
                <w:sz w:val="24"/>
                <w:szCs w:val="24"/>
              </w:rPr>
              <w:t>Постоянно (первичная и вторичная профилактика)</w:t>
            </w:r>
          </w:p>
        </w:tc>
      </w:tr>
      <w:tr w:rsidR="006D295C" w:rsidRPr="005614C1" w:rsidTr="009F0880">
        <w:tc>
          <w:tcPr>
            <w:tcW w:w="2435" w:type="dxa"/>
          </w:tcPr>
          <w:p w:rsidR="006D295C" w:rsidRPr="005614C1" w:rsidRDefault="006D295C" w:rsidP="009F0880">
            <w:pPr>
              <w:contextualSpacing/>
              <w:jc w:val="both"/>
              <w:rPr>
                <w:sz w:val="24"/>
                <w:szCs w:val="24"/>
              </w:rPr>
            </w:pPr>
            <w:r w:rsidRPr="005614C1">
              <w:rPr>
                <w:sz w:val="24"/>
                <w:szCs w:val="24"/>
              </w:rPr>
              <w:t>Изосорбид</w:t>
            </w:r>
            <w:r>
              <w:rPr>
                <w:sz w:val="24"/>
                <w:szCs w:val="24"/>
              </w:rPr>
              <w:t xml:space="preserve"> </w:t>
            </w:r>
            <w:r w:rsidRPr="005614C1">
              <w:rPr>
                <w:sz w:val="24"/>
                <w:szCs w:val="24"/>
              </w:rPr>
              <w:t>мононитрат</w:t>
            </w:r>
          </w:p>
        </w:tc>
        <w:tc>
          <w:tcPr>
            <w:tcW w:w="2512" w:type="dxa"/>
          </w:tcPr>
          <w:p w:rsidR="006D295C" w:rsidRPr="005614C1" w:rsidRDefault="006D295C" w:rsidP="009F0880">
            <w:pPr>
              <w:contextualSpacing/>
              <w:jc w:val="both"/>
              <w:rPr>
                <w:sz w:val="24"/>
                <w:szCs w:val="24"/>
              </w:rPr>
            </w:pPr>
            <w:r w:rsidRPr="005614C1">
              <w:rPr>
                <w:sz w:val="24"/>
                <w:szCs w:val="24"/>
              </w:rPr>
              <w:t>Перорально</w:t>
            </w:r>
          </w:p>
        </w:tc>
        <w:tc>
          <w:tcPr>
            <w:tcW w:w="2278" w:type="dxa"/>
          </w:tcPr>
          <w:p w:rsidR="006D295C" w:rsidRPr="005614C1" w:rsidRDefault="006D295C" w:rsidP="009F0880">
            <w:pPr>
              <w:contextualSpacing/>
              <w:rPr>
                <w:sz w:val="24"/>
                <w:szCs w:val="24"/>
              </w:rPr>
            </w:pPr>
            <w:r w:rsidRPr="005614C1">
              <w:rPr>
                <w:sz w:val="24"/>
                <w:szCs w:val="24"/>
              </w:rPr>
              <w:t>10-20 мг два раза в день; увеличение до 20-40 два раза в день при переносимости</w:t>
            </w:r>
          </w:p>
        </w:tc>
        <w:tc>
          <w:tcPr>
            <w:tcW w:w="2471" w:type="dxa"/>
          </w:tcPr>
          <w:p w:rsidR="006D295C" w:rsidRPr="005614C1" w:rsidRDefault="006D295C" w:rsidP="009F0880">
            <w:pPr>
              <w:contextualSpacing/>
              <w:rPr>
                <w:sz w:val="24"/>
                <w:szCs w:val="24"/>
              </w:rPr>
            </w:pPr>
            <w:r w:rsidRPr="005614C1">
              <w:rPr>
                <w:sz w:val="24"/>
                <w:szCs w:val="24"/>
              </w:rPr>
              <w:t>Постоянно, только в сочетании с ББ (первичная и вторичная профилактика)</w:t>
            </w:r>
          </w:p>
        </w:tc>
      </w:tr>
    </w:tbl>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 комплекс медикаментозной терапии необходимо включать гепатопротекторы (адеметионин).  </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4.2. Применение зонда-обтуратора Сенгстакена-Блекмора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После постановки диагноза «кровотечение из ВРВ пищевода или желудка» и извлечения эндоскопа незамедлительно вводят зонд-обтуратор Сенгстакена-Блекмора и раздуваются манжетки, чем достигается надежный гемостаз (рис. 5).</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lastRenderedPageBreak/>
        <w:drawing>
          <wp:inline distT="0" distB="0" distL="0" distR="0">
            <wp:extent cx="2642839" cy="3389971"/>
            <wp:effectExtent l="0" t="0" r="0" b="0"/>
            <wp:docPr id="6" name="Рисунок 4" descr="Зонд3"/>
            <wp:cNvGraphicFramePr/>
            <a:graphic xmlns:a="http://schemas.openxmlformats.org/drawingml/2006/main">
              <a:graphicData uri="http://schemas.openxmlformats.org/drawingml/2006/picture">
                <pic:pic xmlns:pic="http://schemas.openxmlformats.org/drawingml/2006/picture">
                  <pic:nvPicPr>
                    <pic:cNvPr id="33830" name="Picture 38" descr="Зонд3"/>
                    <pic:cNvPicPr>
                      <a:picLocks noChangeAspect="1" noChangeArrowheads="1"/>
                    </pic:cNvPicPr>
                  </pic:nvPicPr>
                  <pic:blipFill>
                    <a:blip r:embed="rId12" cstate="print">
                      <a:clrChange>
                        <a:clrFrom>
                          <a:srgbClr val="C6E29E"/>
                        </a:clrFrom>
                        <a:clrTo>
                          <a:srgbClr val="C6E29E">
                            <a:alpha val="0"/>
                          </a:srgbClr>
                        </a:clrTo>
                      </a:clrChange>
                    </a:blip>
                    <a:srcRect/>
                    <a:stretch>
                      <a:fillRect/>
                    </a:stretch>
                  </pic:blipFill>
                  <pic:spPr bwMode="auto">
                    <a:xfrm>
                      <a:off x="0" y="0"/>
                      <a:ext cx="2641556" cy="3388325"/>
                    </a:xfrm>
                    <a:prstGeom prst="rect">
                      <a:avLst/>
                    </a:prstGeom>
                    <a:noFill/>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5. Схема расположения зонда.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Необходимо помнить, что введение зонда и пребывание его в носоглотке в течение многих часов - тяжело переносимая больным процедура, поэтому перед его введением обязательным условием является премедикация (1,0 мл 2 % раствора промедола).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Зонд-обтуратор вводят через носовой ход, заводя желудочный баллон глубоко в желудок, предварительно замерив, расстояние от мочки уха до эпигастрия, что служит ориентиром правильного расположения зонда-обтуратора в пищеводе и желудке. Затем, при помощи градуированного шприца, присоединенного к катетеру желудочного баллона, в последний вводят воздух в количестве 150 см3 (только не воду!) и катетер перекрывают зажимом. Зонд подтягивают до ощущения упругого сопротивления, чем и достигают сдавление вен в зоне кардии. После э</w:t>
      </w:r>
      <w:r>
        <w:rPr>
          <w:rFonts w:ascii="Times New Roman" w:hAnsi="Times New Roman" w:cs="Times New Roman"/>
          <w:sz w:val="24"/>
          <w:szCs w:val="24"/>
        </w:rPr>
        <w:t>того зонд фиксируют к носогубному треугольнику</w:t>
      </w:r>
      <w:r w:rsidRPr="005614C1">
        <w:rPr>
          <w:rFonts w:ascii="Times New Roman" w:hAnsi="Times New Roman" w:cs="Times New Roman"/>
          <w:sz w:val="24"/>
          <w:szCs w:val="24"/>
        </w:rPr>
        <w:t xml:space="preserve"> липким пластырем.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Пищеводный баллон раздувают редко и только в том случае, если продолжается срыгивание кровью, в противном случае, достаточно раздувание только желудочного баллона. Воздух в пищеводный баллон вводят небольшими порциями, первоначально 60 см3, в последующем, - по 10-15 см3 с интервалом в 3-5 минут. Соблюдение этих условий необходимо для того, чтобы дать возможность органам средостения адаптироваться к их смещению раздутым баллоном. Общее количество нагнетаемого воздуха в пищеводном баллоне доводят обычно до 80-100 см3 в зависимости от выраженности дилатации пищевода и переносимости пациентом давления баллона на средостение.</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После того, как зонд установлен, а</w:t>
      </w:r>
      <w:r>
        <w:rPr>
          <w:rFonts w:ascii="Times New Roman" w:hAnsi="Times New Roman" w:cs="Times New Roman"/>
          <w:sz w:val="24"/>
          <w:szCs w:val="24"/>
        </w:rPr>
        <w:t>спирируют желудочное содержимое</w:t>
      </w:r>
      <w:r w:rsidRPr="005614C1">
        <w:rPr>
          <w:rFonts w:ascii="Times New Roman" w:hAnsi="Times New Roman" w:cs="Times New Roman"/>
          <w:sz w:val="24"/>
          <w:szCs w:val="24"/>
        </w:rPr>
        <w:t xml:space="preserve"> и промывают желудок холодной водой.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Контроль за кровотечением осуществляется путем динамического наблюдения за желудочным содержимым, поступающим по зонду после тщательного промывания желудка.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Во избежание пролежней на слизистой оболочке пищевода через 4 часа пищеводный баллон распускают и, если в этот момент в желудочном содержимом примесь крови не появляется, то пищеводную манжетку оставляют спущенной. Желудочную манжетку распускают позже, спустя 1,5-2 часа. У больных с удовлетворительной функцией печени зонд должен находиться в желудке еще в течение 12 часов для контроля за желудочным содержимым, а затем - удаляться. После удаления </w:t>
      </w:r>
      <w:r>
        <w:rPr>
          <w:rFonts w:ascii="Times New Roman" w:hAnsi="Times New Roman" w:cs="Times New Roman"/>
          <w:sz w:val="24"/>
          <w:szCs w:val="24"/>
        </w:rPr>
        <w:lastRenderedPageBreak/>
        <w:t>зонда-</w:t>
      </w:r>
      <w:r w:rsidRPr="005614C1">
        <w:rPr>
          <w:rFonts w:ascii="Times New Roman" w:hAnsi="Times New Roman" w:cs="Times New Roman"/>
          <w:sz w:val="24"/>
          <w:szCs w:val="24"/>
        </w:rPr>
        <w:t>обтуратора необходимо сразу рассмотреть вопрос о выполнении одного из вариантов эндоскопического гемостаза.</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случае рецидива кровотечения зонд-обтуратор должен быть введен вновь, баллоны раздуты, а больному ЦП (группа А и В) или ВПГ предложена операция или эндоскопический гемостаз, ибо возможности консервативной терапии следует считать исчерпанными [3, 18].</w:t>
      </w:r>
    </w:p>
    <w:p w:rsidR="006D295C"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4.3.Применение эндоскопического гемостаза при кровотечении из ВРВ пищевода и желудка:</w:t>
      </w:r>
    </w:p>
    <w:p w:rsidR="006D295C" w:rsidRPr="00F65475" w:rsidRDefault="006D295C" w:rsidP="006D295C">
      <w:pPr>
        <w:pStyle w:val="a4"/>
        <w:numPr>
          <w:ilvl w:val="0"/>
          <w:numId w:val="4"/>
        </w:numPr>
        <w:jc w:val="both"/>
      </w:pPr>
      <w:r w:rsidRPr="00F65475">
        <w:t xml:space="preserve">лигирование; </w:t>
      </w:r>
    </w:p>
    <w:p w:rsidR="006D295C" w:rsidRPr="00F65475" w:rsidRDefault="006D295C" w:rsidP="006D295C">
      <w:pPr>
        <w:pStyle w:val="a4"/>
        <w:numPr>
          <w:ilvl w:val="0"/>
          <w:numId w:val="4"/>
        </w:numPr>
        <w:jc w:val="both"/>
      </w:pPr>
      <w:r w:rsidRPr="00F65475">
        <w:t>склеротерапия;</w:t>
      </w:r>
    </w:p>
    <w:p w:rsidR="006D295C" w:rsidRPr="00F65475" w:rsidRDefault="006D295C" w:rsidP="006D295C">
      <w:pPr>
        <w:pStyle w:val="a4"/>
        <w:numPr>
          <w:ilvl w:val="0"/>
          <w:numId w:val="4"/>
        </w:numPr>
        <w:jc w:val="both"/>
      </w:pPr>
      <w:r w:rsidRPr="00F65475">
        <w:t>клеевые композиции;</w:t>
      </w:r>
    </w:p>
    <w:p w:rsidR="006D295C" w:rsidRPr="00F65475" w:rsidRDefault="006D295C" w:rsidP="006D295C">
      <w:pPr>
        <w:pStyle w:val="a4"/>
        <w:numPr>
          <w:ilvl w:val="0"/>
          <w:numId w:val="4"/>
        </w:numPr>
        <w:jc w:val="both"/>
      </w:pPr>
      <w:r w:rsidRPr="00F65475">
        <w:t>стентирование</w:t>
      </w:r>
      <w:r>
        <w:t xml:space="preserve"> </w:t>
      </w:r>
      <w:r w:rsidRPr="00F65475">
        <w:t>пищевода</w:t>
      </w:r>
      <w: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4.3.1. Эндоскопическое</w:t>
      </w:r>
      <w:r>
        <w:rPr>
          <w:rFonts w:ascii="Times New Roman" w:hAnsi="Times New Roman" w:cs="Times New Roman"/>
          <w:b/>
          <w:sz w:val="24"/>
          <w:szCs w:val="24"/>
        </w:rPr>
        <w:t xml:space="preserve"> </w:t>
      </w:r>
      <w:r w:rsidRPr="00F65475">
        <w:rPr>
          <w:rFonts w:ascii="Times New Roman" w:hAnsi="Times New Roman" w:cs="Times New Roman"/>
          <w:b/>
          <w:sz w:val="24"/>
          <w:szCs w:val="24"/>
        </w:rPr>
        <w:t>лигирование ВРВ пищевода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Для выполнения эндоскопического лигирования ВРВ пищевода используется устройство Z.A. Saeed с набором из 6 -10 латексных колец (рис 6) [1, 5, 26].</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drawing>
          <wp:inline distT="0" distB="0" distL="0" distR="0">
            <wp:extent cx="3371805" cy="2995336"/>
            <wp:effectExtent l="57150" t="38100" r="95295" b="71714"/>
            <wp:docPr id="4" name="Рисунок 1" descr="8"/>
            <wp:cNvGraphicFramePr/>
            <a:graphic xmlns:a="http://schemas.openxmlformats.org/drawingml/2006/main">
              <a:graphicData uri="http://schemas.openxmlformats.org/drawingml/2006/picture">
                <pic:pic xmlns:pic="http://schemas.openxmlformats.org/drawingml/2006/picture">
                  <pic:nvPicPr>
                    <pic:cNvPr id="98310" name="Picture 6" descr="8"/>
                    <pic:cNvPicPr>
                      <a:picLocks noGrp="1" noChangeAspect="1" noChangeArrowheads="1"/>
                    </pic:cNvPicPr>
                  </pic:nvPicPr>
                  <pic:blipFill>
                    <a:blip r:embed="rId13" cstate="print"/>
                    <a:srcRect/>
                    <a:stretch>
                      <a:fillRect/>
                    </a:stretch>
                  </pic:blipFill>
                  <pic:spPr bwMode="auto">
                    <a:xfrm>
                      <a:off x="0" y="0"/>
                      <a:ext cx="3373142" cy="2996524"/>
                    </a:xfrm>
                    <a:prstGeom prst="rect">
                      <a:avLst/>
                    </a:prstGeom>
                    <a:noFill/>
                    <a:ln w="38100">
                      <a:solidFill>
                        <a:srgbClr val="FF0000"/>
                      </a:solidFill>
                      <a:miter lim="800000"/>
                      <a:headEnd/>
                      <a:tailEnd/>
                    </a:ln>
                    <a:effectLst>
                      <a:outerShdw dist="71842" dir="2700000" algn="ctr" rotWithShape="0">
                        <a:schemeClr val="tx2"/>
                      </a:outerShdw>
                    </a:effectLst>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6. Многозарядный эндоскопический лигатор фирмы Wilson-Cook.</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Показания и особенности эндоскопического лигирования:</w:t>
      </w:r>
    </w:p>
    <w:p w:rsidR="006D295C" w:rsidRPr="002B6C25" w:rsidRDefault="006D295C" w:rsidP="006D295C">
      <w:pPr>
        <w:pStyle w:val="a4"/>
        <w:numPr>
          <w:ilvl w:val="0"/>
          <w:numId w:val="11"/>
        </w:numPr>
        <w:jc w:val="both"/>
      </w:pPr>
      <w:r w:rsidRPr="002B6C25">
        <w:t>профилактика первого эпизода кровотечения (первичная профилактика)</w:t>
      </w:r>
      <w:r>
        <w:t>;</w:t>
      </w:r>
    </w:p>
    <w:p w:rsidR="006D295C" w:rsidRPr="002B6C25" w:rsidRDefault="006D295C" w:rsidP="006D295C">
      <w:pPr>
        <w:pStyle w:val="a4"/>
        <w:numPr>
          <w:ilvl w:val="0"/>
          <w:numId w:val="11"/>
        </w:numPr>
        <w:jc w:val="both"/>
      </w:pPr>
      <w:r w:rsidRPr="002B6C25">
        <w:t>профилактика рецидива кровотечения (вторичная профилактика) из варикозно расширенных вен пищевода у больных с портальной гипертензией при невозможности хирургического лечения;</w:t>
      </w:r>
    </w:p>
    <w:p w:rsidR="006D295C" w:rsidRPr="002B6C25" w:rsidRDefault="006D295C" w:rsidP="006D295C">
      <w:pPr>
        <w:pStyle w:val="a4"/>
        <w:numPr>
          <w:ilvl w:val="0"/>
          <w:numId w:val="11"/>
        </w:numPr>
        <w:jc w:val="both"/>
      </w:pPr>
      <w:r w:rsidRPr="002B6C25">
        <w:t>при наличии ВРВ пищевода у ранее оперированных больных или после   эндоскопического склерозирования вен кардиального отдела желудка</w:t>
      </w:r>
    </w:p>
    <w:p w:rsidR="006D295C" w:rsidRPr="002B6C25" w:rsidRDefault="006D295C" w:rsidP="006D295C">
      <w:pPr>
        <w:pStyle w:val="a4"/>
        <w:numPr>
          <w:ilvl w:val="0"/>
          <w:numId w:val="11"/>
        </w:numPr>
        <w:jc w:val="both"/>
      </w:pPr>
      <w:r w:rsidRPr="002B6C25">
        <w:t>невозможность лигирования вен фундального отдела желудка;</w:t>
      </w:r>
    </w:p>
    <w:p w:rsidR="006D295C" w:rsidRPr="002B6C25" w:rsidRDefault="006D295C" w:rsidP="006D295C">
      <w:pPr>
        <w:pStyle w:val="a4"/>
        <w:numPr>
          <w:ilvl w:val="0"/>
          <w:numId w:val="11"/>
        </w:numPr>
        <w:jc w:val="both"/>
      </w:pPr>
      <w:r w:rsidRPr="002B6C25">
        <w:t>опасность эндоскопического</w:t>
      </w:r>
      <w:r>
        <w:t xml:space="preserve"> </w:t>
      </w:r>
      <w:r w:rsidRPr="002B6C25">
        <w:t>лигирования при профузном кровотечении;</w:t>
      </w:r>
    </w:p>
    <w:p w:rsidR="006D295C" w:rsidRPr="002B6C25" w:rsidRDefault="006D295C" w:rsidP="006D295C">
      <w:pPr>
        <w:pStyle w:val="a4"/>
        <w:numPr>
          <w:ilvl w:val="0"/>
          <w:numId w:val="11"/>
        </w:numPr>
        <w:jc w:val="both"/>
      </w:pPr>
      <w:r w:rsidRPr="002B6C25">
        <w:lastRenderedPageBreak/>
        <w:t>трудности выполнения эндоскопического лигирования после эндоскопического склерозирования ВРВ;</w:t>
      </w:r>
    </w:p>
    <w:p w:rsidR="006D295C" w:rsidRPr="002B6C25" w:rsidRDefault="006D295C" w:rsidP="006D295C">
      <w:pPr>
        <w:pStyle w:val="a4"/>
        <w:numPr>
          <w:ilvl w:val="0"/>
          <w:numId w:val="11"/>
        </w:numPr>
        <w:jc w:val="both"/>
      </w:pPr>
      <w:r w:rsidRPr="002B6C25">
        <w:t>невозможность эндоскопического л</w:t>
      </w:r>
      <w:r>
        <w:t>игирования вен малого диаметра;</w:t>
      </w:r>
    </w:p>
    <w:p w:rsidR="006D295C" w:rsidRPr="002B6C25" w:rsidRDefault="006D295C" w:rsidP="006D295C">
      <w:pPr>
        <w:pStyle w:val="a4"/>
        <w:numPr>
          <w:ilvl w:val="0"/>
          <w:numId w:val="11"/>
        </w:numPr>
        <w:jc w:val="both"/>
      </w:pPr>
      <w:r w:rsidRPr="002B6C25">
        <w:t>дифференцированный подход к лигированию ВРВ пищевода и желудка.</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Вмешательство выполняется в условиях хирургического стационара.</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Лигирование выполняют натощак, премедикация за 30 минут до процедуры: промедол 2% - 1,0</w:t>
      </w:r>
      <w:r>
        <w:rPr>
          <w:rFonts w:ascii="Times New Roman" w:hAnsi="Times New Roman" w:cs="Times New Roman"/>
          <w:sz w:val="24"/>
          <w:szCs w:val="24"/>
        </w:rPr>
        <w:t xml:space="preserve"> </w:t>
      </w:r>
      <w:r w:rsidRPr="005614C1">
        <w:rPr>
          <w:rFonts w:ascii="Times New Roman" w:hAnsi="Times New Roman" w:cs="Times New Roman"/>
          <w:sz w:val="24"/>
          <w:szCs w:val="24"/>
        </w:rPr>
        <w:t>мл; метацин - 1,0 мл- подкожно, реланиум - 2,0</w:t>
      </w:r>
      <w:r>
        <w:rPr>
          <w:rFonts w:ascii="Times New Roman" w:hAnsi="Times New Roman" w:cs="Times New Roman"/>
          <w:sz w:val="24"/>
          <w:szCs w:val="24"/>
        </w:rPr>
        <w:t xml:space="preserve"> </w:t>
      </w:r>
      <w:r w:rsidRPr="005614C1">
        <w:rPr>
          <w:rFonts w:ascii="Times New Roman" w:hAnsi="Times New Roman" w:cs="Times New Roman"/>
          <w:sz w:val="24"/>
          <w:szCs w:val="24"/>
        </w:rPr>
        <w:t>мл - внутримышечно. Орошение глотки 1% раствором лидокаина (спрей).</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Эндоскоп с насадкой проводится через глоточное кольцо. Следует подчеркнуть необходимость перед сеансом лигирования выполнить диагностическую эндоскопию, </w:t>
      </w:r>
      <w:r>
        <w:rPr>
          <w:rFonts w:ascii="Times New Roman" w:hAnsi="Times New Roman" w:cs="Times New Roman"/>
          <w:sz w:val="24"/>
          <w:szCs w:val="24"/>
        </w:rPr>
        <w:t>так как пластмассовый цилиндр, на</w:t>
      </w:r>
      <w:r w:rsidRPr="005614C1">
        <w:rPr>
          <w:rFonts w:ascii="Times New Roman" w:hAnsi="Times New Roman" w:cs="Times New Roman"/>
          <w:sz w:val="24"/>
          <w:szCs w:val="24"/>
        </w:rPr>
        <w:t>детый на дистальный конец эндоскопа, ухудшает обзор, делает его «туннельным».</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После проведения эндоскопа с насадкой приступают к лигированию, при этом начинают с области эзофагокардиального перехода, чуть выше зубчатой линии.</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Кольца накладываются по спирали, избегая наложения лигатурных колец в одной плоскости по окружности для профилактики дисфагии в ближайшем и отдаленном периодах.</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Выбранный варикозный узел аспиратором </w:t>
      </w:r>
      <w:r>
        <w:rPr>
          <w:rFonts w:ascii="Times New Roman" w:hAnsi="Times New Roman" w:cs="Times New Roman"/>
          <w:sz w:val="24"/>
          <w:szCs w:val="24"/>
        </w:rPr>
        <w:t>засасывается в цилиндр</w:t>
      </w:r>
      <w:r w:rsidRPr="005614C1">
        <w:rPr>
          <w:rFonts w:ascii="Times New Roman" w:hAnsi="Times New Roman" w:cs="Times New Roman"/>
          <w:sz w:val="24"/>
          <w:szCs w:val="24"/>
        </w:rPr>
        <w:t xml:space="preserve"> не менее чем на половину </w:t>
      </w:r>
      <w:r>
        <w:rPr>
          <w:rFonts w:ascii="Times New Roman" w:hAnsi="Times New Roman" w:cs="Times New Roman"/>
          <w:sz w:val="24"/>
          <w:szCs w:val="24"/>
        </w:rPr>
        <w:t>высоты, п</w:t>
      </w:r>
      <w:r w:rsidRPr="005614C1">
        <w:rPr>
          <w:rFonts w:ascii="Times New Roman" w:hAnsi="Times New Roman" w:cs="Times New Roman"/>
          <w:sz w:val="24"/>
          <w:szCs w:val="24"/>
        </w:rPr>
        <w:t>осле чего сбрасывают кольцо. Сразу же становится видно, что лигированный узел посинел. Следом необходимо возобновить подачу воздуха и несколько извлечь эндоскоп: данные манипуляции позволяют удалить лигированный узел из цилиндра. За сеанс, в зависимости от выраженности ВРВ, накладывается от 6 до 10 лигатур (рис 7).</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drawing>
          <wp:inline distT="0" distB="0" distL="0" distR="0">
            <wp:extent cx="2442117" cy="2932771"/>
            <wp:effectExtent l="0" t="0" r="15875" b="1270"/>
            <wp:docPr id="5" name="Рисунок 2" descr="Лигиров2"/>
            <wp:cNvGraphicFramePr/>
            <a:graphic xmlns:a="http://schemas.openxmlformats.org/drawingml/2006/main">
              <a:graphicData uri="http://schemas.openxmlformats.org/drawingml/2006/picture">
                <pic:pic xmlns:pic="http://schemas.openxmlformats.org/drawingml/2006/picture">
                  <pic:nvPicPr>
                    <pic:cNvPr id="114694" name="Picture 6" descr="Лигиров2"/>
                    <pic:cNvPicPr>
                      <a:picLocks noChangeAspect="1" noChangeArrowheads="1"/>
                    </pic:cNvPicPr>
                  </pic:nvPicPr>
                  <pic:blipFill>
                    <a:blip r:embed="rId14" cstate="print">
                      <a:clrChange>
                        <a:clrFrom>
                          <a:srgbClr val="F4A0BD"/>
                        </a:clrFrom>
                        <a:clrTo>
                          <a:srgbClr val="F4A0BD">
                            <a:alpha val="0"/>
                          </a:srgbClr>
                        </a:clrTo>
                      </a:clrChange>
                    </a:blip>
                    <a:srcRect/>
                    <a:stretch>
                      <a:fillRect/>
                    </a:stretch>
                  </pic:blipFill>
                  <pic:spPr bwMode="auto">
                    <a:xfrm>
                      <a:off x="0" y="0"/>
                      <a:ext cx="2446094" cy="2937547"/>
                    </a:xfrm>
                    <a:prstGeom prst="rect">
                      <a:avLst/>
                    </a:prstGeom>
                    <a:noFill/>
                    <a:effectLst>
                      <a:outerShdw dist="35921" dir="2700000" algn="ctr" rotWithShape="0">
                        <a:schemeClr val="tx2"/>
                      </a:outerShdw>
                    </a:effectLst>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7. Эндоскопическое</w:t>
      </w:r>
      <w:r>
        <w:rPr>
          <w:rFonts w:ascii="Times New Roman" w:hAnsi="Times New Roman" w:cs="Times New Roman"/>
          <w:sz w:val="24"/>
          <w:szCs w:val="24"/>
        </w:rPr>
        <w:t xml:space="preserve"> </w:t>
      </w:r>
      <w:r w:rsidRPr="005614C1">
        <w:rPr>
          <w:rFonts w:ascii="Times New Roman" w:hAnsi="Times New Roman" w:cs="Times New Roman"/>
          <w:sz w:val="24"/>
          <w:szCs w:val="24"/>
        </w:rPr>
        <w:t>лигирование варикозных вен пищевода латексными кольцами (схема).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Лигирование ВРВ при продолжающем</w:t>
      </w:r>
      <w:r>
        <w:rPr>
          <w:rFonts w:ascii="Times New Roman" w:hAnsi="Times New Roman" w:cs="Times New Roman"/>
          <w:sz w:val="24"/>
          <w:szCs w:val="24"/>
        </w:rPr>
        <w:t>ся или состоявшемся кровотечении</w:t>
      </w:r>
      <w:r w:rsidRPr="005614C1">
        <w:rPr>
          <w:rFonts w:ascii="Times New Roman" w:hAnsi="Times New Roman" w:cs="Times New Roman"/>
          <w:sz w:val="24"/>
          <w:szCs w:val="24"/>
        </w:rPr>
        <w:t xml:space="preserve"> имеет некоторые технические особенности. Первую лигатуру необходимо накладывать на источник кровотечения, а затем лигируются остальные ВРВ.</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Первые сутки после ЭЛ назначают только питье холодной воды. Со вторых суток - питание по 1-а столу, избегая больших глотков. Пища должна быть прохладной, жидкой, или пр</w:t>
      </w:r>
      <w:r>
        <w:rPr>
          <w:rFonts w:ascii="Times New Roman" w:hAnsi="Times New Roman" w:cs="Times New Roman"/>
          <w:sz w:val="24"/>
          <w:szCs w:val="24"/>
        </w:rPr>
        <w:t>отертой. При болях назначают</w:t>
      </w:r>
      <w:r w:rsidRPr="005614C1">
        <w:rPr>
          <w:rFonts w:ascii="Times New Roman" w:hAnsi="Times New Roman" w:cs="Times New Roman"/>
          <w:sz w:val="24"/>
          <w:szCs w:val="24"/>
        </w:rPr>
        <w:t xml:space="preserve"> альмагель А, содержащий анестезин. При </w:t>
      </w:r>
      <w:r w:rsidRPr="005614C1">
        <w:rPr>
          <w:rFonts w:ascii="Times New Roman" w:hAnsi="Times New Roman" w:cs="Times New Roman"/>
          <w:sz w:val="24"/>
          <w:szCs w:val="24"/>
        </w:rPr>
        <w:lastRenderedPageBreak/>
        <w:t>выраженн</w:t>
      </w:r>
      <w:r>
        <w:rPr>
          <w:rFonts w:ascii="Times New Roman" w:hAnsi="Times New Roman" w:cs="Times New Roman"/>
          <w:sz w:val="24"/>
          <w:szCs w:val="24"/>
        </w:rPr>
        <w:t>ых болях за грудиной применяют</w:t>
      </w:r>
      <w:r w:rsidRPr="005614C1">
        <w:rPr>
          <w:rFonts w:ascii="Times New Roman" w:hAnsi="Times New Roman" w:cs="Times New Roman"/>
          <w:sz w:val="24"/>
          <w:szCs w:val="24"/>
        </w:rPr>
        <w:t xml:space="preserve"> обезболивающие средства. Болевой синдром купируется обычно к 3-м суткам.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После ЭЛ с 3 по 7 сутки лигированные узлы некротизируются, уменьшаются в размерах, густо покрываются фибрином. К 7-8 суткам начинается отторжение некротических тканей с лигатурами и образование обширных поверхностных изъязвлений. Язвы заживают к 14-21 дню, оставляя звездчатые рубчики, без стеноза просвета пищевода. К концу 2-го месяца после ЭЛ подслизистый слой замещается рубцовой тканью, а мышечный слой остается интактным.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При отсутствии осложнений, контрольная ЭГДС выполняется через месяц после лигирования. Дополнительные сеансы лигирования назначаются при недостаточности первого сеанса, а также в связи с возникновением новых стволов варикозных вен с течением времени [1, 4, 19, 25, </w:t>
      </w:r>
      <w:r>
        <w:rPr>
          <w:rFonts w:ascii="Times New Roman" w:hAnsi="Times New Roman" w:cs="Times New Roman"/>
          <w:sz w:val="24"/>
          <w:szCs w:val="24"/>
        </w:rPr>
        <w:t>2</w:t>
      </w:r>
      <w:r w:rsidRPr="00B00923">
        <w:rPr>
          <w:rFonts w:ascii="Times New Roman" w:hAnsi="Times New Roman" w:cs="Times New Roman"/>
          <w:sz w:val="24"/>
          <w:szCs w:val="24"/>
        </w:rPr>
        <w:t>9</w:t>
      </w:r>
      <w:r w:rsidRPr="005614C1">
        <w:rPr>
          <w:rFonts w:ascii="Times New Roman" w:hAnsi="Times New Roman" w:cs="Times New Roman"/>
          <w:sz w:val="24"/>
          <w:szCs w:val="24"/>
        </w:rPr>
        <w:t>,</w:t>
      </w:r>
      <w:r>
        <w:rPr>
          <w:rFonts w:ascii="Times New Roman" w:hAnsi="Times New Roman" w:cs="Times New Roman"/>
          <w:sz w:val="24"/>
          <w:szCs w:val="24"/>
        </w:rPr>
        <w:t xml:space="preserve"> 3</w:t>
      </w:r>
      <w:r w:rsidRPr="00B00923">
        <w:rPr>
          <w:rFonts w:ascii="Times New Roman" w:hAnsi="Times New Roman" w:cs="Times New Roman"/>
          <w:sz w:val="24"/>
          <w:szCs w:val="24"/>
        </w:rPr>
        <w:t>4</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Эндоскопическое</w:t>
      </w:r>
      <w:r>
        <w:rPr>
          <w:rFonts w:ascii="Times New Roman" w:hAnsi="Times New Roman" w:cs="Times New Roman"/>
          <w:b/>
          <w:sz w:val="24"/>
          <w:szCs w:val="24"/>
        </w:rPr>
        <w:t xml:space="preserve"> </w:t>
      </w:r>
      <w:r w:rsidRPr="00F65475">
        <w:rPr>
          <w:rFonts w:ascii="Times New Roman" w:hAnsi="Times New Roman" w:cs="Times New Roman"/>
          <w:b/>
          <w:sz w:val="24"/>
          <w:szCs w:val="24"/>
        </w:rPr>
        <w:t>лигирование ВРВ желудка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Для выполнения эндоскопического лигирования ВРВ желудка I и II типа используют лигирующее устройство НХ-21 L-1 фирмы «Olympus», в котором роль эластичного кольца играет нейлоновая петля диаметром 11 и 13 мм, которая соответствует размеру дистального колпачка.</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Лигатор состоит из рабочей части с блоком управления и пластиковым тубусом для проведения инструмента через канал эндоскопа. Имеется прозрачный дистальный колпачок в наборе, соответствующий определенной модели гастроскопа. Рабочая часть представляет собой металлическую струну и собственно тягу с крючком.</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После подготовки устройства и помещения прозрачного колпачка на дистальный конец эндоскопа, тубус вводят в канал эндоскопа, а затем через него проводят рабочую часть инструмента с предварительно надетой на крючок петлей. Когда петля появляется в поле зрения, ее укладывают в выемку на внутренней поверхности дистального края колпачка. </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Вмешательство выполняют натощак, премедикация за 30 минут до процедуры: промедол 2%-1,0</w:t>
      </w:r>
      <w:r>
        <w:rPr>
          <w:rFonts w:ascii="Times New Roman" w:hAnsi="Times New Roman" w:cs="Times New Roman"/>
          <w:sz w:val="24"/>
          <w:szCs w:val="24"/>
        </w:rPr>
        <w:t xml:space="preserve"> мл</w:t>
      </w:r>
      <w:r w:rsidRPr="005614C1">
        <w:rPr>
          <w:rFonts w:ascii="Times New Roman" w:hAnsi="Times New Roman" w:cs="Times New Roman"/>
          <w:sz w:val="24"/>
          <w:szCs w:val="24"/>
        </w:rPr>
        <w:t xml:space="preserve">; метацин – 1,0 </w:t>
      </w:r>
      <w:r>
        <w:rPr>
          <w:rFonts w:ascii="Times New Roman" w:hAnsi="Times New Roman" w:cs="Times New Roman"/>
          <w:sz w:val="24"/>
          <w:szCs w:val="24"/>
        </w:rPr>
        <w:t xml:space="preserve"> мл </w:t>
      </w:r>
      <w:r w:rsidRPr="005614C1">
        <w:rPr>
          <w:rFonts w:ascii="Times New Roman" w:hAnsi="Times New Roman" w:cs="Times New Roman"/>
          <w:sz w:val="24"/>
          <w:szCs w:val="24"/>
        </w:rPr>
        <w:t xml:space="preserve">подкожно, реланиум – 2,0 </w:t>
      </w:r>
      <w:r>
        <w:rPr>
          <w:rFonts w:ascii="Times New Roman" w:hAnsi="Times New Roman" w:cs="Times New Roman"/>
          <w:sz w:val="24"/>
          <w:szCs w:val="24"/>
        </w:rPr>
        <w:t xml:space="preserve"> мл </w:t>
      </w:r>
      <w:r w:rsidRPr="005614C1">
        <w:rPr>
          <w:rFonts w:ascii="Times New Roman" w:hAnsi="Times New Roman" w:cs="Times New Roman"/>
          <w:sz w:val="24"/>
          <w:szCs w:val="24"/>
        </w:rPr>
        <w:t>внутримышечно. Орошение глотки 1% раствором лидокаина (спрей).</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Эндоскоп с насадкой проводится через глоточное кольцо, после этого приступают к лигированию. Варикозную вену втягивают в колпачок при помощи аспиратора. Петлю затягивают до ощущения упора, после чего отстреливают </w:t>
      </w:r>
      <w:r>
        <w:rPr>
          <w:rFonts w:ascii="Times New Roman" w:hAnsi="Times New Roman" w:cs="Times New Roman"/>
          <w:sz w:val="24"/>
          <w:szCs w:val="24"/>
        </w:rPr>
        <w:t xml:space="preserve">плотно зафиксированную лигатуру </w:t>
      </w:r>
      <w:r w:rsidRPr="005614C1">
        <w:rPr>
          <w:rFonts w:ascii="Times New Roman" w:hAnsi="Times New Roman" w:cs="Times New Roman"/>
          <w:sz w:val="24"/>
          <w:szCs w:val="24"/>
        </w:rPr>
        <w:t>(рис 8)</w:t>
      </w:r>
      <w:r>
        <w:rPr>
          <w:rFonts w:ascii="Times New Roman" w:hAnsi="Times New Roman" w:cs="Times New Roman"/>
          <w:sz w:val="24"/>
          <w:szCs w:val="24"/>
        </w:rPr>
        <w:t>.</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Для наложения следующей петли следует извлечь рабочую часть инструмента из канала и повторить описанные действия. К положительным </w:t>
      </w:r>
      <w:r>
        <w:rPr>
          <w:rFonts w:ascii="Times New Roman" w:hAnsi="Times New Roman" w:cs="Times New Roman"/>
          <w:sz w:val="24"/>
          <w:szCs w:val="24"/>
        </w:rPr>
        <w:t>моментам данной методики относят</w:t>
      </w:r>
      <w:r w:rsidRPr="005614C1">
        <w:rPr>
          <w:rFonts w:ascii="Times New Roman" w:hAnsi="Times New Roman" w:cs="Times New Roman"/>
          <w:sz w:val="24"/>
          <w:szCs w:val="24"/>
        </w:rPr>
        <w:t xml:space="preserve"> то обстоятельство, что нейлоновая петля сохраняется на лигированной вене желудка 7-14 дней в отличие от латексной лигатуры фирмы “WilsonCook”, которая лизируется под действием желудочного сока и перистальтики [4, 5].</w:t>
      </w:r>
    </w:p>
    <w:p w:rsidR="006D295C" w:rsidRPr="005614C1"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885" cy="2025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025015"/>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Рис. 8. Техника эндоскопического лигирования петлями Olimpus.</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Комбинированное</w:t>
      </w:r>
      <w:r>
        <w:rPr>
          <w:rFonts w:ascii="Times New Roman" w:hAnsi="Times New Roman" w:cs="Times New Roman"/>
          <w:b/>
          <w:sz w:val="24"/>
          <w:szCs w:val="24"/>
        </w:rPr>
        <w:t xml:space="preserve"> </w:t>
      </w:r>
      <w:r w:rsidRPr="00F65475">
        <w:rPr>
          <w:rFonts w:ascii="Times New Roman" w:hAnsi="Times New Roman" w:cs="Times New Roman"/>
          <w:b/>
          <w:sz w:val="24"/>
          <w:szCs w:val="24"/>
        </w:rPr>
        <w:t>лигирование ВРВ пищевода и желудка</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При необходимости лигировать пищеводно-желудочные ВРВ I и II типа у больных с ПГ используется следующая методика.</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Вначале на ВРВ желудка накладываются нейлоновые петли, затем извлекается эндоскоп, заряжается устройством типа фирмы “WilsonCook”, после чего лигируются латексными кольцами ВРВ эзофагокардиальной зоны и пищевода. Данный способ позволяет за один сеанс перевязывать до 14-15 варикозных узлов желудка и пищевода.</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Опыт использования ЭЛ у больных с портальной гипертензией убедил в необходимости пребывания больного в стационаре после данного вмешательства в течение 10 дней, а иногородним больным перед выпиской в обязательном порядке следует проводить контрольную эндоскопию. Пациентам даются указания о характере пищи, запрещается подъем тяжести, назначают обволакивающие и антисекреторные препараты. Такие ограничения режима рекомендовано соблюдать в течение 3-х недель [5, 23].</w:t>
      </w:r>
    </w:p>
    <w:p w:rsidR="006D295C" w:rsidRDefault="006D295C" w:rsidP="006D295C">
      <w:pPr>
        <w:spacing w:line="240" w:lineRule="auto"/>
        <w:contextualSpacing/>
        <w:jc w:val="both"/>
        <w:rPr>
          <w:rFonts w:ascii="Times New Roman" w:hAnsi="Times New Roman" w:cs="Times New Roman"/>
          <w:sz w:val="24"/>
          <w:szCs w:val="24"/>
        </w:rPr>
      </w:pP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Осложнен</w:t>
      </w:r>
      <w:r>
        <w:rPr>
          <w:rFonts w:ascii="Times New Roman" w:hAnsi="Times New Roman" w:cs="Times New Roman"/>
          <w:b/>
          <w:sz w:val="24"/>
          <w:szCs w:val="24"/>
        </w:rPr>
        <w:t>ия эндоскопического лигирования</w:t>
      </w: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Общие</w:t>
      </w:r>
    </w:p>
    <w:p w:rsidR="006D295C" w:rsidRPr="00F65475" w:rsidRDefault="006D295C" w:rsidP="006D295C">
      <w:pPr>
        <w:pStyle w:val="a4"/>
        <w:numPr>
          <w:ilvl w:val="0"/>
          <w:numId w:val="5"/>
        </w:numPr>
        <w:jc w:val="both"/>
      </w:pPr>
      <w:r w:rsidRPr="00F65475">
        <w:t>Реакция на латекс;</w:t>
      </w:r>
    </w:p>
    <w:p w:rsidR="006D295C" w:rsidRPr="00F65475" w:rsidRDefault="006D295C" w:rsidP="006D295C">
      <w:pPr>
        <w:pStyle w:val="a4"/>
        <w:numPr>
          <w:ilvl w:val="0"/>
          <w:numId w:val="5"/>
        </w:numPr>
        <w:jc w:val="both"/>
      </w:pPr>
      <w:r w:rsidRPr="00F65475">
        <w:t>Гипертермия;</w:t>
      </w:r>
    </w:p>
    <w:p w:rsidR="006D295C" w:rsidRPr="00F65475" w:rsidRDefault="006D295C" w:rsidP="006D295C">
      <w:pPr>
        <w:pStyle w:val="a4"/>
        <w:numPr>
          <w:ilvl w:val="0"/>
          <w:numId w:val="5"/>
        </w:numPr>
        <w:jc w:val="both"/>
      </w:pPr>
      <w:r w:rsidRPr="00F65475">
        <w:t>Аспирация желудочного содержимого.</w:t>
      </w:r>
    </w:p>
    <w:p w:rsidR="006D295C" w:rsidRPr="00F65475" w:rsidRDefault="006D295C" w:rsidP="006D295C">
      <w:pPr>
        <w:spacing w:line="240" w:lineRule="auto"/>
        <w:contextualSpacing/>
        <w:jc w:val="both"/>
        <w:rPr>
          <w:rFonts w:ascii="Times New Roman" w:hAnsi="Times New Roman" w:cs="Times New Roman"/>
          <w:b/>
          <w:sz w:val="24"/>
          <w:szCs w:val="24"/>
        </w:rPr>
      </w:pPr>
      <w:r w:rsidRPr="00F65475">
        <w:rPr>
          <w:rFonts w:ascii="Times New Roman" w:hAnsi="Times New Roman" w:cs="Times New Roman"/>
          <w:b/>
          <w:sz w:val="24"/>
          <w:szCs w:val="24"/>
        </w:rPr>
        <w:t>Местные</w:t>
      </w:r>
    </w:p>
    <w:p w:rsidR="006D295C" w:rsidRPr="00F65475" w:rsidRDefault="006D295C" w:rsidP="006D295C">
      <w:pPr>
        <w:pStyle w:val="a4"/>
        <w:numPr>
          <w:ilvl w:val="0"/>
          <w:numId w:val="6"/>
        </w:numPr>
        <w:jc w:val="both"/>
      </w:pPr>
      <w:r w:rsidRPr="00F65475">
        <w:t>Боли за грудиной;</w:t>
      </w:r>
    </w:p>
    <w:p w:rsidR="006D295C" w:rsidRPr="00F65475" w:rsidRDefault="006D295C" w:rsidP="006D295C">
      <w:pPr>
        <w:pStyle w:val="a4"/>
        <w:numPr>
          <w:ilvl w:val="0"/>
          <w:numId w:val="6"/>
        </w:numPr>
        <w:jc w:val="both"/>
      </w:pPr>
      <w:r w:rsidRPr="00F65475">
        <w:t>Транзиторная дисфагия (1-3 сут);</w:t>
      </w:r>
    </w:p>
    <w:p w:rsidR="006D295C" w:rsidRPr="00F65475" w:rsidRDefault="006D295C" w:rsidP="006D295C">
      <w:pPr>
        <w:pStyle w:val="a4"/>
        <w:numPr>
          <w:ilvl w:val="0"/>
          <w:numId w:val="6"/>
        </w:numPr>
        <w:jc w:val="both"/>
      </w:pPr>
      <w:r w:rsidRPr="00F65475">
        <w:t>Изъязвления слизистой оболочки и рецидивы ЖКК;</w:t>
      </w:r>
    </w:p>
    <w:p w:rsidR="006D295C" w:rsidRPr="00F65475" w:rsidRDefault="006D295C" w:rsidP="006D295C">
      <w:pPr>
        <w:pStyle w:val="a4"/>
        <w:numPr>
          <w:ilvl w:val="0"/>
          <w:numId w:val="6"/>
        </w:numPr>
        <w:jc w:val="both"/>
      </w:pPr>
      <w:r w:rsidRPr="00F65475">
        <w:t>Перфорация пищевода;</w:t>
      </w:r>
    </w:p>
    <w:p w:rsidR="006D295C" w:rsidRPr="00F65475" w:rsidRDefault="006D295C" w:rsidP="006D295C">
      <w:pPr>
        <w:pStyle w:val="a4"/>
        <w:numPr>
          <w:ilvl w:val="0"/>
          <w:numId w:val="6"/>
        </w:numPr>
        <w:jc w:val="both"/>
      </w:pPr>
      <w:r w:rsidRPr="00F65475">
        <w:t>Стриктура пищевода;</w:t>
      </w:r>
    </w:p>
    <w:p w:rsidR="006D295C" w:rsidRPr="00F65475" w:rsidRDefault="006D295C" w:rsidP="006D295C">
      <w:pPr>
        <w:pStyle w:val="a4"/>
        <w:numPr>
          <w:ilvl w:val="0"/>
          <w:numId w:val="6"/>
        </w:numPr>
        <w:jc w:val="both"/>
      </w:pPr>
      <w:r w:rsidRPr="00F65475">
        <w:t xml:space="preserve">Образование </w:t>
      </w:r>
      <w:r>
        <w:t>ВРВ в фундальном отделе желудка;</w:t>
      </w:r>
    </w:p>
    <w:p w:rsidR="006D295C" w:rsidRDefault="006D295C" w:rsidP="006D295C">
      <w:pPr>
        <w:pStyle w:val="a4"/>
        <w:numPr>
          <w:ilvl w:val="0"/>
          <w:numId w:val="6"/>
        </w:numPr>
        <w:jc w:val="both"/>
      </w:pPr>
      <w:r w:rsidRPr="00F65475">
        <w:t>Невозможность аспирировать ВРВ диаметром более 15 мм.</w:t>
      </w:r>
    </w:p>
    <w:p w:rsidR="006D295C" w:rsidRDefault="006D295C" w:rsidP="006D295C">
      <w:pPr>
        <w:pStyle w:val="a4"/>
        <w:jc w:val="both"/>
      </w:pPr>
    </w:p>
    <w:p w:rsidR="006D295C" w:rsidRPr="00F65475" w:rsidRDefault="006D295C" w:rsidP="006D295C">
      <w:pPr>
        <w:pStyle w:val="a4"/>
        <w:ind w:left="0"/>
        <w:jc w:val="center"/>
      </w:pPr>
      <w:r>
        <w:rPr>
          <w:noProof/>
        </w:rPr>
        <w:drawing>
          <wp:inline distT="0" distB="0" distL="0" distR="0">
            <wp:extent cx="4975163" cy="32819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5101" cy="3281936"/>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9. Алгоритм лечебных мероприятий при ранних рецидивах кровотечения после ЭЛ</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1683" cy="37497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3427" cy="3751246"/>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10. Алгоритм лечебных мероприятий при поздних рецидивах кровотечений после ЭЛ.</w:t>
      </w:r>
    </w:p>
    <w:p w:rsidR="006D295C" w:rsidRDefault="006D295C" w:rsidP="006D295C">
      <w:pPr>
        <w:spacing w:line="240" w:lineRule="auto"/>
        <w:contextualSpacing/>
        <w:jc w:val="both"/>
        <w:rPr>
          <w:rFonts w:ascii="Times New Roman" w:hAnsi="Times New Roman" w:cs="Times New Roman"/>
          <w:sz w:val="24"/>
          <w:szCs w:val="24"/>
        </w:rPr>
      </w:pPr>
    </w:p>
    <w:p w:rsidR="006D295C" w:rsidRPr="0032373E" w:rsidRDefault="006D295C" w:rsidP="006D295C">
      <w:pPr>
        <w:spacing w:line="240" w:lineRule="auto"/>
        <w:contextualSpacing/>
        <w:jc w:val="both"/>
        <w:rPr>
          <w:rFonts w:ascii="Times New Roman" w:hAnsi="Times New Roman" w:cs="Times New Roman"/>
          <w:b/>
          <w:sz w:val="24"/>
          <w:szCs w:val="24"/>
        </w:rPr>
      </w:pPr>
      <w:r w:rsidRPr="0032373E">
        <w:rPr>
          <w:rFonts w:ascii="Times New Roman" w:hAnsi="Times New Roman" w:cs="Times New Roman"/>
          <w:b/>
          <w:sz w:val="24"/>
          <w:szCs w:val="24"/>
        </w:rPr>
        <w:t>4.3.2. Эндоскопическое</w:t>
      </w:r>
      <w:r>
        <w:rPr>
          <w:rFonts w:ascii="Times New Roman" w:hAnsi="Times New Roman" w:cs="Times New Roman"/>
          <w:b/>
          <w:sz w:val="24"/>
          <w:szCs w:val="24"/>
        </w:rPr>
        <w:t xml:space="preserve"> </w:t>
      </w:r>
      <w:r w:rsidRPr="0032373E">
        <w:rPr>
          <w:rFonts w:ascii="Times New Roman" w:hAnsi="Times New Roman" w:cs="Times New Roman"/>
          <w:b/>
          <w:sz w:val="24"/>
          <w:szCs w:val="24"/>
        </w:rPr>
        <w:t>склерозирование ВРВ пищевода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Метод эндоскопического склерозирования (ЭС) вен пищевода </w:t>
      </w:r>
      <w:r>
        <w:rPr>
          <w:rFonts w:ascii="Times New Roman" w:hAnsi="Times New Roman" w:cs="Times New Roman"/>
          <w:sz w:val="24"/>
          <w:szCs w:val="24"/>
        </w:rPr>
        <w:t xml:space="preserve"> был </w:t>
      </w:r>
      <w:r w:rsidRPr="005614C1">
        <w:rPr>
          <w:rFonts w:ascii="Times New Roman" w:hAnsi="Times New Roman" w:cs="Times New Roman"/>
          <w:sz w:val="24"/>
          <w:szCs w:val="24"/>
        </w:rPr>
        <w:t>пр</w:t>
      </w:r>
      <w:r>
        <w:rPr>
          <w:rFonts w:ascii="Times New Roman" w:hAnsi="Times New Roman" w:cs="Times New Roman"/>
          <w:sz w:val="24"/>
          <w:szCs w:val="24"/>
        </w:rPr>
        <w:t>едложен в 1939 году C.Crafoord и</w:t>
      </w:r>
      <w:r w:rsidRPr="005614C1">
        <w:rPr>
          <w:rFonts w:ascii="Times New Roman" w:hAnsi="Times New Roman" w:cs="Times New Roman"/>
          <w:sz w:val="24"/>
          <w:szCs w:val="24"/>
        </w:rPr>
        <w:t xml:space="preserve"> P.Frenckner. Облитерация варикозных вен происходит после введения в просвет вены склерозанта через эндоскоп с помощью длинной иглы. Наряду с интравазальным способом склеротерапии существует метод паравазального </w:t>
      </w:r>
      <w:r>
        <w:rPr>
          <w:rFonts w:ascii="Times New Roman" w:hAnsi="Times New Roman" w:cs="Times New Roman"/>
          <w:sz w:val="24"/>
          <w:szCs w:val="24"/>
        </w:rPr>
        <w:t>в</w:t>
      </w:r>
      <w:r w:rsidRPr="005614C1">
        <w:rPr>
          <w:rFonts w:ascii="Times New Roman" w:hAnsi="Times New Roman" w:cs="Times New Roman"/>
          <w:sz w:val="24"/>
          <w:szCs w:val="24"/>
        </w:rPr>
        <w:t>ведения склерозанта, который основан на введении склерозанта рядом с веной, в результате чего происходит сдавление варикозных узлов, первоначально за счет отека, а затем за счет образования соединительной ткани.</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Для интравазального введения чаще всего используют тетрадецилсульфат натрия (тромбовар) в к</w:t>
      </w:r>
      <w:r>
        <w:rPr>
          <w:rFonts w:ascii="Times New Roman" w:hAnsi="Times New Roman" w:cs="Times New Roman"/>
          <w:sz w:val="24"/>
          <w:szCs w:val="24"/>
        </w:rPr>
        <w:t>оличестве 5-10 мл на каждую инъекцию</w:t>
      </w:r>
      <w:r w:rsidRPr="005614C1">
        <w:rPr>
          <w:rFonts w:ascii="Times New Roman" w:hAnsi="Times New Roman" w:cs="Times New Roman"/>
          <w:sz w:val="24"/>
          <w:szCs w:val="24"/>
        </w:rPr>
        <w:t xml:space="preserve"> (можно и 3% раствор этоксисклерола и другие препараты). После введения склерозанта необходимо сдавить вену в местах пункции, чем обеспечивают образование тромба в результате отека эндотелия сосуда . За один сеанс тромбируют не более 2-х варикозных стволов вен, во избежание усиления застоя в ВРВ желудка.</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Основной целью паравазальной</w:t>
      </w:r>
      <w:r>
        <w:rPr>
          <w:rFonts w:ascii="Times New Roman" w:hAnsi="Times New Roman" w:cs="Times New Roman"/>
          <w:sz w:val="24"/>
          <w:szCs w:val="24"/>
        </w:rPr>
        <w:t xml:space="preserve"> </w:t>
      </w:r>
      <w:r w:rsidRPr="005614C1">
        <w:rPr>
          <w:rFonts w:ascii="Times New Roman" w:hAnsi="Times New Roman" w:cs="Times New Roman"/>
          <w:sz w:val="24"/>
          <w:szCs w:val="24"/>
        </w:rPr>
        <w:t>склеротерапии является создание отека подслизистого слоя, что позволяет сдавить варикозно-деформированную вену, тем самым, остановить кровотечение, а в последующем на 5-7 сутки за счет активизации склеротического процесса в подслизистом слое обеспечить создание рубцового каркаса [1, 2, 3, 5, 22</w:t>
      </w:r>
      <w:r>
        <w:rPr>
          <w:rFonts w:ascii="Times New Roman" w:hAnsi="Times New Roman" w:cs="Times New Roman"/>
          <w:sz w:val="24"/>
          <w:szCs w:val="24"/>
        </w:rPr>
        <w:t xml:space="preserve">, </w:t>
      </w:r>
      <w:r w:rsidRPr="00B00923">
        <w:rPr>
          <w:rFonts w:ascii="Times New Roman" w:hAnsi="Times New Roman" w:cs="Times New Roman"/>
          <w:sz w:val="24"/>
          <w:szCs w:val="24"/>
        </w:rPr>
        <w:t>30</w:t>
      </w:r>
      <w:r w:rsidRPr="005614C1">
        <w:rPr>
          <w:rFonts w:ascii="Times New Roman" w:hAnsi="Times New Roman" w:cs="Times New Roman"/>
          <w:sz w:val="24"/>
          <w:szCs w:val="24"/>
        </w:rPr>
        <w:t>].</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04457" cy="28903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419" cy="2890328"/>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Рис. 11. Схема эндоскопического склерозирования ВРВ пищевода и желудка. </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А – паравазальное, Б – интравазальное.</w:t>
      </w:r>
    </w:p>
    <w:p w:rsidR="006D295C" w:rsidRDefault="006D295C" w:rsidP="006D295C">
      <w:pPr>
        <w:spacing w:line="240" w:lineRule="auto"/>
        <w:ind w:firstLine="708"/>
        <w:contextualSpacing/>
        <w:jc w:val="both"/>
        <w:rPr>
          <w:rFonts w:ascii="Times New Roman" w:hAnsi="Times New Roman" w:cs="Times New Roman"/>
          <w:sz w:val="24"/>
          <w:szCs w:val="24"/>
        </w:rPr>
      </w:pP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Процедура выполняется под местной анестезией 1% раствора лидокаина с предварительной премедикацией 1мл 2% раствора промедола, 2мл реланиума. Предварительно слизистая оболочка пищевода и желудка орошается 96% спиртом в количестве 10-12 мл. Склеротерапия начинается от области эзофагокардиального перехода и продолжается в проксимальном направлении.  Из склерозирующих агентов, как правило, используется этоксисклерол (Германия), который содержит 5-20 мг полидоканола в 1мл этилового спирта. Чаще всего применяется этоксисклерол в 0,5% концентрации. При каждой инъекции вводят не более 3-4 мл склерозанта. Обычно</w:t>
      </w:r>
      <w:r>
        <w:rPr>
          <w:rFonts w:ascii="Times New Roman" w:hAnsi="Times New Roman" w:cs="Times New Roman"/>
          <w:sz w:val="24"/>
          <w:szCs w:val="24"/>
        </w:rPr>
        <w:t xml:space="preserve"> осуществляют от 15 до 20 инъекций</w:t>
      </w:r>
      <w:r w:rsidRPr="005614C1">
        <w:rPr>
          <w:rFonts w:ascii="Times New Roman" w:hAnsi="Times New Roman" w:cs="Times New Roman"/>
          <w:sz w:val="24"/>
          <w:szCs w:val="24"/>
        </w:rPr>
        <w:t>. За один сеанс расходуется до 24-36 мл склерозанта. Вводимый по инъектору</w:t>
      </w:r>
      <w:r>
        <w:rPr>
          <w:rFonts w:ascii="Times New Roman" w:hAnsi="Times New Roman" w:cs="Times New Roman"/>
          <w:sz w:val="24"/>
          <w:szCs w:val="24"/>
        </w:rPr>
        <w:t xml:space="preserve"> </w:t>
      </w:r>
      <w:r w:rsidRPr="005614C1">
        <w:rPr>
          <w:rFonts w:ascii="Times New Roman" w:hAnsi="Times New Roman" w:cs="Times New Roman"/>
          <w:sz w:val="24"/>
          <w:szCs w:val="24"/>
        </w:rPr>
        <w:t>склерозант создает по обеим сторонам варикозной вены плотный отек, сдавливающий сосуд</w:t>
      </w:r>
      <w:r>
        <w:rPr>
          <w:rFonts w:ascii="Times New Roman" w:hAnsi="Times New Roman" w:cs="Times New Roman"/>
          <w:sz w:val="24"/>
          <w:szCs w:val="24"/>
        </w:rPr>
        <w:t>.</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 окончании сеанса склеротерапии варикозные вены практически не определяются в</w:t>
      </w:r>
      <w:r>
        <w:rPr>
          <w:rFonts w:ascii="Times New Roman" w:hAnsi="Times New Roman" w:cs="Times New Roman"/>
          <w:sz w:val="24"/>
          <w:szCs w:val="24"/>
        </w:rPr>
        <w:t xml:space="preserve"> </w:t>
      </w:r>
      <w:r w:rsidRPr="005614C1">
        <w:rPr>
          <w:rFonts w:ascii="Times New Roman" w:hAnsi="Times New Roman" w:cs="Times New Roman"/>
          <w:sz w:val="24"/>
          <w:szCs w:val="24"/>
        </w:rPr>
        <w:t>отечной слизистой. Подтекание крови из мест проколов обычно незначительно и не требует принятия дополнительных мер.</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Ближайший период после сеанса склеротерапии обычно не сопровождается болевыми ощущениями. Больному разрешают пить и принимать жидкую пищу через 6-8 часов после процедуры.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После проведения 1-го сеанса склеротерапии через 5 дней повторяют процедуру, при этом стараются охватить участки пищевода с ВРВ, которые оказались вне зоны действия 1-го сеанса склеротерапии.</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3-й сеанс склеротерапии проводят через 30 дней, при этом оценивают эффективность проводимого лечения, динамику уменьшения степени ВРВ и снятие угрозы кровотечения.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4-ый сеанс склеротерапии назначают через 3 месяца.</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Глубокий рубцовый процесс в подслизистом слое пищевода и желудка при проведении повторных сеансов ЭС предотвращает возможность предсуществующим венозным коллатералям для их развития и варикозной трансформации.</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Лечение продолжается до получения эффекта эрадикации, либо до достижения положительного результата. Для этого требуется в среднем 4-5 сеансов склеротерапии в год. Динамический контроль осуществляется в последующем один раз в 6 месяцев. В случае необходимости лечение повторяется.</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 xml:space="preserve">Проведение склеротерапии при продолжающемся кровотечении имеет некоторые особенности. При обнаружении кровоточащей вены, в зависимости от локализации источника, введение склерозанта осуществляется по обе стороны кровоточащей вены. При этом приходится вводить значительное количество склерозанта до осуществления гемостаза.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Для достижения эффекта необходимое количество склерозанта нередко превышало 10-15 мл. Данное обстоятельство требует выполнения контрольной эндоскопии через 3-4 дня после проведения эндоскопического гемостаза, нередко к этому времени уже формируется зона некроза участка слизистой оболочки.</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При отсутствии осложнений больным выполняется</w:t>
      </w:r>
      <w:r>
        <w:rPr>
          <w:rFonts w:ascii="Times New Roman" w:hAnsi="Times New Roman" w:cs="Times New Roman"/>
          <w:sz w:val="24"/>
          <w:szCs w:val="24"/>
        </w:rPr>
        <w:t xml:space="preserve"> </w:t>
      </w:r>
      <w:r w:rsidRPr="005614C1">
        <w:rPr>
          <w:rFonts w:ascii="Times New Roman" w:hAnsi="Times New Roman" w:cs="Times New Roman"/>
          <w:sz w:val="24"/>
          <w:szCs w:val="24"/>
        </w:rPr>
        <w:t>контрольная ЭГДС и в случае необходимости повторное</w:t>
      </w:r>
      <w:r>
        <w:rPr>
          <w:rFonts w:ascii="Times New Roman" w:hAnsi="Times New Roman" w:cs="Times New Roman"/>
          <w:sz w:val="24"/>
          <w:szCs w:val="24"/>
        </w:rPr>
        <w:t xml:space="preserve"> </w:t>
      </w:r>
      <w:r w:rsidRPr="005614C1">
        <w:rPr>
          <w:rFonts w:ascii="Times New Roman" w:hAnsi="Times New Roman" w:cs="Times New Roman"/>
          <w:sz w:val="24"/>
          <w:szCs w:val="24"/>
        </w:rPr>
        <w:t>склерозирование</w:t>
      </w:r>
      <w:r>
        <w:rPr>
          <w:rFonts w:ascii="Times New Roman" w:hAnsi="Times New Roman" w:cs="Times New Roman"/>
          <w:sz w:val="24"/>
          <w:szCs w:val="24"/>
        </w:rPr>
        <w:t xml:space="preserve"> через 3, 6 ,12, 24, 3</w:t>
      </w:r>
      <w:r w:rsidRPr="00B00923">
        <w:rPr>
          <w:rFonts w:ascii="Times New Roman" w:hAnsi="Times New Roman" w:cs="Times New Roman"/>
          <w:sz w:val="24"/>
          <w:szCs w:val="24"/>
        </w:rPr>
        <w:t>7</w:t>
      </w:r>
      <w:r w:rsidRPr="005614C1">
        <w:rPr>
          <w:rFonts w:ascii="Times New Roman" w:hAnsi="Times New Roman" w:cs="Times New Roman"/>
          <w:sz w:val="24"/>
          <w:szCs w:val="24"/>
        </w:rPr>
        <w:t xml:space="preserve"> месяцев [1, 2, 3, 5].</w:t>
      </w: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885" cy="4043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4043680"/>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12. Алгоритм действий при развитие осложнений после эндоскопической</w:t>
      </w:r>
      <w:r>
        <w:rPr>
          <w:rFonts w:ascii="Times New Roman" w:hAnsi="Times New Roman" w:cs="Times New Roman"/>
          <w:sz w:val="24"/>
          <w:szCs w:val="24"/>
        </w:rPr>
        <w:t xml:space="preserve"> </w:t>
      </w:r>
      <w:r w:rsidRPr="005614C1">
        <w:rPr>
          <w:rFonts w:ascii="Times New Roman" w:hAnsi="Times New Roman" w:cs="Times New Roman"/>
          <w:sz w:val="24"/>
          <w:szCs w:val="24"/>
        </w:rPr>
        <w:t>паравазальной</w:t>
      </w:r>
      <w:r>
        <w:rPr>
          <w:rFonts w:ascii="Times New Roman" w:hAnsi="Times New Roman" w:cs="Times New Roman"/>
          <w:sz w:val="24"/>
          <w:szCs w:val="24"/>
        </w:rPr>
        <w:t xml:space="preserve"> </w:t>
      </w:r>
      <w:r w:rsidRPr="005614C1">
        <w:rPr>
          <w:rFonts w:ascii="Times New Roman" w:hAnsi="Times New Roman" w:cs="Times New Roman"/>
          <w:sz w:val="24"/>
          <w:szCs w:val="24"/>
        </w:rPr>
        <w:t>склеротерапии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D10CE6" w:rsidRDefault="006D295C" w:rsidP="006D295C">
      <w:pPr>
        <w:spacing w:line="240" w:lineRule="auto"/>
        <w:contextualSpacing/>
        <w:jc w:val="both"/>
        <w:rPr>
          <w:rFonts w:ascii="Times New Roman" w:hAnsi="Times New Roman" w:cs="Times New Roman"/>
          <w:b/>
          <w:sz w:val="24"/>
          <w:szCs w:val="24"/>
        </w:rPr>
      </w:pPr>
      <w:r w:rsidRPr="00D10CE6">
        <w:rPr>
          <w:rFonts w:ascii="Times New Roman" w:hAnsi="Times New Roman" w:cs="Times New Roman"/>
          <w:b/>
          <w:sz w:val="24"/>
          <w:szCs w:val="24"/>
        </w:rPr>
        <w:t>4.3.3 Применение клеевых композиций</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случаях, когда  склеротерапией не удается остановить кровотечение (при варикозном расширении вен желудка)</w:t>
      </w:r>
      <w:r>
        <w:rPr>
          <w:rFonts w:ascii="Times New Roman" w:hAnsi="Times New Roman" w:cs="Times New Roman"/>
          <w:sz w:val="24"/>
          <w:szCs w:val="24"/>
        </w:rPr>
        <w:t>,</w:t>
      </w:r>
      <w:r w:rsidRPr="005614C1">
        <w:rPr>
          <w:rFonts w:ascii="Times New Roman" w:hAnsi="Times New Roman" w:cs="Times New Roman"/>
          <w:sz w:val="24"/>
          <w:szCs w:val="24"/>
        </w:rPr>
        <w:t xml:space="preserve"> применяют цианокрилатные клеевые композиции. Используют два тканевых клея:N-бутил-2-цианокрилат (гистоакрил) и изобутил-2-цианокрилат (букрилат).При попадании в кровь цианокрилат быстро полимеризуется (20 секунд), вызывая облитерацию сосуда, чем достигается гемостаз. Через несколько недель после инъекции клеевая пробка отторгается в просвет желудка.</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Время проведения инъекции ограничено 20 секундами из-за полимеризации гистоакрила. Несоблюдение данного условия приводит к преждевременному застыванию клея в инъекторе, что не позволяет широко применять данный метод для лечения и профилактики кровотечений из ВРВ пищевода и желудка [18, 23].</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3E33DE">
        <w:rPr>
          <w:rFonts w:ascii="Times New Roman" w:hAnsi="Times New Roman" w:cs="Times New Roman"/>
          <w:b/>
          <w:sz w:val="24"/>
          <w:szCs w:val="24"/>
        </w:rPr>
        <w:lastRenderedPageBreak/>
        <w:t>4.3.4. При неэффективности эндоскопического гемостаза и наличия источника кровотечения в пищеводе возможно использование стента</w:t>
      </w:r>
      <w:r>
        <w:rPr>
          <w:rFonts w:ascii="Times New Roman" w:hAnsi="Times New Roman" w:cs="Times New Roman"/>
          <w:b/>
          <w:sz w:val="24"/>
          <w:szCs w:val="24"/>
        </w:rPr>
        <w:t xml:space="preserve"> </w:t>
      </w:r>
      <w:r w:rsidRPr="003E33DE">
        <w:rPr>
          <w:rFonts w:ascii="Times New Roman" w:hAnsi="Times New Roman" w:cs="Times New Roman"/>
          <w:b/>
          <w:sz w:val="24"/>
          <w:szCs w:val="24"/>
        </w:rPr>
        <w:t>Даниша (Danis)</w:t>
      </w:r>
      <w:r w:rsidRPr="005614C1">
        <w:rPr>
          <w:rFonts w:ascii="Times New Roman" w:hAnsi="Times New Roman" w:cs="Times New Roman"/>
          <w:sz w:val="24"/>
          <w:szCs w:val="24"/>
        </w:rPr>
        <w:t xml:space="preserve"> (рис. 13) [14, </w:t>
      </w:r>
      <w:r>
        <w:rPr>
          <w:rFonts w:ascii="Times New Roman" w:hAnsi="Times New Roman" w:cs="Times New Roman"/>
          <w:sz w:val="24"/>
          <w:szCs w:val="24"/>
        </w:rPr>
        <w:t>3</w:t>
      </w:r>
      <w:r w:rsidRPr="00B00923">
        <w:rPr>
          <w:rFonts w:ascii="Times New Roman" w:hAnsi="Times New Roman" w:cs="Times New Roman"/>
          <w:sz w:val="24"/>
          <w:szCs w:val="24"/>
        </w:rPr>
        <w:t>6</w:t>
      </w:r>
      <w:r w:rsidRPr="005614C1">
        <w:rPr>
          <w:rFonts w:ascii="Times New Roman" w:hAnsi="Times New Roman" w:cs="Times New Roman"/>
          <w:sz w:val="24"/>
          <w:szCs w:val="24"/>
        </w:rPr>
        <w:t xml:space="preserve">, </w:t>
      </w:r>
      <w:r>
        <w:rPr>
          <w:rFonts w:ascii="Times New Roman" w:hAnsi="Times New Roman" w:cs="Times New Roman"/>
          <w:sz w:val="24"/>
          <w:szCs w:val="24"/>
        </w:rPr>
        <w:t>3</w:t>
      </w:r>
      <w:r w:rsidRPr="00B00923">
        <w:rPr>
          <w:rFonts w:ascii="Times New Roman" w:hAnsi="Times New Roman" w:cs="Times New Roman"/>
          <w:sz w:val="24"/>
          <w:szCs w:val="24"/>
        </w:rPr>
        <w:t>7</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drawing>
          <wp:inline distT="0" distB="0" distL="0" distR="0">
            <wp:extent cx="5940425" cy="3748556"/>
            <wp:effectExtent l="19050" t="0" r="3175" b="0"/>
            <wp:docPr id="25" name="Рисунок 1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cstate="print"/>
                    <a:srcRect l="19781" t="27035" r="19385" b="24977"/>
                    <a:stretch>
                      <a:fillRect/>
                    </a:stretch>
                  </pic:blipFill>
                  <pic:spPr bwMode="auto">
                    <a:xfrm>
                      <a:off x="0" y="0"/>
                      <a:ext cx="5940425" cy="3748556"/>
                    </a:xfrm>
                    <a:prstGeom prst="rect">
                      <a:avLst/>
                    </a:prstGeom>
                    <a:noFill/>
                    <a:ln w="9525">
                      <a:noFill/>
                      <a:miter lim="800000"/>
                      <a:headEnd/>
                      <a:tailEnd/>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13. Установка стента</w:t>
      </w:r>
      <w:r>
        <w:rPr>
          <w:rFonts w:ascii="Times New Roman" w:hAnsi="Times New Roman" w:cs="Times New Roman"/>
          <w:sz w:val="24"/>
          <w:szCs w:val="24"/>
        </w:rPr>
        <w:t xml:space="preserve"> </w:t>
      </w:r>
      <w:r w:rsidRPr="005614C1">
        <w:rPr>
          <w:rFonts w:ascii="Times New Roman" w:hAnsi="Times New Roman" w:cs="Times New Roman"/>
          <w:sz w:val="24"/>
          <w:szCs w:val="24"/>
        </w:rPr>
        <w:t>Даниша (Danis) в пищеводе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196D87" w:rsidRDefault="006D295C" w:rsidP="006D295C">
      <w:pPr>
        <w:spacing w:line="240" w:lineRule="auto"/>
        <w:contextualSpacing/>
        <w:jc w:val="both"/>
        <w:rPr>
          <w:rFonts w:ascii="Times New Roman" w:hAnsi="Times New Roman" w:cs="Times New Roman"/>
          <w:b/>
          <w:sz w:val="24"/>
          <w:szCs w:val="24"/>
        </w:rPr>
      </w:pPr>
      <w:r w:rsidRPr="00196D87">
        <w:rPr>
          <w:rFonts w:ascii="Times New Roman" w:hAnsi="Times New Roman" w:cs="Times New Roman"/>
          <w:b/>
          <w:sz w:val="24"/>
          <w:szCs w:val="24"/>
        </w:rPr>
        <w:t>4.4.Эндоваскулярные методы лечения кровотечений из ВРВ пищевода и желудка включают в себя:</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чреспеченочную</w:t>
      </w:r>
      <w:r>
        <w:rPr>
          <w:rFonts w:ascii="Times New Roman" w:hAnsi="Times New Roman" w:cs="Times New Roman"/>
          <w:sz w:val="24"/>
          <w:szCs w:val="24"/>
        </w:rPr>
        <w:t xml:space="preserve"> </w:t>
      </w:r>
      <w:r w:rsidRPr="005614C1">
        <w:rPr>
          <w:rFonts w:ascii="Times New Roman" w:hAnsi="Times New Roman" w:cs="Times New Roman"/>
          <w:sz w:val="24"/>
          <w:szCs w:val="24"/>
        </w:rPr>
        <w:t>чрескожную облитерацию внеорганных вен желудка</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трансъюгулярное внутрипеченочное портосистемное</w:t>
      </w:r>
      <w:r>
        <w:rPr>
          <w:rFonts w:ascii="Times New Roman" w:hAnsi="Times New Roman" w:cs="Times New Roman"/>
          <w:sz w:val="24"/>
          <w:szCs w:val="24"/>
        </w:rPr>
        <w:t xml:space="preserve"> шунтирован</w:t>
      </w:r>
      <w:r w:rsidRPr="005614C1">
        <w:rPr>
          <w:rFonts w:ascii="Times New Roman" w:hAnsi="Times New Roman" w:cs="Times New Roman"/>
          <w:sz w:val="24"/>
          <w:szCs w:val="24"/>
        </w:rPr>
        <w:t>ие (TIPS)</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Плохая переносимость больными циррозом печени обширных травматических хирургических вмешательств послужила основанием для отказа от операций портокавального шунтирования  в пользу методики чреспеченочной</w:t>
      </w:r>
      <w:r>
        <w:rPr>
          <w:rFonts w:ascii="Times New Roman" w:hAnsi="Times New Roman" w:cs="Times New Roman"/>
          <w:sz w:val="24"/>
          <w:szCs w:val="24"/>
        </w:rPr>
        <w:t xml:space="preserve"> </w:t>
      </w:r>
      <w:r w:rsidRPr="005614C1">
        <w:rPr>
          <w:rFonts w:ascii="Times New Roman" w:hAnsi="Times New Roman" w:cs="Times New Roman"/>
          <w:sz w:val="24"/>
          <w:szCs w:val="24"/>
        </w:rPr>
        <w:t>чрескожной облитерации внеор</w:t>
      </w:r>
      <w:r>
        <w:rPr>
          <w:rFonts w:ascii="Times New Roman" w:hAnsi="Times New Roman" w:cs="Times New Roman"/>
          <w:sz w:val="24"/>
          <w:szCs w:val="24"/>
        </w:rPr>
        <w:t>ганных вен желудка</w:t>
      </w:r>
      <w:r w:rsidRPr="005614C1">
        <w:rPr>
          <w:rFonts w:ascii="Times New Roman" w:hAnsi="Times New Roman" w:cs="Times New Roman"/>
          <w:sz w:val="24"/>
          <w:szCs w:val="24"/>
        </w:rPr>
        <w:t xml:space="preserve"> [</w:t>
      </w:r>
      <w:r>
        <w:rPr>
          <w:rFonts w:ascii="Times New Roman" w:hAnsi="Times New Roman" w:cs="Times New Roman"/>
          <w:sz w:val="24"/>
          <w:szCs w:val="24"/>
        </w:rPr>
        <w:t>33</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Смысл данного вмешательства заключается в разобщении портокавального</w:t>
      </w:r>
      <w:r>
        <w:rPr>
          <w:rFonts w:ascii="Times New Roman" w:hAnsi="Times New Roman" w:cs="Times New Roman"/>
          <w:sz w:val="24"/>
          <w:szCs w:val="24"/>
        </w:rPr>
        <w:t xml:space="preserve"> </w:t>
      </w:r>
      <w:r w:rsidRPr="005614C1">
        <w:rPr>
          <w:rFonts w:ascii="Times New Roman" w:hAnsi="Times New Roman" w:cs="Times New Roman"/>
          <w:sz w:val="24"/>
          <w:szCs w:val="24"/>
        </w:rPr>
        <w:t>перетока крови путем эмболизации левой желудочной и коротких вен желудка с помощью эмболизирующих материалов и металлической спирали Гиантурко, что позволяет снизить напряжение в варикозно расширенных венах желудка и пищевода и тем самым уменьшить риск кровотечения из варикозно расширенных вен пищевода и желудка (рис.14).</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noProof/>
          <w:sz w:val="24"/>
          <w:szCs w:val="24"/>
        </w:rPr>
        <w:lastRenderedPageBreak/>
        <w:drawing>
          <wp:inline distT="0" distB="0" distL="0" distR="0">
            <wp:extent cx="2819400" cy="2417763"/>
            <wp:effectExtent l="57150" t="38100" r="95250" b="77787"/>
            <wp:docPr id="8" name="Рисунок 4" descr="ЭЭ1"/>
            <wp:cNvGraphicFramePr/>
            <a:graphic xmlns:a="http://schemas.openxmlformats.org/drawingml/2006/main">
              <a:graphicData uri="http://schemas.openxmlformats.org/drawingml/2006/picture">
                <pic:pic xmlns:pic="http://schemas.openxmlformats.org/drawingml/2006/picture">
                  <pic:nvPicPr>
                    <pic:cNvPr id="35871" name="Picture 31" descr="ЭЭ1"/>
                    <pic:cNvPicPr>
                      <a:picLocks noChangeAspect="1" noChangeArrowheads="1"/>
                    </pic:cNvPicPr>
                  </pic:nvPicPr>
                  <pic:blipFill>
                    <a:blip r:embed="rId21" cstate="print"/>
                    <a:srcRect/>
                    <a:stretch>
                      <a:fillRect/>
                    </a:stretch>
                  </pic:blipFill>
                  <pic:spPr bwMode="auto">
                    <a:xfrm>
                      <a:off x="0" y="0"/>
                      <a:ext cx="2819400" cy="2417763"/>
                    </a:xfrm>
                    <a:prstGeom prst="rect">
                      <a:avLst/>
                    </a:prstGeom>
                    <a:noFill/>
                    <a:ln w="38100">
                      <a:solidFill>
                        <a:srgbClr val="00FF00"/>
                      </a:solidFill>
                      <a:miter lim="800000"/>
                      <a:headEnd/>
                      <a:tailEnd/>
                    </a:ln>
                    <a:effectLst>
                      <a:outerShdw dist="71842" dir="2700000" algn="ctr" rotWithShape="0">
                        <a:srgbClr val="1F497D"/>
                      </a:outerShdw>
                    </a:effectLst>
                  </pic:spPr>
                </pic:pic>
              </a:graphicData>
            </a:graphic>
          </wp:inline>
        </w:drawing>
      </w:r>
      <w:r w:rsidRPr="005614C1">
        <w:rPr>
          <w:rFonts w:ascii="Times New Roman" w:hAnsi="Times New Roman" w:cs="Times New Roman"/>
          <w:noProof/>
          <w:sz w:val="24"/>
          <w:szCs w:val="24"/>
        </w:rPr>
        <w:drawing>
          <wp:inline distT="0" distB="0" distL="0" distR="0">
            <wp:extent cx="2819400" cy="2474912"/>
            <wp:effectExtent l="57150" t="38100" r="95250" b="77788"/>
            <wp:docPr id="9" name="Рисунок 3" descr="ЭЭ2"/>
            <wp:cNvGraphicFramePr/>
            <a:graphic xmlns:a="http://schemas.openxmlformats.org/drawingml/2006/main">
              <a:graphicData uri="http://schemas.openxmlformats.org/drawingml/2006/picture">
                <pic:pic xmlns:pic="http://schemas.openxmlformats.org/drawingml/2006/picture">
                  <pic:nvPicPr>
                    <pic:cNvPr id="35870" name="Picture 30" descr="ЭЭ2"/>
                    <pic:cNvPicPr>
                      <a:picLocks noChangeAspect="1" noChangeArrowheads="1"/>
                    </pic:cNvPicPr>
                  </pic:nvPicPr>
                  <pic:blipFill>
                    <a:blip r:embed="rId22" cstate="print"/>
                    <a:srcRect/>
                    <a:stretch>
                      <a:fillRect/>
                    </a:stretch>
                  </pic:blipFill>
                  <pic:spPr bwMode="auto">
                    <a:xfrm>
                      <a:off x="0" y="0"/>
                      <a:ext cx="2819400" cy="2474912"/>
                    </a:xfrm>
                    <a:prstGeom prst="rect">
                      <a:avLst/>
                    </a:prstGeom>
                    <a:noFill/>
                    <a:ln w="38100">
                      <a:solidFill>
                        <a:srgbClr val="00FF00"/>
                      </a:solidFill>
                      <a:miter lim="800000"/>
                      <a:headEnd/>
                      <a:tailEnd/>
                    </a:ln>
                    <a:effectLst>
                      <a:outerShdw dist="71842" dir="2700000" algn="ctr" rotWithShape="0">
                        <a:srgbClr val="1F497D"/>
                      </a:outerShdw>
                    </a:effectLst>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14. Эндоваскулярная</w:t>
      </w:r>
      <w:r>
        <w:rPr>
          <w:rFonts w:ascii="Times New Roman" w:hAnsi="Times New Roman" w:cs="Times New Roman"/>
          <w:sz w:val="24"/>
          <w:szCs w:val="24"/>
        </w:rPr>
        <w:t xml:space="preserve"> </w:t>
      </w:r>
      <w:r w:rsidRPr="005614C1">
        <w:rPr>
          <w:rFonts w:ascii="Times New Roman" w:hAnsi="Times New Roman" w:cs="Times New Roman"/>
          <w:sz w:val="24"/>
          <w:szCs w:val="24"/>
        </w:rPr>
        <w:t>эмболизация левой желудочной вены и коротких вен желудка.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Эндоваскулярная</w:t>
      </w:r>
      <w:r>
        <w:rPr>
          <w:rFonts w:ascii="Times New Roman" w:hAnsi="Times New Roman" w:cs="Times New Roman"/>
          <w:sz w:val="24"/>
          <w:szCs w:val="24"/>
        </w:rPr>
        <w:t xml:space="preserve"> </w:t>
      </w:r>
      <w:r w:rsidRPr="005614C1">
        <w:rPr>
          <w:rFonts w:ascii="Times New Roman" w:hAnsi="Times New Roman" w:cs="Times New Roman"/>
          <w:sz w:val="24"/>
          <w:szCs w:val="24"/>
        </w:rPr>
        <w:t>эмболизация ВРВ желудка применяется с целью профилактики и лечения кровотечения из варикозно расширенных вен эзофагокардиальной зоны. Но она также эффективна при рецидивах кровотечений из вен желудка. Осуществить данную манипуляцию возможно только в клиниках, имеющих рентгенангиографическую аппаратуру. Через 6 месяцев после первой процедуры необходимо повторять рентгенэндоваскулярную</w:t>
      </w:r>
      <w:r>
        <w:rPr>
          <w:rFonts w:ascii="Times New Roman" w:hAnsi="Times New Roman" w:cs="Times New Roman"/>
          <w:sz w:val="24"/>
          <w:szCs w:val="24"/>
        </w:rPr>
        <w:t xml:space="preserve"> </w:t>
      </w:r>
      <w:r w:rsidRPr="005614C1">
        <w:rPr>
          <w:rFonts w:ascii="Times New Roman" w:hAnsi="Times New Roman" w:cs="Times New Roman"/>
          <w:sz w:val="24"/>
          <w:szCs w:val="24"/>
        </w:rPr>
        <w:t>эмболизацию в связи с быстрой реканализацией</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тромбированных вен и высоким риском рецидива кровотечения. Данный метод выполним только у больных циррозом печени и проходимой воротной веной. Фатальным </w:t>
      </w:r>
      <w:r>
        <w:rPr>
          <w:rFonts w:ascii="Times New Roman" w:hAnsi="Times New Roman" w:cs="Times New Roman"/>
          <w:sz w:val="24"/>
          <w:szCs w:val="24"/>
        </w:rPr>
        <w:t>осложнением данной методики являю</w:t>
      </w:r>
      <w:r w:rsidRPr="005614C1">
        <w:rPr>
          <w:rFonts w:ascii="Times New Roman" w:hAnsi="Times New Roman" w:cs="Times New Roman"/>
          <w:sz w:val="24"/>
          <w:szCs w:val="24"/>
        </w:rPr>
        <w:t>тся продолженный тромбоз воротной вены и последующие неконтролируемые кровотечения из варикозно расширенных вен пищевода и желудка.</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196D87" w:rsidRDefault="006D295C" w:rsidP="006D295C">
      <w:pPr>
        <w:spacing w:line="240" w:lineRule="auto"/>
        <w:contextualSpacing/>
        <w:jc w:val="both"/>
        <w:rPr>
          <w:rFonts w:ascii="Times New Roman" w:hAnsi="Times New Roman" w:cs="Times New Roman"/>
          <w:b/>
          <w:sz w:val="24"/>
          <w:szCs w:val="24"/>
        </w:rPr>
      </w:pPr>
      <w:r w:rsidRPr="00196D87">
        <w:rPr>
          <w:rFonts w:ascii="Times New Roman" w:hAnsi="Times New Roman" w:cs="Times New Roman"/>
          <w:b/>
          <w:sz w:val="24"/>
          <w:szCs w:val="24"/>
        </w:rPr>
        <w:t>4.5. Трансъюгулярное</w:t>
      </w:r>
      <w:r>
        <w:rPr>
          <w:rFonts w:ascii="Times New Roman" w:hAnsi="Times New Roman" w:cs="Times New Roman"/>
          <w:b/>
          <w:sz w:val="24"/>
          <w:szCs w:val="24"/>
        </w:rPr>
        <w:t xml:space="preserve"> </w:t>
      </w:r>
      <w:r w:rsidRPr="00196D87">
        <w:rPr>
          <w:rFonts w:ascii="Times New Roman" w:hAnsi="Times New Roman" w:cs="Times New Roman"/>
          <w:b/>
          <w:sz w:val="24"/>
          <w:szCs w:val="24"/>
        </w:rPr>
        <w:t>внутрипеченоченое</w:t>
      </w:r>
      <w:r>
        <w:rPr>
          <w:rFonts w:ascii="Times New Roman" w:hAnsi="Times New Roman" w:cs="Times New Roman"/>
          <w:b/>
          <w:sz w:val="24"/>
          <w:szCs w:val="24"/>
        </w:rPr>
        <w:t xml:space="preserve"> </w:t>
      </w:r>
      <w:r w:rsidRPr="00196D87">
        <w:rPr>
          <w:rFonts w:ascii="Times New Roman" w:hAnsi="Times New Roman" w:cs="Times New Roman"/>
          <w:b/>
          <w:sz w:val="24"/>
          <w:szCs w:val="24"/>
        </w:rPr>
        <w:t>портосистемное шунтирование (TIPS)</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Большой интерес клиницистов вызвало внедрение в практику трансъюгулярного внутрипечено</w:t>
      </w:r>
      <w:r>
        <w:rPr>
          <w:rFonts w:ascii="Times New Roman" w:hAnsi="Times New Roman" w:cs="Times New Roman"/>
          <w:sz w:val="24"/>
          <w:szCs w:val="24"/>
        </w:rPr>
        <w:t>чного портосистемного шунтирован</w:t>
      </w:r>
      <w:r w:rsidRPr="005614C1">
        <w:rPr>
          <w:rFonts w:ascii="Times New Roman" w:hAnsi="Times New Roman" w:cs="Times New Roman"/>
          <w:sz w:val="24"/>
          <w:szCs w:val="24"/>
        </w:rPr>
        <w:t>ие (TIPS), разработанного J.Rosch и соавт. в 1969 году. Общепринятое сокращенное название данной методики – TIPS (Transjugular</w:t>
      </w:r>
      <w:r>
        <w:rPr>
          <w:rFonts w:ascii="Times New Roman" w:hAnsi="Times New Roman" w:cs="Times New Roman"/>
          <w:sz w:val="24"/>
          <w:szCs w:val="24"/>
        </w:rPr>
        <w:t xml:space="preserve"> </w:t>
      </w:r>
      <w:r w:rsidRPr="005614C1">
        <w:rPr>
          <w:rFonts w:ascii="Times New Roman" w:hAnsi="Times New Roman" w:cs="Times New Roman"/>
          <w:sz w:val="24"/>
          <w:szCs w:val="24"/>
        </w:rPr>
        <w:t>intrahepatic</w:t>
      </w:r>
      <w:r>
        <w:rPr>
          <w:rFonts w:ascii="Times New Roman" w:hAnsi="Times New Roman" w:cs="Times New Roman"/>
          <w:sz w:val="24"/>
          <w:szCs w:val="24"/>
        </w:rPr>
        <w:t xml:space="preserve"> </w:t>
      </w:r>
      <w:r w:rsidRPr="005614C1">
        <w:rPr>
          <w:rFonts w:ascii="Times New Roman" w:hAnsi="Times New Roman" w:cs="Times New Roman"/>
          <w:sz w:val="24"/>
          <w:szCs w:val="24"/>
        </w:rPr>
        <w:t>portosystemic</w:t>
      </w:r>
      <w:r>
        <w:rPr>
          <w:rFonts w:ascii="Times New Roman" w:hAnsi="Times New Roman" w:cs="Times New Roman"/>
          <w:sz w:val="24"/>
          <w:szCs w:val="24"/>
        </w:rPr>
        <w:t xml:space="preserve"> </w:t>
      </w:r>
      <w:r w:rsidRPr="005614C1">
        <w:rPr>
          <w:rFonts w:ascii="Times New Roman" w:hAnsi="Times New Roman" w:cs="Times New Roman"/>
          <w:sz w:val="24"/>
          <w:szCs w:val="24"/>
        </w:rPr>
        <w:t>shunt).</w:t>
      </w: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TIPS является малоинвазивной хирургической операцией, проводимой под контролем рентгеноскопии и включает в себя ряд эндоваскулярных процедур в </w:t>
      </w:r>
      <w:r w:rsidRPr="005614C1">
        <w:rPr>
          <w:rFonts w:ascii="Times New Roman" w:hAnsi="Times New Roman" w:cs="Times New Roman"/>
          <w:sz w:val="24"/>
          <w:szCs w:val="24"/>
        </w:rPr>
        <w:lastRenderedPageBreak/>
        <w:t>определенной последовательности</w:t>
      </w:r>
      <w:r>
        <w:rPr>
          <w:rFonts w:ascii="Times New Roman" w:hAnsi="Times New Roman" w:cs="Times New Roman"/>
          <w:sz w:val="24"/>
          <w:szCs w:val="24"/>
        </w:rPr>
        <w:t>. П</w:t>
      </w:r>
      <w:r w:rsidRPr="005614C1">
        <w:rPr>
          <w:rFonts w:ascii="Times New Roman" w:hAnsi="Times New Roman" w:cs="Times New Roman"/>
          <w:sz w:val="24"/>
          <w:szCs w:val="24"/>
        </w:rPr>
        <w:t>осле пункции яремной вены с помощью сосудистых стентов (голометаллических или стент-графтов) формируется внутрипеченочное соустье между крупными печеночными венами и ветвями воротной вены. В результате использования  TIPS сохраняется гепатопетальный кровоток и осуществляется отчетливая портальная декомпрессия. Успех  процедуры во многом зависит от квалификации оперирующего хирурга и учёта им индивидуальных анатомических особенностей пациента (рис. 15).</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1535" cy="23691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535" cy="2369185"/>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15. Схема трансъюгулярногопортокавального</w:t>
      </w:r>
      <w:r>
        <w:rPr>
          <w:rFonts w:ascii="Times New Roman" w:hAnsi="Times New Roman" w:cs="Times New Roman"/>
          <w:sz w:val="24"/>
          <w:szCs w:val="24"/>
        </w:rPr>
        <w:t xml:space="preserve"> </w:t>
      </w:r>
      <w:r w:rsidRPr="005614C1">
        <w:rPr>
          <w:rFonts w:ascii="Times New Roman" w:hAnsi="Times New Roman" w:cs="Times New Roman"/>
          <w:sz w:val="24"/>
          <w:szCs w:val="24"/>
        </w:rPr>
        <w:t>стентирования (TIPS).</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3F7038" w:rsidRDefault="006D295C" w:rsidP="006D295C">
      <w:pPr>
        <w:spacing w:line="240" w:lineRule="auto"/>
        <w:contextualSpacing/>
        <w:jc w:val="both"/>
        <w:rPr>
          <w:rFonts w:ascii="Times New Roman" w:hAnsi="Times New Roman" w:cs="Times New Roman"/>
          <w:b/>
          <w:sz w:val="24"/>
          <w:szCs w:val="24"/>
        </w:rPr>
      </w:pPr>
      <w:r w:rsidRPr="003F7038">
        <w:rPr>
          <w:rFonts w:ascii="Times New Roman" w:hAnsi="Times New Roman" w:cs="Times New Roman"/>
          <w:b/>
          <w:sz w:val="24"/>
          <w:szCs w:val="24"/>
        </w:rPr>
        <w:t xml:space="preserve">Показания к TIPS: </w:t>
      </w:r>
    </w:p>
    <w:p w:rsidR="006D295C" w:rsidRPr="00EF6032" w:rsidRDefault="006D295C" w:rsidP="006D295C">
      <w:pPr>
        <w:pStyle w:val="a4"/>
        <w:numPr>
          <w:ilvl w:val="0"/>
          <w:numId w:val="12"/>
        </w:numPr>
        <w:jc w:val="both"/>
      </w:pPr>
      <w:r w:rsidRPr="00EF6032">
        <w:t>Продолжаю</w:t>
      </w:r>
      <w:r>
        <w:t xml:space="preserve">щееся кровотечение из варикозно </w:t>
      </w:r>
      <w:r w:rsidRPr="00EF6032">
        <w:t>расширенных вен пищевода и желудка, которое невозможно остановить с помощью медикаментозной терапии или эндоскопических методов.</w:t>
      </w:r>
    </w:p>
    <w:p w:rsidR="006D295C" w:rsidRPr="00EF6032" w:rsidRDefault="006D295C" w:rsidP="006D295C">
      <w:pPr>
        <w:pStyle w:val="a4"/>
        <w:numPr>
          <w:ilvl w:val="0"/>
          <w:numId w:val="12"/>
        </w:numPr>
        <w:jc w:val="both"/>
      </w:pPr>
      <w:r w:rsidRPr="00EF6032">
        <w:t>Повторные кровотечения у пациентов, прошедших эндоскопическое лечение с/или без терапии β-блокаторами и/или имеющие противопоказание к эндоскопическому  вмешательству</w:t>
      </w:r>
      <w:r>
        <w:t>.</w:t>
      </w:r>
    </w:p>
    <w:p w:rsidR="006D295C" w:rsidRPr="00EF6032" w:rsidRDefault="006D295C" w:rsidP="006D295C">
      <w:pPr>
        <w:pStyle w:val="a4"/>
        <w:numPr>
          <w:ilvl w:val="0"/>
          <w:numId w:val="12"/>
        </w:numPr>
        <w:jc w:val="both"/>
      </w:pPr>
      <w:r w:rsidRPr="00EF6032">
        <w:t>Рецидивом следует считать повторное появление мелены и/или гематемезиса даже при наличии стабильных гемодинамических показателей и уровня гемоглобина и гематокрита в течение по крайней мере 24 часов после первого эпизода острого кровотечения.</w:t>
      </w:r>
    </w:p>
    <w:p w:rsidR="006D295C" w:rsidRPr="00EF6032" w:rsidRDefault="006D295C" w:rsidP="006D295C">
      <w:pPr>
        <w:pStyle w:val="a4"/>
        <w:numPr>
          <w:ilvl w:val="0"/>
          <w:numId w:val="12"/>
        </w:numPr>
        <w:jc w:val="both"/>
      </w:pPr>
      <w:r w:rsidRPr="00EF6032">
        <w:t>Резистентный к диуретической терапии асцит</w:t>
      </w:r>
      <w:r>
        <w:t>.</w:t>
      </w:r>
    </w:p>
    <w:p w:rsidR="006D295C" w:rsidRPr="00EF6032" w:rsidRDefault="006D295C" w:rsidP="006D295C">
      <w:pPr>
        <w:pStyle w:val="a4"/>
        <w:numPr>
          <w:ilvl w:val="0"/>
          <w:numId w:val="12"/>
        </w:numPr>
        <w:jc w:val="both"/>
      </w:pPr>
      <w:r w:rsidRPr="00EF6032">
        <w:t>Печеночный гидроторакс, резистентный к диуретической терапии и/или его рецидив после плевральных пункций.</w:t>
      </w:r>
    </w:p>
    <w:p w:rsidR="006D295C" w:rsidRPr="00EF6032" w:rsidRDefault="006D295C" w:rsidP="006D295C">
      <w:pPr>
        <w:pStyle w:val="a4"/>
        <w:numPr>
          <w:ilvl w:val="0"/>
          <w:numId w:val="12"/>
        </w:numPr>
        <w:jc w:val="both"/>
      </w:pPr>
      <w:r w:rsidRPr="00EF6032">
        <w:t>Массивные повторные кровотечения из варикозно</w:t>
      </w:r>
      <w:r>
        <w:t xml:space="preserve"> </w:t>
      </w:r>
      <w:r w:rsidRPr="00EF6032">
        <w:t>расширенных вен тонкой и толстой кишки.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782620" w:rsidRDefault="006D295C" w:rsidP="006D295C">
      <w:pPr>
        <w:spacing w:line="240" w:lineRule="auto"/>
        <w:contextualSpacing/>
        <w:jc w:val="both"/>
        <w:rPr>
          <w:rFonts w:ascii="Times New Roman" w:hAnsi="Times New Roman" w:cs="Times New Roman"/>
          <w:b/>
          <w:sz w:val="24"/>
          <w:szCs w:val="24"/>
        </w:rPr>
      </w:pPr>
      <w:r w:rsidRPr="00782620">
        <w:rPr>
          <w:rFonts w:ascii="Times New Roman" w:hAnsi="Times New Roman" w:cs="Times New Roman"/>
          <w:b/>
          <w:sz w:val="24"/>
          <w:szCs w:val="24"/>
        </w:rPr>
        <w:t>Противопоказаниями к проведению TIPS являются:</w:t>
      </w:r>
    </w:p>
    <w:p w:rsidR="006D295C" w:rsidRPr="00782620" w:rsidRDefault="006D295C" w:rsidP="006D295C">
      <w:pPr>
        <w:pStyle w:val="a4"/>
        <w:numPr>
          <w:ilvl w:val="0"/>
          <w:numId w:val="7"/>
        </w:numPr>
        <w:jc w:val="both"/>
      </w:pPr>
      <w:r w:rsidRPr="00782620">
        <w:t xml:space="preserve">Показатель MELD &gt; 20 баллов или </w:t>
      </w:r>
      <w:r>
        <w:t xml:space="preserve"> резистентной к диуретической терапии асцит</w:t>
      </w:r>
      <w:r w:rsidRPr="00782620">
        <w:t>.</w:t>
      </w:r>
    </w:p>
    <w:p w:rsidR="006D295C" w:rsidRPr="00782620" w:rsidRDefault="006D295C" w:rsidP="006D295C">
      <w:pPr>
        <w:pStyle w:val="a4"/>
        <w:numPr>
          <w:ilvl w:val="0"/>
          <w:numId w:val="7"/>
        </w:numPr>
        <w:jc w:val="both"/>
      </w:pPr>
      <w:r w:rsidRPr="00782620">
        <w:t>Количество баллов по шкале Child-Turcotte-Pugh&gt; 11 баллов или общий билирубин более 60 мкмоль/л при проведении TIPS по поводу кровотечений из ВРВП.</w:t>
      </w:r>
    </w:p>
    <w:p w:rsidR="006D295C" w:rsidRPr="00782620" w:rsidRDefault="006D295C" w:rsidP="006D295C">
      <w:pPr>
        <w:pStyle w:val="a4"/>
        <w:numPr>
          <w:ilvl w:val="0"/>
          <w:numId w:val="7"/>
        </w:numPr>
        <w:jc w:val="both"/>
      </w:pPr>
      <w:r w:rsidRPr="00782620">
        <w:t>Печеночная эн</w:t>
      </w:r>
      <w:r>
        <w:t>цефалопатия 3-4 степени, некорри</w:t>
      </w:r>
      <w:r w:rsidRPr="00782620">
        <w:t>гируемая медикаментозно.</w:t>
      </w:r>
    </w:p>
    <w:p w:rsidR="006D295C" w:rsidRPr="00782620" w:rsidRDefault="006D295C" w:rsidP="006D295C">
      <w:pPr>
        <w:pStyle w:val="a4"/>
        <w:numPr>
          <w:ilvl w:val="0"/>
          <w:numId w:val="7"/>
        </w:numPr>
        <w:jc w:val="both"/>
      </w:pPr>
      <w:r w:rsidRPr="00782620">
        <w:t>Ишемическая болезнь сердца или дилятационная</w:t>
      </w:r>
      <w:r>
        <w:t xml:space="preserve"> </w:t>
      </w:r>
      <w:r w:rsidRPr="00782620">
        <w:t>кардиомиопатия</w:t>
      </w:r>
      <w:r>
        <w:t>,</w:t>
      </w:r>
      <w:r w:rsidRPr="00782620">
        <w:t xml:space="preserve"> ассоциированные с недостаточностью кровообращения выше 1 степени.</w:t>
      </w:r>
    </w:p>
    <w:p w:rsidR="006D295C" w:rsidRPr="00782620" w:rsidRDefault="006D295C" w:rsidP="006D295C">
      <w:pPr>
        <w:pStyle w:val="a4"/>
        <w:numPr>
          <w:ilvl w:val="0"/>
          <w:numId w:val="7"/>
        </w:numPr>
        <w:jc w:val="both"/>
      </w:pPr>
      <w:r w:rsidRPr="00782620">
        <w:t>Повреждения, опухоли печени, поликистозная болезнь печени, агональное состояние.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B67806">
        <w:rPr>
          <w:rFonts w:ascii="Times New Roman" w:hAnsi="Times New Roman" w:cs="Times New Roman"/>
          <w:b/>
          <w:sz w:val="24"/>
          <w:szCs w:val="24"/>
        </w:rPr>
        <w:t>Относительным противопоказанием к TIPS</w:t>
      </w:r>
      <w:r w:rsidRPr="005614C1">
        <w:rPr>
          <w:rFonts w:ascii="Times New Roman" w:hAnsi="Times New Roman" w:cs="Times New Roman"/>
          <w:sz w:val="24"/>
          <w:szCs w:val="24"/>
        </w:rPr>
        <w:t xml:space="preserve"> можно считать хроническую окклюзию воротной вены с развитыми коллатералями. В некоторых случаях TIPS можно осуществить при неокклюзивном характере тромбоза. </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Выполнение TIPS в ряде случаев возможно  при кавернозной трансформации воротной вены, при этом для выполнения процедуры используется комбинация доступов - чрескожного и эндоваскулярного.</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Уменьшение портосистемного градиента ниже 12 мм.рт.ст</w:t>
      </w:r>
      <w:r>
        <w:rPr>
          <w:rFonts w:ascii="Times New Roman" w:hAnsi="Times New Roman" w:cs="Times New Roman"/>
          <w:sz w:val="24"/>
          <w:szCs w:val="24"/>
        </w:rPr>
        <w:t>.</w:t>
      </w:r>
      <w:r w:rsidRPr="005614C1">
        <w:rPr>
          <w:rFonts w:ascii="Times New Roman" w:hAnsi="Times New Roman" w:cs="Times New Roman"/>
          <w:sz w:val="24"/>
          <w:szCs w:val="24"/>
        </w:rPr>
        <w:t xml:space="preserve"> является достаточным для остановки продолжающегося кровотечения. Однако в ургентных ситуациях невозможно руководствоваться данным критерием, так как на параметры гемодинамики могут существенно влиять наличие напряженного асцита, медикаменты, септические осложнения, выброс цитокинов и др. Поэтому успешный исход TIPS и остановка кровотечения прогнозируются при  снижение исходного давления в воротной вене по крайней мере на 20%.</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9F71A7" w:rsidRDefault="006D295C" w:rsidP="006D295C">
      <w:pPr>
        <w:spacing w:line="240" w:lineRule="auto"/>
        <w:contextualSpacing/>
        <w:jc w:val="both"/>
        <w:rPr>
          <w:rFonts w:ascii="Times New Roman" w:hAnsi="Times New Roman" w:cs="Times New Roman"/>
          <w:b/>
          <w:sz w:val="24"/>
          <w:szCs w:val="24"/>
        </w:rPr>
      </w:pPr>
      <w:r w:rsidRPr="009F71A7">
        <w:rPr>
          <w:rFonts w:ascii="Times New Roman" w:hAnsi="Times New Roman" w:cs="Times New Roman"/>
          <w:b/>
          <w:sz w:val="24"/>
          <w:szCs w:val="24"/>
        </w:rPr>
        <w:t>Особенности методики трансъюгулярного внутрипеченочного портосистемного шунтирования:</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1.Чрескожная катетеризация внутренней яремной вены</w:t>
      </w:r>
      <w:r>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2.Катетеризация печеночной вены.</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3.Печеночная флебография, определение «давления заклинивания» и порто-системного градиента. Давление в воротной вене напрямую связано с риском возникновения кровотечений из варикозно расширенных вен пищевода и желудка. Его измерение – один из самых важных показателей для пациентов с портальной гипертензией.</w:t>
      </w: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5. Доступ в воротную вену. Для облегчения этого этапа операции целесообразно использовать УЗИ наведение пункционной иглы и карбоксипортографию (рис.16)</w:t>
      </w:r>
    </w:p>
    <w:p w:rsidR="006D295C" w:rsidRPr="005614C1"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0000" cy="31926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0000" cy="3192677"/>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Рисунок16. Трансъюгулярная</w:t>
      </w:r>
      <w:r>
        <w:rPr>
          <w:rFonts w:ascii="Times New Roman" w:hAnsi="Times New Roman" w:cs="Times New Roman"/>
          <w:sz w:val="24"/>
          <w:szCs w:val="24"/>
        </w:rPr>
        <w:t xml:space="preserve"> </w:t>
      </w:r>
      <w:r w:rsidRPr="005614C1">
        <w:rPr>
          <w:rFonts w:ascii="Times New Roman" w:hAnsi="Times New Roman" w:cs="Times New Roman"/>
          <w:sz w:val="24"/>
          <w:szCs w:val="24"/>
        </w:rPr>
        <w:t>портография с использованием СО</w:t>
      </w:r>
      <w:r w:rsidRPr="004D2607">
        <w:rPr>
          <w:rFonts w:ascii="Times New Roman" w:hAnsi="Times New Roman" w:cs="Times New Roman"/>
          <w:sz w:val="24"/>
          <w:szCs w:val="24"/>
          <w:vertAlign w:val="subscript"/>
        </w:rPr>
        <w:t>2</w:t>
      </w:r>
      <w:r w:rsidRPr="005614C1">
        <w:rPr>
          <w:rFonts w:ascii="Times New Roman" w:hAnsi="Times New Roman" w:cs="Times New Roman"/>
          <w:sz w:val="24"/>
          <w:szCs w:val="24"/>
        </w:rPr>
        <w:t>.</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0900" cy="3340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Рисунок 17.Дилятация внутрипеченочного тракта. </w:t>
      </w:r>
    </w:p>
    <w:p w:rsidR="006D295C" w:rsidRPr="00551681" w:rsidRDefault="006D295C" w:rsidP="006D295C">
      <w:pPr>
        <w:spacing w:line="240" w:lineRule="auto"/>
        <w:contextualSpacing/>
        <w:jc w:val="both"/>
        <w:rPr>
          <w:rFonts w:ascii="Times New Roman" w:hAnsi="Times New Roman" w:cs="Times New Roman"/>
          <w:i/>
          <w:sz w:val="24"/>
          <w:szCs w:val="24"/>
        </w:rPr>
      </w:pPr>
      <w:r w:rsidRPr="00551681">
        <w:rPr>
          <w:rFonts w:ascii="Times New Roman" w:hAnsi="Times New Roman" w:cs="Times New Roman"/>
          <w:i/>
          <w:sz w:val="24"/>
          <w:szCs w:val="24"/>
        </w:rPr>
        <w:t xml:space="preserve">Предпочтительнее использовать дефлятор в связи с высокой плотностью паренхимы печени. </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7. Стентирование. Для выполнения TIPS возможно применение голометаллических</w:t>
      </w:r>
      <w:r>
        <w:rPr>
          <w:rFonts w:ascii="Times New Roman" w:hAnsi="Times New Roman" w:cs="Times New Roman"/>
          <w:sz w:val="24"/>
          <w:szCs w:val="24"/>
        </w:rPr>
        <w:t xml:space="preserve"> </w:t>
      </w:r>
      <w:r w:rsidRPr="005614C1">
        <w:rPr>
          <w:rFonts w:ascii="Times New Roman" w:hAnsi="Times New Roman" w:cs="Times New Roman"/>
          <w:sz w:val="24"/>
          <w:szCs w:val="24"/>
        </w:rPr>
        <w:t>стентов или стент-графтов (предпочтительнее).</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8. Портография. После стентирования выполняется портография для визуализации портосистемного анастомоза. Кроме того, портография может показать наличие таких осложнений</w:t>
      </w:r>
      <w:r>
        <w:rPr>
          <w:rFonts w:ascii="Times New Roman" w:hAnsi="Times New Roman" w:cs="Times New Roman"/>
          <w:sz w:val="24"/>
          <w:szCs w:val="24"/>
        </w:rPr>
        <w:t>,  как</w:t>
      </w:r>
      <w:r w:rsidRPr="005614C1">
        <w:rPr>
          <w:rFonts w:ascii="Times New Roman" w:hAnsi="Times New Roman" w:cs="Times New Roman"/>
          <w:sz w:val="24"/>
          <w:szCs w:val="24"/>
        </w:rPr>
        <w:t xml:space="preserve">  пристеночный тромбоз, перекрут</w:t>
      </w:r>
      <w:r>
        <w:rPr>
          <w:rFonts w:ascii="Times New Roman" w:hAnsi="Times New Roman" w:cs="Times New Roman"/>
          <w:sz w:val="24"/>
          <w:szCs w:val="24"/>
        </w:rPr>
        <w:t xml:space="preserve"> </w:t>
      </w:r>
      <w:r w:rsidRPr="005614C1">
        <w:rPr>
          <w:rFonts w:ascii="Times New Roman" w:hAnsi="Times New Roman" w:cs="Times New Roman"/>
          <w:sz w:val="24"/>
          <w:szCs w:val="24"/>
        </w:rPr>
        <w:t>стента. Наиболее информативна контрольная портография при использовании 3D-моделирования.</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250" cy="3124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124200"/>
                    </a:xfrm>
                    <a:prstGeom prst="rect">
                      <a:avLst/>
                    </a:prstGeom>
                    <a:noFill/>
                    <a:ln>
                      <a:noFill/>
                    </a:ln>
                  </pic:spPr>
                </pic:pic>
              </a:graphicData>
            </a:graphic>
          </wp:inline>
        </w:drawing>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Рисунок 18. Функционирующий портосистемный шунт.</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Дополнительный этап TIPS</w:t>
      </w:r>
      <w:r>
        <w:rPr>
          <w:rFonts w:ascii="Times New Roman" w:hAnsi="Times New Roman" w:cs="Times New Roman"/>
          <w:sz w:val="24"/>
          <w:szCs w:val="24"/>
        </w:rPr>
        <w:t xml:space="preserve"> </w:t>
      </w:r>
      <w:r w:rsidRPr="005614C1">
        <w:rPr>
          <w:rFonts w:ascii="Times New Roman" w:hAnsi="Times New Roman" w:cs="Times New Roman"/>
          <w:sz w:val="24"/>
          <w:szCs w:val="24"/>
        </w:rPr>
        <w:t>-</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 эмболизация левой желудочной вены.</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Основными ранними осложнениями после установки TIPS является стеноз и тромбоз  шунта, что приводит к рецидиву кровотечения. Данное осложнение требует повторного эндоваскулярного вмешательства.</w:t>
      </w:r>
    </w:p>
    <w:p w:rsidR="006D295C"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Из поздних осложнений TIPS чаще других встречается печеночная энцефалопатия (10,2% больных).</w:t>
      </w:r>
    </w:p>
    <w:p w:rsidR="006D295C" w:rsidRPr="005614C1"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250" cy="3886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3886200"/>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Рисунок 19.</w:t>
      </w:r>
      <w:r>
        <w:rPr>
          <w:rFonts w:ascii="Times New Roman" w:hAnsi="Times New Roman" w:cs="Times New Roman"/>
          <w:sz w:val="24"/>
          <w:szCs w:val="24"/>
        </w:rPr>
        <w:t xml:space="preserve"> </w:t>
      </w:r>
      <w:r w:rsidRPr="005614C1">
        <w:rPr>
          <w:rFonts w:ascii="Times New Roman" w:hAnsi="Times New Roman" w:cs="Times New Roman"/>
          <w:sz w:val="24"/>
          <w:szCs w:val="24"/>
        </w:rPr>
        <w:t>Схема  лечения  печеночной энцефалопатии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По мнению подавляющего большинства авторов, применение TIPS  целесообразно у больных с циррозом печени и портальной гипертензией, которым планируется трансплантация печени [16, 20, 21, 24</w:t>
      </w:r>
      <w:r>
        <w:rPr>
          <w:rFonts w:ascii="Times New Roman" w:hAnsi="Times New Roman" w:cs="Times New Roman"/>
          <w:sz w:val="24"/>
          <w:szCs w:val="24"/>
        </w:rPr>
        <w:t xml:space="preserve">, </w:t>
      </w:r>
      <w:r w:rsidRPr="00B00923">
        <w:rPr>
          <w:rFonts w:ascii="Times New Roman" w:hAnsi="Times New Roman" w:cs="Times New Roman"/>
          <w:sz w:val="24"/>
          <w:szCs w:val="24"/>
        </w:rPr>
        <w:t>30</w:t>
      </w:r>
      <w:r w:rsidRPr="005614C1">
        <w:rPr>
          <w:rFonts w:ascii="Times New Roman" w:hAnsi="Times New Roman" w:cs="Times New Roman"/>
          <w:sz w:val="24"/>
          <w:szCs w:val="24"/>
        </w:rPr>
        <w:t xml:space="preserve">, </w:t>
      </w:r>
      <w:r>
        <w:rPr>
          <w:rFonts w:ascii="Times New Roman" w:hAnsi="Times New Roman" w:cs="Times New Roman"/>
          <w:sz w:val="24"/>
          <w:szCs w:val="24"/>
        </w:rPr>
        <w:t>3</w:t>
      </w:r>
      <w:r w:rsidRPr="00B00923">
        <w:rPr>
          <w:rFonts w:ascii="Times New Roman" w:hAnsi="Times New Roman" w:cs="Times New Roman"/>
          <w:sz w:val="24"/>
          <w:szCs w:val="24"/>
        </w:rPr>
        <w:t>3</w:t>
      </w:r>
      <w:r w:rsidRPr="005614C1">
        <w:rPr>
          <w:rFonts w:ascii="Times New Roman" w:hAnsi="Times New Roman" w:cs="Times New Roman"/>
          <w:sz w:val="24"/>
          <w:szCs w:val="24"/>
        </w:rPr>
        <w:t xml:space="preserve">].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При наличии высокого риска развития печеночной недостаточности целесообразнее использовать эндоскопические методы лечения ВРВ.</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Повторные вмешательства после</w:t>
      </w:r>
      <w:r>
        <w:rPr>
          <w:rFonts w:ascii="Times New Roman" w:hAnsi="Times New Roman" w:cs="Times New Roman"/>
          <w:sz w:val="24"/>
          <w:szCs w:val="24"/>
        </w:rPr>
        <w:t xml:space="preserve"> TIPS:</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Наиболее частыми показаниями к повторным вмешательствам служат тромбоз и стеноз стента.</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F55E91">
        <w:rPr>
          <w:rFonts w:ascii="Times New Roman" w:hAnsi="Times New Roman" w:cs="Times New Roman"/>
          <w:sz w:val="24"/>
          <w:szCs w:val="24"/>
          <w:u w:val="single"/>
        </w:rPr>
        <w:t>Для восстановления проходимости стента возможно применение</w:t>
      </w:r>
      <w:r w:rsidRPr="005614C1">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реканализации и баллонной ангиопластики</w:t>
      </w:r>
      <w:r>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реолитической</w:t>
      </w:r>
      <w:r>
        <w:rPr>
          <w:rFonts w:ascii="Times New Roman" w:hAnsi="Times New Roman" w:cs="Times New Roman"/>
          <w:sz w:val="24"/>
          <w:szCs w:val="24"/>
        </w:rPr>
        <w:t xml:space="preserve"> </w:t>
      </w:r>
      <w:r w:rsidRPr="005614C1">
        <w:rPr>
          <w:rFonts w:ascii="Times New Roman" w:hAnsi="Times New Roman" w:cs="Times New Roman"/>
          <w:sz w:val="24"/>
          <w:szCs w:val="24"/>
        </w:rPr>
        <w:t>тром</w:t>
      </w:r>
      <w:r>
        <w:rPr>
          <w:rFonts w:ascii="Times New Roman" w:hAnsi="Times New Roman" w:cs="Times New Roman"/>
          <w:sz w:val="24"/>
          <w:szCs w:val="24"/>
        </w:rPr>
        <w:t>б</w:t>
      </w:r>
      <w:r w:rsidRPr="005614C1">
        <w:rPr>
          <w:rFonts w:ascii="Times New Roman" w:hAnsi="Times New Roman" w:cs="Times New Roman"/>
          <w:sz w:val="24"/>
          <w:szCs w:val="24"/>
        </w:rPr>
        <w:t>эктомии</w:t>
      </w:r>
      <w:r>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стентирования «стент-в-стент»</w:t>
      </w:r>
      <w:r>
        <w:rPr>
          <w:rFonts w:ascii="Times New Roman" w:hAnsi="Times New Roman" w:cs="Times New Roman"/>
          <w:sz w:val="24"/>
          <w:szCs w:val="24"/>
        </w:rPr>
        <w:t>,</w: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 корзины Dormia</w:t>
      </w:r>
      <w:r>
        <w:rPr>
          <w:rFonts w:ascii="Times New Roman" w:hAnsi="Times New Roman" w:cs="Times New Roman"/>
          <w:sz w:val="24"/>
          <w:szCs w:val="24"/>
        </w:rPr>
        <w:t>.</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При невозможности вы</w:t>
      </w:r>
      <w:r>
        <w:rPr>
          <w:rFonts w:ascii="Times New Roman" w:hAnsi="Times New Roman" w:cs="Times New Roman"/>
          <w:sz w:val="24"/>
          <w:szCs w:val="24"/>
        </w:rPr>
        <w:t>полнить вышеперечисленные процедуры</w:t>
      </w:r>
      <w:r w:rsidRPr="005614C1">
        <w:rPr>
          <w:rFonts w:ascii="Times New Roman" w:hAnsi="Times New Roman" w:cs="Times New Roman"/>
          <w:sz w:val="24"/>
          <w:szCs w:val="24"/>
        </w:rPr>
        <w:t xml:space="preserve"> предпочтительнее выполнение параллельного внутрипеченочного портосистемного шунтирования (рис.</w:t>
      </w:r>
      <w:r>
        <w:rPr>
          <w:rFonts w:ascii="Times New Roman" w:hAnsi="Times New Roman" w:cs="Times New Roman"/>
          <w:sz w:val="24"/>
          <w:szCs w:val="24"/>
        </w:rPr>
        <w:t>20</w:t>
      </w:r>
      <w:r w:rsidRPr="005614C1">
        <w:rPr>
          <w:rFonts w:ascii="Times New Roman" w:hAnsi="Times New Roman" w:cs="Times New Roman"/>
          <w:sz w:val="24"/>
          <w:szCs w:val="24"/>
        </w:rPr>
        <w:t>)</w:t>
      </w:r>
      <w:r>
        <w:rPr>
          <w:rFonts w:ascii="Times New Roman" w:hAnsi="Times New Roman" w:cs="Times New Roman"/>
          <w:sz w:val="24"/>
          <w:szCs w:val="24"/>
        </w:rPr>
        <w:t>.</w:t>
      </w:r>
    </w:p>
    <w:p w:rsidR="006D295C"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0900" cy="4692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4692650"/>
                    </a:xfrm>
                    <a:prstGeom prst="rect">
                      <a:avLst/>
                    </a:prstGeom>
                    <a:noFill/>
                    <a:ln>
                      <a:noFill/>
                    </a:ln>
                  </pic:spPr>
                </pic:pic>
              </a:graphicData>
            </a:graphic>
          </wp:inline>
        </w:drawing>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Рисунок 20. Параллельный TIPS.</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AC34FA" w:rsidRDefault="006D295C" w:rsidP="006D295C">
      <w:pPr>
        <w:spacing w:line="240" w:lineRule="auto"/>
        <w:contextualSpacing/>
        <w:jc w:val="both"/>
        <w:rPr>
          <w:rFonts w:ascii="Times New Roman" w:hAnsi="Times New Roman" w:cs="Times New Roman"/>
          <w:b/>
          <w:sz w:val="24"/>
          <w:szCs w:val="24"/>
        </w:rPr>
      </w:pPr>
      <w:r w:rsidRPr="00AC34FA">
        <w:rPr>
          <w:rFonts w:ascii="Times New Roman" w:hAnsi="Times New Roman" w:cs="Times New Roman"/>
          <w:b/>
          <w:sz w:val="24"/>
          <w:szCs w:val="24"/>
        </w:rPr>
        <w:t xml:space="preserve">4.6. Хирургические методы лечения </w:t>
      </w:r>
    </w:p>
    <w:p w:rsidR="006D295C"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Среди многочисленных операций, предложенных для лечения и профилактики гастро-эзофагеальных кровотечений у больных портальной гипертензией, кроме портокавальных анастомозов, широкое распространение получили и операции непосредственно на варикозно расширенных венах пищевода и желудка, направленные на разобщение портальной системы</w:t>
      </w:r>
      <w:r>
        <w:rPr>
          <w:rFonts w:ascii="Times New Roman" w:hAnsi="Times New Roman" w:cs="Times New Roman"/>
          <w:sz w:val="24"/>
          <w:szCs w:val="24"/>
        </w:rPr>
        <w:t xml:space="preserve"> с бассейном непарной и полунеп</w:t>
      </w:r>
      <w:r w:rsidRPr="005614C1">
        <w:rPr>
          <w:rFonts w:ascii="Times New Roman" w:hAnsi="Times New Roman" w:cs="Times New Roman"/>
          <w:sz w:val="24"/>
          <w:szCs w:val="24"/>
        </w:rPr>
        <w:t>а</w:t>
      </w:r>
      <w:r>
        <w:rPr>
          <w:rFonts w:ascii="Times New Roman" w:hAnsi="Times New Roman" w:cs="Times New Roman"/>
          <w:sz w:val="24"/>
          <w:szCs w:val="24"/>
        </w:rPr>
        <w:t>р</w:t>
      </w:r>
      <w:r w:rsidRPr="005614C1">
        <w:rPr>
          <w:rFonts w:ascii="Times New Roman" w:hAnsi="Times New Roman" w:cs="Times New Roman"/>
          <w:sz w:val="24"/>
          <w:szCs w:val="24"/>
        </w:rPr>
        <w:t xml:space="preserve">ных вен [2, 4, 7].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Наиболее эффективной операцией за</w:t>
      </w:r>
      <w:r>
        <w:rPr>
          <w:rFonts w:ascii="Times New Roman" w:hAnsi="Times New Roman" w:cs="Times New Roman"/>
          <w:sz w:val="24"/>
          <w:szCs w:val="24"/>
        </w:rPr>
        <w:t xml:space="preserve"> </w:t>
      </w:r>
      <w:r w:rsidRPr="005614C1">
        <w:rPr>
          <w:rFonts w:ascii="Times New Roman" w:hAnsi="Times New Roman" w:cs="Times New Roman"/>
          <w:sz w:val="24"/>
          <w:szCs w:val="24"/>
        </w:rPr>
        <w:t>рубежом считается операция M. Sigiura и S. Futagawa</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предложенная в 1973 году. Ее выполнение требует одновременно трансторакального и трансабдоминального доступа и включает обширную деваскуляризацию пищевода с последующим его пересечением и сшиванием в нижней трети, спленэктомию и пилоропластику [9].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России широкое распространение, как наиболее простая технически и непродолжительная по времени, получила модифицированная профессором</w:t>
      </w:r>
      <w:r>
        <w:rPr>
          <w:rFonts w:ascii="Times New Roman" w:hAnsi="Times New Roman" w:cs="Times New Roman"/>
          <w:sz w:val="24"/>
          <w:szCs w:val="24"/>
        </w:rPr>
        <w:t xml:space="preserve"> М.Д. Пациорой операция</w:t>
      </w:r>
      <w:r w:rsidRPr="005614C1">
        <w:rPr>
          <w:rFonts w:ascii="Times New Roman" w:hAnsi="Times New Roman" w:cs="Times New Roman"/>
          <w:sz w:val="24"/>
          <w:szCs w:val="24"/>
        </w:rPr>
        <w:t xml:space="preserve"> Таннера [4,10].</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Методика операции прошивания варикозных вен желудка и пищевода (операция М.Д. Пациоры).</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Производится верхняя срединная лапаротомия. На переднюю стенку желудка ближе к кардии накладываются капроновые швы-держалки, между которыми рассекают </w:t>
      </w:r>
      <w:r>
        <w:rPr>
          <w:rFonts w:ascii="Times New Roman" w:hAnsi="Times New Roman" w:cs="Times New Roman"/>
          <w:sz w:val="24"/>
          <w:szCs w:val="24"/>
        </w:rPr>
        <w:t>стенку желудка на протяжении 10</w:t>
      </w:r>
      <w:r w:rsidRPr="00B00923">
        <w:rPr>
          <w:rFonts w:ascii="Times New Roman" w:hAnsi="Times New Roman" w:cs="Times New Roman"/>
          <w:sz w:val="24"/>
          <w:szCs w:val="24"/>
        </w:rPr>
        <w:t>-</w:t>
      </w:r>
      <w:r w:rsidRPr="005614C1">
        <w:rPr>
          <w:rFonts w:ascii="Times New Roman" w:hAnsi="Times New Roman" w:cs="Times New Roman"/>
          <w:sz w:val="24"/>
          <w:szCs w:val="24"/>
        </w:rPr>
        <w:t>12 см. Линия разреза пр</w:t>
      </w:r>
      <w:r>
        <w:rPr>
          <w:rFonts w:ascii="Times New Roman" w:hAnsi="Times New Roman" w:cs="Times New Roman"/>
          <w:sz w:val="24"/>
          <w:szCs w:val="24"/>
        </w:rPr>
        <w:t xml:space="preserve">оходит продольно от дна желудка </w:t>
      </w:r>
      <w:r w:rsidRPr="005614C1">
        <w:rPr>
          <w:rFonts w:ascii="Times New Roman" w:hAnsi="Times New Roman" w:cs="Times New Roman"/>
          <w:sz w:val="24"/>
          <w:szCs w:val="24"/>
        </w:rPr>
        <w:t>по</w:t>
      </w:r>
      <w:r>
        <w:rPr>
          <w:rFonts w:ascii="Times New Roman" w:hAnsi="Times New Roman" w:cs="Times New Roman"/>
          <w:sz w:val="24"/>
          <w:szCs w:val="24"/>
        </w:rPr>
        <w:t xml:space="preserve"> </w:t>
      </w:r>
      <w:r w:rsidRPr="005614C1">
        <w:rPr>
          <w:rFonts w:ascii="Times New Roman" w:hAnsi="Times New Roman" w:cs="Times New Roman"/>
          <w:sz w:val="24"/>
          <w:szCs w:val="24"/>
        </w:rPr>
        <w:t>направлению</w:t>
      </w:r>
      <w:r>
        <w:rPr>
          <w:rFonts w:ascii="Times New Roman" w:hAnsi="Times New Roman" w:cs="Times New Roman"/>
          <w:sz w:val="24"/>
          <w:szCs w:val="24"/>
        </w:rPr>
        <w:t xml:space="preserve"> </w:t>
      </w:r>
      <w:r w:rsidRPr="005614C1">
        <w:rPr>
          <w:rFonts w:ascii="Times New Roman" w:hAnsi="Times New Roman" w:cs="Times New Roman"/>
          <w:sz w:val="24"/>
          <w:szCs w:val="24"/>
        </w:rPr>
        <w:t>к</w:t>
      </w:r>
      <w:r>
        <w:rPr>
          <w:rFonts w:ascii="Times New Roman" w:hAnsi="Times New Roman" w:cs="Times New Roman"/>
          <w:sz w:val="24"/>
          <w:szCs w:val="24"/>
        </w:rPr>
        <w:t xml:space="preserve"> </w:t>
      </w:r>
      <w:r w:rsidRPr="005614C1">
        <w:rPr>
          <w:rFonts w:ascii="Times New Roman" w:hAnsi="Times New Roman" w:cs="Times New Roman"/>
          <w:sz w:val="24"/>
          <w:szCs w:val="24"/>
        </w:rPr>
        <w:t>малой</w:t>
      </w:r>
      <w:r>
        <w:rPr>
          <w:rFonts w:ascii="Times New Roman" w:hAnsi="Times New Roman" w:cs="Times New Roman"/>
          <w:sz w:val="24"/>
          <w:szCs w:val="24"/>
        </w:rPr>
        <w:t xml:space="preserve"> </w:t>
      </w:r>
      <w:r w:rsidRPr="005614C1">
        <w:rPr>
          <w:rFonts w:ascii="Times New Roman" w:hAnsi="Times New Roman" w:cs="Times New Roman"/>
          <w:sz w:val="24"/>
          <w:szCs w:val="24"/>
        </w:rPr>
        <w:t>кривизне(рис № 21 a). После вскрытия просвета желудка и отсасывания его содер</w:t>
      </w:r>
      <w:r w:rsidRPr="005614C1">
        <w:rPr>
          <w:rFonts w:ascii="Times New Roman" w:hAnsi="Times New Roman" w:cs="Times New Roman"/>
          <w:sz w:val="24"/>
          <w:szCs w:val="24"/>
        </w:rPr>
        <w:softHyphen/>
        <w:t xml:space="preserve">жимого, в просвет желудка вводится зеркало, которым </w:t>
      </w:r>
      <w:r w:rsidRPr="005614C1">
        <w:rPr>
          <w:rFonts w:ascii="Times New Roman" w:hAnsi="Times New Roman" w:cs="Times New Roman"/>
          <w:sz w:val="24"/>
          <w:szCs w:val="24"/>
        </w:rPr>
        <w:lastRenderedPageBreak/>
        <w:t>приподнимается верхняя часть передней стенки желудка. Затем хирург пальцами левой руки расправляет слизистую малой кривизны желудка ближе к пищеводному отверстию. Обычно этот прием дает возможность хорошо визуализировать варикозные вены кардии уходящие несколькими (обычно 3÷5) стволами в пищевод. Прошивание варикозн</w:t>
      </w:r>
      <w:r>
        <w:rPr>
          <w:rFonts w:ascii="Times New Roman" w:hAnsi="Times New Roman" w:cs="Times New Roman"/>
          <w:sz w:val="24"/>
          <w:szCs w:val="24"/>
        </w:rPr>
        <w:t xml:space="preserve">о расширенных вен начинают, как </w:t>
      </w:r>
      <w:r w:rsidRPr="005614C1">
        <w:rPr>
          <w:rFonts w:ascii="Times New Roman" w:hAnsi="Times New Roman" w:cs="Times New Roman"/>
          <w:sz w:val="24"/>
          <w:szCs w:val="24"/>
        </w:rPr>
        <w:t>правило,</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с малой кривизны желудка, с наиболее выраженного ствола отдельными узловыми швами (рисунок № 21 в-г). </w:t>
      </w:r>
    </w:p>
    <w:bookmarkStart w:id="1" w:name="_MON_1069249136"/>
    <w:bookmarkEnd w:id="1"/>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object w:dxaOrig="7668" w:dyaOrig="12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438.75pt" o:ole="" fillcolor="window">
            <v:imagedata r:id="rId29" o:title="" cropbottom="11368f"/>
          </v:shape>
          <o:OLEObject Type="Embed" ProgID="Word.Picture.8" ShapeID="_x0000_i1025" DrawAspect="Content" ObjectID="_1535549763" r:id="rId30"/>
        </w:object>
      </w: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Рис. 21. Гаст</w:t>
      </w:r>
      <w:r>
        <w:rPr>
          <w:rFonts w:ascii="Times New Roman" w:hAnsi="Times New Roman" w:cs="Times New Roman"/>
          <w:sz w:val="24"/>
          <w:szCs w:val="24"/>
        </w:rPr>
        <w:t xml:space="preserve">ротомия с прошиванием варикозно </w:t>
      </w:r>
      <w:r w:rsidRPr="005614C1">
        <w:rPr>
          <w:rFonts w:ascii="Times New Roman" w:hAnsi="Times New Roman" w:cs="Times New Roman"/>
          <w:sz w:val="24"/>
          <w:szCs w:val="24"/>
        </w:rPr>
        <w:t>расширенных вен желудка и пищевода (этапы операции).</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contextualSpacing/>
        <w:jc w:val="both"/>
        <w:rPr>
          <w:rFonts w:ascii="Times New Roman" w:hAnsi="Times New Roman" w:cs="Times New Roman"/>
          <w:sz w:val="24"/>
          <w:szCs w:val="24"/>
        </w:rPr>
      </w:pPr>
      <w:r w:rsidRPr="005614C1">
        <w:rPr>
          <w:rFonts w:ascii="Times New Roman" w:hAnsi="Times New Roman" w:cs="Times New Roman"/>
          <w:sz w:val="24"/>
          <w:szCs w:val="24"/>
        </w:rPr>
        <w:t>А – разрез передней стенки желудка; Б – передняя стенка желу</w:t>
      </w:r>
      <w:r>
        <w:rPr>
          <w:rFonts w:ascii="Times New Roman" w:hAnsi="Times New Roman" w:cs="Times New Roman"/>
          <w:sz w:val="24"/>
          <w:szCs w:val="24"/>
        </w:rPr>
        <w:t xml:space="preserve">дка приподнята, видны варикозно </w:t>
      </w:r>
      <w:r w:rsidRPr="005614C1">
        <w:rPr>
          <w:rFonts w:ascii="Times New Roman" w:hAnsi="Times New Roman" w:cs="Times New Roman"/>
          <w:sz w:val="24"/>
          <w:szCs w:val="24"/>
        </w:rPr>
        <w:t>расширенные вены кардиального отдела желудка, уходящие тремя стволами в пищевод; в – прошивание начинают с наиболее выраженного ствола по малой кривизне; г – подтягиванием за лигатуру низводят слизистую и прошивают вены абдоминального отрезка пищевода; д – вены прошиты в шахматном порядке.</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Затем, подтягивая за лигатуры, прошиваются вены пищевода, ш</w:t>
      </w:r>
      <w:r>
        <w:rPr>
          <w:rFonts w:ascii="Times New Roman" w:hAnsi="Times New Roman" w:cs="Times New Roman"/>
          <w:sz w:val="24"/>
          <w:szCs w:val="24"/>
        </w:rPr>
        <w:t>вы накладываются с интервалом 8</w:t>
      </w:r>
      <w:r w:rsidRPr="00B00923">
        <w:rPr>
          <w:rFonts w:ascii="Times New Roman" w:hAnsi="Times New Roman" w:cs="Times New Roman"/>
          <w:sz w:val="24"/>
          <w:szCs w:val="24"/>
        </w:rPr>
        <w:t>-</w:t>
      </w:r>
      <w:r w:rsidRPr="005614C1">
        <w:rPr>
          <w:rFonts w:ascii="Times New Roman" w:hAnsi="Times New Roman" w:cs="Times New Roman"/>
          <w:sz w:val="24"/>
          <w:szCs w:val="24"/>
        </w:rPr>
        <w:t xml:space="preserve">10мм. После обработки одного ствола переходят к прошиванию другого и т.д. Как правило, удается прошить </w:t>
      </w:r>
      <w:r>
        <w:rPr>
          <w:rFonts w:ascii="Times New Roman" w:hAnsi="Times New Roman" w:cs="Times New Roman"/>
          <w:sz w:val="24"/>
          <w:szCs w:val="24"/>
        </w:rPr>
        <w:t>вены в пищеводе на протяжении 2</w:t>
      </w:r>
      <w:r w:rsidRPr="00B00923">
        <w:rPr>
          <w:rFonts w:ascii="Times New Roman" w:hAnsi="Times New Roman" w:cs="Times New Roman"/>
          <w:sz w:val="24"/>
          <w:szCs w:val="24"/>
        </w:rPr>
        <w:t>-</w:t>
      </w:r>
      <w:r w:rsidRPr="005614C1">
        <w:rPr>
          <w:rFonts w:ascii="Times New Roman" w:hAnsi="Times New Roman" w:cs="Times New Roman"/>
          <w:sz w:val="24"/>
          <w:szCs w:val="24"/>
        </w:rPr>
        <w:t>4 см выше эзофагокардиального перехода. Вены кардиального отдела прошивают также отдельными узловыми</w:t>
      </w:r>
      <w:r>
        <w:rPr>
          <w:rFonts w:ascii="Times New Roman" w:hAnsi="Times New Roman" w:cs="Times New Roman"/>
          <w:sz w:val="24"/>
          <w:szCs w:val="24"/>
        </w:rPr>
        <w:t xml:space="preserve"> </w:t>
      </w:r>
      <w:r w:rsidRPr="005614C1">
        <w:rPr>
          <w:rFonts w:ascii="Times New Roman" w:hAnsi="Times New Roman" w:cs="Times New Roman"/>
          <w:sz w:val="24"/>
          <w:szCs w:val="24"/>
        </w:rPr>
        <w:t>швами</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в «шахматном» порядке.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Во время прошивания иглу надо стараться проводить под стволом вены, не прошивая стенку желудка или пищевода насквозь и не захватывая соседние вены. Если произошло повреждение стенки вены и началось кровотечение, последнее останавливают повторным прошиванием.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 качестве шовного материала рекомендуется использовать длительно рассасывающийся материал: викрил, дексон, максон, полисорб, хромирован</w:t>
      </w:r>
      <w:r w:rsidRPr="005614C1">
        <w:rPr>
          <w:rFonts w:ascii="Times New Roman" w:hAnsi="Times New Roman" w:cs="Times New Roman"/>
          <w:sz w:val="24"/>
          <w:szCs w:val="24"/>
        </w:rPr>
        <w:softHyphen/>
        <w:t>ный кетгут. Не рекомендуется использовать нерассасывающийся шовный материал: шелк, капрон, пролен и т.д., т.к. в области лигатур в последующем появляются лигатурные эрозии, которые могут явиться источником рециди</w:t>
      </w:r>
      <w:r w:rsidRPr="005614C1">
        <w:rPr>
          <w:rFonts w:ascii="Times New Roman" w:hAnsi="Times New Roman" w:cs="Times New Roman"/>
          <w:sz w:val="24"/>
          <w:szCs w:val="24"/>
        </w:rPr>
        <w:softHyphen/>
        <w:t>вирующих кровотечений.</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Во время операции в пищеводе должен находиться для контроля желудочный зонд, который является ориентиром, чтобы не ушить просвет пищевода. После завершения основного этапа операции стенку желудка ушивают двухрядным швом.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Условия для прошивания вен пищевода у ранее оперированных больных ухудшаются. У них абдоминальный доступ к кардиальному отделу желудка значительно затруднен из-за выраженных сращений и большой кровото</w:t>
      </w:r>
      <w:r w:rsidRPr="005614C1">
        <w:rPr>
          <w:rFonts w:ascii="Times New Roman" w:hAnsi="Times New Roman" w:cs="Times New Roman"/>
          <w:sz w:val="24"/>
          <w:szCs w:val="24"/>
        </w:rPr>
        <w:softHyphen/>
        <w:t xml:space="preserve">чивости в зоне операции. Передняя стенка желудка часто бывает прочно припаяна к передней брюшной стенке и левой доле печени.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 этой ситуации гастротомия может быть осуществлена через заднюю стенку желудка, после вскрытия желудочно-ободочной связки.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Поэтому у ранее многократно оперированных больных в связи с выраженным спаечным процессом данное вмешательство выполняем из трансторакального доступа. </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Гастротомия из торакального до</w:t>
      </w:r>
      <w:r>
        <w:rPr>
          <w:rFonts w:ascii="Times New Roman" w:hAnsi="Times New Roman" w:cs="Times New Roman"/>
          <w:sz w:val="24"/>
          <w:szCs w:val="24"/>
        </w:rPr>
        <w:t>ступа, осуществляемая нами по</w:t>
      </w:r>
      <w:r>
        <w:rPr>
          <w:rFonts w:ascii="Times New Roman" w:hAnsi="Times New Roman" w:cs="Times New Roman"/>
          <w:sz w:val="24"/>
          <w:szCs w:val="24"/>
        </w:rPr>
        <w:br/>
        <w:t>7</w:t>
      </w:r>
      <w:r w:rsidRPr="00187CE7">
        <w:rPr>
          <w:rFonts w:ascii="Times New Roman" w:hAnsi="Times New Roman" w:cs="Times New Roman"/>
          <w:sz w:val="24"/>
          <w:szCs w:val="24"/>
        </w:rPr>
        <w:t>-</w:t>
      </w:r>
      <w:r w:rsidRPr="005614C1">
        <w:rPr>
          <w:rFonts w:ascii="Times New Roman" w:hAnsi="Times New Roman" w:cs="Times New Roman"/>
          <w:sz w:val="24"/>
          <w:szCs w:val="24"/>
        </w:rPr>
        <w:t>8 межреберью слева с пересечением реберной дуги и последующей диафрагмо</w:t>
      </w:r>
      <w:r w:rsidRPr="005614C1">
        <w:rPr>
          <w:rFonts w:ascii="Times New Roman" w:hAnsi="Times New Roman" w:cs="Times New Roman"/>
          <w:sz w:val="24"/>
          <w:szCs w:val="24"/>
        </w:rPr>
        <w:softHyphen/>
        <w:t>томией, выгодно отличается от гастротомии из абдоминального доступа тем, что создает хороший обзор области кардии и пищеводно-желудочного перехода и позволяет достаточно свободно прошить варикозно расширенн</w:t>
      </w:r>
      <w:r>
        <w:rPr>
          <w:rFonts w:ascii="Times New Roman" w:hAnsi="Times New Roman" w:cs="Times New Roman"/>
          <w:sz w:val="24"/>
          <w:szCs w:val="24"/>
        </w:rPr>
        <w:t>ые вены на протяжении 3</w:t>
      </w:r>
      <w:r w:rsidRPr="00B00923">
        <w:rPr>
          <w:rFonts w:ascii="Times New Roman" w:hAnsi="Times New Roman" w:cs="Times New Roman"/>
          <w:sz w:val="24"/>
          <w:szCs w:val="24"/>
        </w:rPr>
        <w:t>-</w:t>
      </w:r>
      <w:r w:rsidRPr="005614C1">
        <w:rPr>
          <w:rFonts w:ascii="Times New Roman" w:hAnsi="Times New Roman" w:cs="Times New Roman"/>
          <w:sz w:val="24"/>
          <w:szCs w:val="24"/>
        </w:rPr>
        <w:t>5 см.</w:t>
      </w:r>
    </w:p>
    <w:p w:rsidR="006D295C" w:rsidRPr="005614C1" w:rsidRDefault="006D295C" w:rsidP="006D295C">
      <w:pPr>
        <w:spacing w:line="240" w:lineRule="auto"/>
        <w:ind w:firstLine="708"/>
        <w:contextualSpacing/>
        <w:jc w:val="both"/>
        <w:rPr>
          <w:rFonts w:ascii="Times New Roman" w:hAnsi="Times New Roman" w:cs="Times New Roman"/>
          <w:sz w:val="24"/>
          <w:szCs w:val="24"/>
        </w:rPr>
      </w:pPr>
      <w:r w:rsidRPr="005614C1">
        <w:rPr>
          <w:rFonts w:ascii="Times New Roman" w:hAnsi="Times New Roman" w:cs="Times New Roman"/>
          <w:sz w:val="24"/>
          <w:szCs w:val="24"/>
        </w:rPr>
        <w:t>Операция заканчивается обязательным дренированием брюшной полос</w:t>
      </w:r>
      <w:r w:rsidRPr="005614C1">
        <w:rPr>
          <w:rFonts w:ascii="Times New Roman" w:hAnsi="Times New Roman" w:cs="Times New Roman"/>
          <w:sz w:val="24"/>
          <w:szCs w:val="24"/>
        </w:rPr>
        <w:softHyphen/>
        <w:t xml:space="preserve">ти (при абдоминальном доступе) или плевральной </w:t>
      </w:r>
      <w:r>
        <w:rPr>
          <w:rFonts w:ascii="Times New Roman" w:hAnsi="Times New Roman" w:cs="Times New Roman"/>
          <w:sz w:val="24"/>
          <w:szCs w:val="24"/>
        </w:rPr>
        <w:t xml:space="preserve"> полости </w:t>
      </w:r>
      <w:r w:rsidRPr="005614C1">
        <w:rPr>
          <w:rFonts w:ascii="Times New Roman" w:hAnsi="Times New Roman" w:cs="Times New Roman"/>
          <w:sz w:val="24"/>
          <w:szCs w:val="24"/>
        </w:rPr>
        <w:t>(при трансторакальном доступе) [4].</w:t>
      </w:r>
    </w:p>
    <w:p w:rsidR="006D295C" w:rsidRDefault="006D295C" w:rsidP="006D295C">
      <w:pPr>
        <w:spacing w:line="240" w:lineRule="auto"/>
        <w:contextualSpacing/>
        <w:jc w:val="both"/>
        <w:rPr>
          <w:rFonts w:ascii="Times New Roman" w:hAnsi="Times New Roman" w:cs="Times New Roman"/>
          <w:sz w:val="24"/>
          <w:szCs w:val="24"/>
        </w:rPr>
      </w:pPr>
    </w:p>
    <w:p w:rsidR="006D295C" w:rsidRPr="008F40A7" w:rsidRDefault="006D295C" w:rsidP="006D295C">
      <w:pPr>
        <w:spacing w:line="240" w:lineRule="auto"/>
        <w:contextualSpacing/>
        <w:jc w:val="both"/>
        <w:rPr>
          <w:rFonts w:ascii="Times New Roman" w:hAnsi="Times New Roman" w:cs="Times New Roman"/>
          <w:b/>
          <w:sz w:val="24"/>
          <w:szCs w:val="24"/>
        </w:rPr>
      </w:pPr>
      <w:r w:rsidRPr="008F40A7">
        <w:rPr>
          <w:rFonts w:ascii="Times New Roman" w:hAnsi="Times New Roman" w:cs="Times New Roman"/>
          <w:b/>
          <w:sz w:val="24"/>
          <w:szCs w:val="24"/>
        </w:rPr>
        <w:t>Пути улучшения непосредственных результатов прошивания ВРВ пищевода и желудка:</w:t>
      </w:r>
    </w:p>
    <w:p w:rsidR="006D295C" w:rsidRPr="008F40A7" w:rsidRDefault="006D295C" w:rsidP="006D295C">
      <w:pPr>
        <w:pStyle w:val="a4"/>
        <w:numPr>
          <w:ilvl w:val="0"/>
          <w:numId w:val="13"/>
        </w:numPr>
        <w:jc w:val="both"/>
      </w:pPr>
      <w:r w:rsidRPr="008F40A7">
        <w:t>предоперационная подготовка при операции в плановом порядке: коррекция функциональных нарушений печени (для больных ЦП) и лечение трофических нарушений в слизистой пищевода и желудка. При наличии рецидивов пищеводно-желудочного кровотечения у больных с ВПГ и ЦП группы А и В вопрос о срочной операции должен б</w:t>
      </w:r>
      <w:r>
        <w:t>ыть решен в течение 12-24 часов;</w:t>
      </w:r>
    </w:p>
    <w:p w:rsidR="006D295C" w:rsidRPr="008F40A7" w:rsidRDefault="006D295C" w:rsidP="006D295C">
      <w:pPr>
        <w:pStyle w:val="a4"/>
        <w:numPr>
          <w:ilvl w:val="0"/>
          <w:numId w:val="13"/>
        </w:numPr>
        <w:jc w:val="both"/>
      </w:pPr>
      <w:r w:rsidRPr="008F40A7">
        <w:t>спленэктомия</w:t>
      </w:r>
      <w:r>
        <w:t xml:space="preserve"> </w:t>
      </w:r>
      <w:r w:rsidRPr="008F40A7">
        <w:t>показана только при больших размерах селезенки, п</w:t>
      </w:r>
      <w:r>
        <w:t>репятствующих доступу к желудку;</w:t>
      </w:r>
    </w:p>
    <w:p w:rsidR="006D295C" w:rsidRPr="008F40A7" w:rsidRDefault="006D295C" w:rsidP="006D295C">
      <w:pPr>
        <w:pStyle w:val="a4"/>
        <w:numPr>
          <w:ilvl w:val="0"/>
          <w:numId w:val="13"/>
        </w:numPr>
        <w:jc w:val="both"/>
      </w:pPr>
      <w:r w:rsidRPr="008F40A7">
        <w:t>абдоминальный доступ для выполнения операции является оптимальным у</w:t>
      </w:r>
      <w:r>
        <w:t xml:space="preserve"> ранее не оперированных больных;</w:t>
      </w:r>
    </w:p>
    <w:p w:rsidR="006D295C" w:rsidRPr="008F40A7" w:rsidRDefault="006D295C" w:rsidP="006D295C">
      <w:pPr>
        <w:pStyle w:val="a4"/>
        <w:numPr>
          <w:ilvl w:val="0"/>
          <w:numId w:val="13"/>
        </w:numPr>
        <w:jc w:val="both"/>
      </w:pPr>
      <w:r>
        <w:t>у</w:t>
      </w:r>
      <w:r w:rsidRPr="008F40A7">
        <w:t xml:space="preserve"> больных с ВПГ и компенсированным ЦП</w:t>
      </w:r>
      <w:r>
        <w:t>,</w:t>
      </w:r>
      <w:r w:rsidRPr="008F40A7">
        <w:t xml:space="preserve"> ранее многократно оперированных на брюшной полости, при невозможности выполнения ПКА данную операцию желательно производить из трансторакального доступа</w:t>
      </w:r>
      <w:r>
        <w:t>;</w:t>
      </w:r>
    </w:p>
    <w:p w:rsidR="006D295C" w:rsidRPr="008F40A7" w:rsidRDefault="006D295C" w:rsidP="006D295C">
      <w:pPr>
        <w:pStyle w:val="a4"/>
        <w:numPr>
          <w:ilvl w:val="0"/>
          <w:numId w:val="13"/>
        </w:numPr>
        <w:jc w:val="both"/>
      </w:pPr>
      <w:r w:rsidRPr="008F40A7">
        <w:t>абдоминальный доступ для выполнения операции является оптимальным у</w:t>
      </w:r>
      <w:r>
        <w:t xml:space="preserve"> ранее не оперированных больных;</w:t>
      </w:r>
    </w:p>
    <w:p w:rsidR="006D295C" w:rsidRPr="008F40A7" w:rsidRDefault="006D295C" w:rsidP="006D295C">
      <w:pPr>
        <w:pStyle w:val="a4"/>
        <w:numPr>
          <w:ilvl w:val="0"/>
          <w:numId w:val="13"/>
        </w:numPr>
        <w:jc w:val="both"/>
      </w:pPr>
      <w:r>
        <w:t>у</w:t>
      </w:r>
      <w:r w:rsidRPr="008F40A7">
        <w:t xml:space="preserve"> больных с ВПГ и компенсированным ЦП</w:t>
      </w:r>
      <w:r>
        <w:t>,</w:t>
      </w:r>
      <w:r w:rsidRPr="008F40A7">
        <w:t xml:space="preserve"> ранее многократно оперированных на брюшной полости, при невозможности выполнения ПКА данную операцию желательно производи</w:t>
      </w:r>
      <w:r>
        <w:t>ть из трансторакального доступа;</w:t>
      </w:r>
    </w:p>
    <w:p w:rsidR="006D295C" w:rsidRPr="008F40A7" w:rsidRDefault="006D295C" w:rsidP="006D295C">
      <w:pPr>
        <w:pStyle w:val="a4"/>
        <w:numPr>
          <w:ilvl w:val="0"/>
          <w:numId w:val="13"/>
        </w:numPr>
        <w:jc w:val="both"/>
      </w:pPr>
      <w:r>
        <w:t>в</w:t>
      </w:r>
      <w:r w:rsidRPr="008F40A7">
        <w:t>ажным моментом завершения операции является адекватное дренирование</w:t>
      </w:r>
      <w:r>
        <w:t>.</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lastRenderedPageBreak/>
        <w:t>Из послеоперационных осложнений у больных, оперированных по неотложным показаниям, возможно развитие асцит-перитонита. Поэтому антибиотикотерапию следует начинать в операционной. В желудке устанавливается назогастральный зонд для введения гиперосмолярных растворов с целью быстрого очищения кишечника от крови, наряду с проведением сифонных клизм.</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Довольно серьезным осложнением после операции является рецидив кровотечения после прорезывания лигатур в эзофагокардиальном отделе при прохождении пищевого комка. После введения зонда-обтуратора и остановки кровотечения окончательный гемостаз достигается эндоскопич</w:t>
      </w:r>
      <w:r>
        <w:rPr>
          <w:rFonts w:ascii="Times New Roman" w:hAnsi="Times New Roman" w:cs="Times New Roman"/>
          <w:sz w:val="24"/>
          <w:szCs w:val="24"/>
        </w:rPr>
        <w:t>еским обкалыванием 0,5% раствором</w:t>
      </w:r>
      <w:r w:rsidRPr="005614C1">
        <w:rPr>
          <w:rFonts w:ascii="Times New Roman" w:hAnsi="Times New Roman" w:cs="Times New Roman"/>
          <w:sz w:val="24"/>
          <w:szCs w:val="24"/>
        </w:rPr>
        <w:t xml:space="preserve"> этоксисклерола места геморрагии[3, 4, 8].</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 xml:space="preserve">В специализированных </w:t>
      </w:r>
      <w:r>
        <w:rPr>
          <w:rFonts w:ascii="Times New Roman" w:hAnsi="Times New Roman" w:cs="Times New Roman"/>
          <w:sz w:val="24"/>
          <w:szCs w:val="24"/>
        </w:rPr>
        <w:t>стационарах возможно выполнение операции портокавального шунтирования,  что на высоте кровотечения</w:t>
      </w:r>
      <w:r w:rsidRPr="005614C1">
        <w:rPr>
          <w:rFonts w:ascii="Times New Roman" w:hAnsi="Times New Roman" w:cs="Times New Roman"/>
          <w:sz w:val="24"/>
          <w:szCs w:val="24"/>
        </w:rPr>
        <w:t xml:space="preserve"> не всегда приводит к непосредственному гемостазу</w:t>
      </w:r>
      <w:r>
        <w:rPr>
          <w:rFonts w:ascii="Times New Roman" w:hAnsi="Times New Roman" w:cs="Times New Roman"/>
          <w:sz w:val="24"/>
          <w:szCs w:val="24"/>
        </w:rPr>
        <w:t xml:space="preserve">, </w:t>
      </w:r>
      <w:r w:rsidRPr="005614C1">
        <w:rPr>
          <w:rFonts w:ascii="Times New Roman" w:hAnsi="Times New Roman" w:cs="Times New Roman"/>
          <w:sz w:val="24"/>
          <w:szCs w:val="24"/>
        </w:rPr>
        <w:t xml:space="preserve"> и эти операции выполняются с профилактической целью. Во время продолжающегося кровотечения операции портокавального шунтирования следует дополнять прошиванием ВРВ пищевода и желудка.</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Медикаментозная (вторичная) профилактика рецидива кровотечения должна начинаться как можно скорее, так как первый эпизод желудочно-кишечного кровотечения у больных циррозом печени в 60% случаев сопровождается его рецидивом.</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С этой целью назначаются неселективные бета-адреноблокаторы (пропранолол, надолол, анаприлин, атенолол и др.), которые позволяют снизить риск рецидива кровотечения на 30-40%. Препараты назначаются в дозе, снижающей частоту пульса в покое на 25%, либо при исходно низком пульсе, до 55 уд в мин. При наличии противопоказаний альтернативой служит применение изосорбида</w:t>
      </w:r>
      <w:r>
        <w:rPr>
          <w:rFonts w:ascii="Times New Roman" w:hAnsi="Times New Roman" w:cs="Times New Roman"/>
          <w:sz w:val="24"/>
          <w:szCs w:val="24"/>
        </w:rPr>
        <w:t xml:space="preserve"> </w:t>
      </w:r>
      <w:r w:rsidRPr="005614C1">
        <w:rPr>
          <w:rFonts w:ascii="Times New Roman" w:hAnsi="Times New Roman" w:cs="Times New Roman"/>
          <w:sz w:val="24"/>
          <w:szCs w:val="24"/>
        </w:rPr>
        <w:t>мононитрата.</w:t>
      </w: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5614C1">
        <w:rPr>
          <w:rFonts w:ascii="Times New Roman" w:hAnsi="Times New Roman" w:cs="Times New Roman"/>
          <w:sz w:val="24"/>
          <w:szCs w:val="24"/>
        </w:rPr>
        <w:t>У данной группы пациентов возможно применение карведилола, который является неселективным бета-адреноблокатором с существенной анти-альфа1-адренергической активностью. В клинических исследованиях было показано, что назначение карведилола у больных циррозом печени вызывает более выраженное уменьшение портального давления.</w:t>
      </w:r>
    </w:p>
    <w:p w:rsidR="006D295C" w:rsidRDefault="006D295C" w:rsidP="006D295C">
      <w:pPr>
        <w:spacing w:line="240" w:lineRule="auto"/>
        <w:ind w:firstLine="360"/>
        <w:contextualSpacing/>
        <w:jc w:val="both"/>
        <w:rPr>
          <w:rFonts w:ascii="Times New Roman" w:hAnsi="Times New Roman" w:cs="Times New Roman"/>
          <w:b/>
          <w:sz w:val="24"/>
          <w:szCs w:val="24"/>
        </w:rPr>
      </w:pPr>
    </w:p>
    <w:p w:rsidR="006D295C" w:rsidRPr="005614C1" w:rsidRDefault="006D295C" w:rsidP="006D295C">
      <w:pPr>
        <w:spacing w:line="240" w:lineRule="auto"/>
        <w:ind w:firstLine="360"/>
        <w:contextualSpacing/>
        <w:jc w:val="both"/>
        <w:rPr>
          <w:rFonts w:ascii="Times New Roman" w:hAnsi="Times New Roman" w:cs="Times New Roman"/>
          <w:sz w:val="24"/>
          <w:szCs w:val="24"/>
        </w:rPr>
      </w:pPr>
      <w:r w:rsidRPr="00350FA1">
        <w:rPr>
          <w:rFonts w:ascii="Times New Roman" w:hAnsi="Times New Roman" w:cs="Times New Roman"/>
          <w:b/>
          <w:sz w:val="24"/>
          <w:szCs w:val="24"/>
        </w:rPr>
        <w:t>В заключение</w:t>
      </w:r>
      <w:r w:rsidRPr="005614C1">
        <w:rPr>
          <w:rFonts w:ascii="Times New Roman" w:hAnsi="Times New Roman" w:cs="Times New Roman"/>
          <w:sz w:val="24"/>
          <w:szCs w:val="24"/>
        </w:rPr>
        <w:t xml:space="preserve"> совет экспертов еще раз подчеркивает, что  решение к</w:t>
      </w:r>
      <w:r>
        <w:rPr>
          <w:rFonts w:ascii="Times New Roman" w:hAnsi="Times New Roman" w:cs="Times New Roman"/>
          <w:sz w:val="24"/>
          <w:szCs w:val="24"/>
        </w:rPr>
        <w:t>линической проблемы кровотечений</w:t>
      </w:r>
      <w:r w:rsidRPr="005614C1">
        <w:rPr>
          <w:rFonts w:ascii="Times New Roman" w:hAnsi="Times New Roman" w:cs="Times New Roman"/>
          <w:sz w:val="24"/>
          <w:szCs w:val="24"/>
        </w:rPr>
        <w:t xml:space="preserve"> из варикозных вен пищевода требует слаженных действий специалистов различных специальностей: гепатологов, эндоскопистов, хирургов, а постоянное совершенствование профессиональных знаний и практических умений врачей позволят сохранить жизнь наших пациентов.</w:t>
      </w:r>
    </w:p>
    <w:p w:rsidR="006D295C" w:rsidRPr="005614C1" w:rsidRDefault="006D295C" w:rsidP="006D295C">
      <w:pPr>
        <w:spacing w:line="240" w:lineRule="auto"/>
        <w:contextualSpacing/>
        <w:jc w:val="both"/>
        <w:rPr>
          <w:rFonts w:ascii="Times New Roman" w:hAnsi="Times New Roman" w:cs="Times New Roman"/>
          <w:sz w:val="24"/>
          <w:szCs w:val="24"/>
        </w:rPr>
      </w:pPr>
    </w:p>
    <w:p w:rsidR="006D295C" w:rsidRDefault="006D295C" w:rsidP="006D295C">
      <w:pPr>
        <w:spacing w:line="240" w:lineRule="auto"/>
        <w:ind w:firstLine="360"/>
        <w:contextualSpacing/>
        <w:jc w:val="both"/>
        <w:rPr>
          <w:rFonts w:ascii="Times New Roman" w:hAnsi="Times New Roman" w:cs="Times New Roman"/>
          <w:b/>
          <w:sz w:val="24"/>
          <w:szCs w:val="24"/>
        </w:rPr>
      </w:pPr>
      <w:r w:rsidRPr="00AC34FA">
        <w:rPr>
          <w:rFonts w:ascii="Times New Roman" w:hAnsi="Times New Roman" w:cs="Times New Roman"/>
          <w:b/>
          <w:sz w:val="24"/>
          <w:szCs w:val="24"/>
        </w:rPr>
        <w:t>Список литературы</w:t>
      </w:r>
    </w:p>
    <w:p w:rsidR="006D295C" w:rsidRPr="00CE16EE" w:rsidRDefault="006D295C" w:rsidP="006D295C">
      <w:pPr>
        <w:pStyle w:val="a4"/>
        <w:numPr>
          <w:ilvl w:val="0"/>
          <w:numId w:val="14"/>
        </w:numPr>
        <w:spacing w:after="200" w:line="276" w:lineRule="auto"/>
        <w:jc w:val="both"/>
      </w:pPr>
      <w:r w:rsidRPr="00CE16EE">
        <w:t xml:space="preserve">Аль-Сабунчи О. М. Обоснование принципов малоинвазивной хирургии в лечении кровотечений из варикозно расширенных вен пищевода: Автореф. дис. … докт. мед.наук. - М. – 2007. 41 с. </w:t>
      </w:r>
    </w:p>
    <w:p w:rsidR="006D295C" w:rsidRPr="00CE16EE" w:rsidRDefault="006D295C" w:rsidP="006D295C">
      <w:pPr>
        <w:pStyle w:val="a4"/>
        <w:numPr>
          <w:ilvl w:val="0"/>
          <w:numId w:val="14"/>
        </w:numPr>
        <w:spacing w:after="200" w:line="276" w:lineRule="auto"/>
        <w:jc w:val="both"/>
      </w:pPr>
      <w:r w:rsidRPr="00CE16EE">
        <w:t xml:space="preserve">Борисов А.Е., Кузьмин-Крутецкий М.И., Кащенко В.А. и соавт. Кровотечения портального генеза. Санкт-Петербург. – 2001. – 149 c. </w:t>
      </w:r>
    </w:p>
    <w:p w:rsidR="006D295C" w:rsidRPr="00CE16EE" w:rsidRDefault="006D295C" w:rsidP="006D295C">
      <w:pPr>
        <w:pStyle w:val="a4"/>
        <w:numPr>
          <w:ilvl w:val="0"/>
          <w:numId w:val="14"/>
        </w:numPr>
        <w:spacing w:after="200" w:line="276" w:lineRule="auto"/>
        <w:jc w:val="both"/>
      </w:pPr>
      <w:r w:rsidRPr="00CE16EE">
        <w:t>Ерамишанцев А.К., Киценко Е.А., Шерцингер А.Г., Жигалова С.Б. Кровотечения из ВРВ пищевода и желудка: диагностика, лечебная тактика (лекция) // Анналы хирургической</w:t>
      </w:r>
      <w:r>
        <w:t xml:space="preserve"> </w:t>
      </w:r>
      <w:r w:rsidRPr="00CE16EE">
        <w:t xml:space="preserve">гепатологии. –2006. –том.XI. –№2. –С105-111. </w:t>
      </w:r>
    </w:p>
    <w:p w:rsidR="006D295C" w:rsidRPr="00CE16EE" w:rsidRDefault="006D295C" w:rsidP="006D295C">
      <w:pPr>
        <w:pStyle w:val="a4"/>
        <w:numPr>
          <w:ilvl w:val="0"/>
          <w:numId w:val="14"/>
        </w:numPr>
        <w:spacing w:after="200" w:line="276" w:lineRule="auto"/>
        <w:jc w:val="both"/>
      </w:pPr>
      <w:r w:rsidRPr="00CE16EE">
        <w:t xml:space="preserve">Ерамишанцев А.К., Шерцингер А.Г., Киценко Е.А. Портальная гипертензия. Клиническая хирургия: национальное руководство 2008 г, М. – ГЭОТАР-Медиа, с 626-665. </w:t>
      </w:r>
    </w:p>
    <w:p w:rsidR="006D295C" w:rsidRPr="00CE16EE" w:rsidRDefault="006D295C" w:rsidP="006D295C">
      <w:pPr>
        <w:pStyle w:val="a4"/>
        <w:numPr>
          <w:ilvl w:val="0"/>
          <w:numId w:val="14"/>
        </w:numPr>
        <w:spacing w:after="200" w:line="276" w:lineRule="auto"/>
        <w:jc w:val="both"/>
      </w:pPr>
      <w:r w:rsidRPr="00CE16EE">
        <w:lastRenderedPageBreak/>
        <w:t xml:space="preserve">Жигалова С.Б. Эндоскопические технологии в лечении и профилактике кровотечений из варикозно расширенных вен пищевода и желудка у больных с портальной гипертензией. Автореф. дис. … докт. мед.наук. - М. – 2011. 46 с. </w:t>
      </w:r>
    </w:p>
    <w:p w:rsidR="006D295C" w:rsidRPr="00CE16EE" w:rsidRDefault="006D295C" w:rsidP="006D295C">
      <w:pPr>
        <w:pStyle w:val="a4"/>
        <w:numPr>
          <w:ilvl w:val="0"/>
          <w:numId w:val="14"/>
        </w:numPr>
        <w:spacing w:after="200" w:line="276" w:lineRule="auto"/>
        <w:jc w:val="both"/>
      </w:pPr>
      <w:r w:rsidRPr="00CE16EE">
        <w:t xml:space="preserve">Ивашкин В.Т. Болезни печени и желчевыводящих путей.  Руководство для врачей. М., ИД «М-Вести», 2002 г. 450с. </w:t>
      </w:r>
    </w:p>
    <w:p w:rsidR="006D295C" w:rsidRPr="00CE16EE" w:rsidRDefault="006D295C" w:rsidP="006D295C">
      <w:pPr>
        <w:pStyle w:val="a4"/>
        <w:numPr>
          <w:ilvl w:val="0"/>
          <w:numId w:val="14"/>
        </w:numPr>
        <w:spacing w:after="200" w:line="276" w:lineRule="auto"/>
        <w:jc w:val="both"/>
      </w:pPr>
      <w:r w:rsidRPr="00CE16EE">
        <w:t xml:space="preserve">Котив Б.Н. Хирургическая тактика и лечение пищеводно-желудочных кровотечений при портальной гипертензии: Дис. … докт. мед. наук. –СПб. – 1998. – С. 6-132. </w:t>
      </w:r>
    </w:p>
    <w:p w:rsidR="006D295C" w:rsidRPr="00CE16EE" w:rsidRDefault="006D295C" w:rsidP="006D295C">
      <w:pPr>
        <w:pStyle w:val="a4"/>
        <w:numPr>
          <w:ilvl w:val="0"/>
          <w:numId w:val="14"/>
        </w:numPr>
        <w:spacing w:after="200" w:line="276" w:lineRule="auto"/>
        <w:jc w:val="both"/>
      </w:pPr>
      <w:r w:rsidRPr="00CE16EE">
        <w:t xml:space="preserve">Мошарова А.А., Верткин А.Л. – Лечение и профилактика кровотечения из варикозно расширенных вен пищевода. – Неотложная терапия, 1-2, 2012. С. 12-19. </w:t>
      </w:r>
    </w:p>
    <w:p w:rsidR="006D295C" w:rsidRPr="00CE16EE" w:rsidRDefault="006D295C" w:rsidP="006D295C">
      <w:pPr>
        <w:pStyle w:val="a4"/>
        <w:numPr>
          <w:ilvl w:val="0"/>
          <w:numId w:val="14"/>
        </w:numPr>
        <w:spacing w:after="200" w:line="276" w:lineRule="auto"/>
        <w:jc w:val="both"/>
      </w:pPr>
      <w:r w:rsidRPr="00CE16EE">
        <w:t xml:space="preserve">Павлов Ч.С., Киценко Е.А.. Маевская М.В., Ивашкин В.Т. Лекарственная терапия портальной гипертензии и ее осложнений: анализ эффективности препаратов применяемых в клинической практике и обсуждение перспективных подходов к лечению. Клиническая медицина. 2013; 90(6):55-62. </w:t>
      </w:r>
    </w:p>
    <w:p w:rsidR="006D295C" w:rsidRPr="00CE16EE" w:rsidRDefault="006D295C" w:rsidP="006D295C">
      <w:pPr>
        <w:pStyle w:val="a4"/>
        <w:numPr>
          <w:ilvl w:val="0"/>
          <w:numId w:val="14"/>
        </w:numPr>
        <w:spacing w:after="200" w:line="276" w:lineRule="auto"/>
        <w:jc w:val="both"/>
      </w:pPr>
      <w:r w:rsidRPr="00CE16EE">
        <w:t xml:space="preserve">Пациора М.Д. Хирургия портальной гипертензии. – Ташкент: Медицина. – 1984. – 319 с. </w:t>
      </w:r>
    </w:p>
    <w:p w:rsidR="006D295C" w:rsidRPr="00CE16EE" w:rsidRDefault="006D295C" w:rsidP="006D295C">
      <w:pPr>
        <w:pStyle w:val="a4"/>
        <w:numPr>
          <w:ilvl w:val="0"/>
          <w:numId w:val="14"/>
        </w:numPr>
        <w:spacing w:after="200" w:line="276" w:lineRule="auto"/>
        <w:jc w:val="both"/>
      </w:pPr>
      <w:r w:rsidRPr="00CE16EE">
        <w:t xml:space="preserve">Шерцингер А.Г. Патогенез, диагностика, профилактика и лечение кровотечений из варикозных вен пищевода и желудка у больных портальной гипертензией: Автореф. дис. …докт. мед.наук. – М. –1986. –310 с. </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Abraldes JG, Bosch J. The treatment of acute variceal bleeding. J ClinGastroenterol2007; 41 Suppl 3: S312-S317. </w:t>
      </w:r>
    </w:p>
    <w:p w:rsidR="006D295C" w:rsidRPr="00CE16EE" w:rsidRDefault="006D295C" w:rsidP="006D295C">
      <w:pPr>
        <w:pStyle w:val="a4"/>
        <w:numPr>
          <w:ilvl w:val="0"/>
          <w:numId w:val="14"/>
        </w:numPr>
        <w:spacing w:after="200" w:line="276" w:lineRule="auto"/>
        <w:jc w:val="both"/>
        <w:rPr>
          <w:lang w:val="en-US"/>
        </w:rPr>
      </w:pPr>
      <w:r w:rsidRPr="00CE16EE">
        <w:rPr>
          <w:lang w:val="en-US"/>
        </w:rPr>
        <w:t>Abraldes JG, Villanueva C, Bañares R, Aracil C, Catalina MV, Garci A-Pagán JC, Bosch J. Hepatic venous pressure gradient and prognosis in patients with acute variceal bleed</w:t>
      </w:r>
      <w:r w:rsidRPr="00CE16EE">
        <w:rPr>
          <w:lang w:val="en-US"/>
        </w:rPr>
        <w:softHyphen/>
        <w:t xml:space="preserve">ing treated with pharmacologic and endoscopic therapy. J Hepatol2008; 48, 5: 229-236.  </w:t>
      </w:r>
    </w:p>
    <w:p w:rsidR="006D295C" w:rsidRPr="00CE16EE" w:rsidRDefault="006D295C" w:rsidP="006D295C">
      <w:pPr>
        <w:pStyle w:val="a4"/>
        <w:numPr>
          <w:ilvl w:val="0"/>
          <w:numId w:val="14"/>
        </w:numPr>
        <w:spacing w:after="200" w:line="276" w:lineRule="auto"/>
        <w:jc w:val="both"/>
      </w:pPr>
      <w:r w:rsidRPr="00CE16EE">
        <w:rPr>
          <w:lang w:val="en-US"/>
        </w:rPr>
        <w:t>Angels Escorsell and Jaime Bosch. Self-Expandable</w:t>
      </w:r>
      <w:r>
        <w:rPr>
          <w:lang w:val="en-US"/>
        </w:rPr>
        <w:t xml:space="preserve"> </w:t>
      </w:r>
      <w:r w:rsidRPr="00CE16EE">
        <w:rPr>
          <w:lang w:val="en-US"/>
        </w:rPr>
        <w:t xml:space="preserve">Metal Stents in the Treatment of Acute Esophageal Variceal Bleeding. </w:t>
      </w:r>
      <w:r w:rsidRPr="00CE16EE">
        <w:t>Gastroenterology</w:t>
      </w:r>
      <w:r>
        <w:t xml:space="preserve"> </w:t>
      </w:r>
      <w:r w:rsidRPr="00CE16EE">
        <w:t>Research</w:t>
      </w:r>
      <w:r>
        <w:t xml:space="preserve"> </w:t>
      </w:r>
      <w:r w:rsidRPr="00CE16EE">
        <w:t>and</w:t>
      </w:r>
      <w:r>
        <w:t xml:space="preserve"> </w:t>
      </w:r>
      <w:r w:rsidRPr="00CE16EE">
        <w:t>Practice</w:t>
      </w:r>
      <w:r>
        <w:t xml:space="preserve"> </w:t>
      </w:r>
      <w:r w:rsidRPr="00CE16EE">
        <w:t xml:space="preserve">Volume 2011, V5, 7, 152-158. </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Available from: http://www.cebm.net/downloads/Oxford_EBM_Levels_5.rtf. </w:t>
      </w:r>
    </w:p>
    <w:p w:rsidR="006D295C" w:rsidRPr="006E5FB7" w:rsidRDefault="006D295C" w:rsidP="006D295C">
      <w:pPr>
        <w:pStyle w:val="a4"/>
        <w:numPr>
          <w:ilvl w:val="0"/>
          <w:numId w:val="14"/>
        </w:numPr>
        <w:spacing w:after="200" w:line="276" w:lineRule="auto"/>
        <w:jc w:val="both"/>
        <w:rPr>
          <w:lang w:val="en-US"/>
        </w:rPr>
      </w:pPr>
      <w:r w:rsidRPr="00CE16EE">
        <w:rPr>
          <w:lang w:val="en-US"/>
        </w:rPr>
        <w:t>Bambha K, Kim WR, Pedersen R, Bida JP, Kremers WK, Kamath PS. Predictors of early re-bleeding and mortality after acute variceal</w:t>
      </w:r>
      <w:r>
        <w:rPr>
          <w:lang w:val="en-US"/>
        </w:rPr>
        <w:t xml:space="preserve"> </w:t>
      </w:r>
      <w:r w:rsidRPr="00CE16EE">
        <w:rPr>
          <w:lang w:val="en-US"/>
        </w:rPr>
        <w:t xml:space="preserve">haemorrhage in patients with cirrhosis. </w:t>
      </w:r>
      <w:r w:rsidRPr="006E5FB7">
        <w:rPr>
          <w:lang w:val="en-US"/>
        </w:rPr>
        <w:t xml:space="preserve">Gut 2008; 57, 7: 814-820. </w:t>
      </w:r>
    </w:p>
    <w:p w:rsidR="006D295C" w:rsidRPr="00CE16EE" w:rsidRDefault="006D295C" w:rsidP="006D295C">
      <w:pPr>
        <w:pStyle w:val="a4"/>
        <w:numPr>
          <w:ilvl w:val="0"/>
          <w:numId w:val="14"/>
        </w:numPr>
        <w:spacing w:after="200" w:line="276" w:lineRule="auto"/>
        <w:jc w:val="both"/>
      </w:pPr>
      <w:r w:rsidRPr="00CE16EE">
        <w:rPr>
          <w:lang w:val="en-US"/>
        </w:rPr>
        <w:t xml:space="preserve">Bosch J, Abraldes JG, Berzigotti A, Garcia-Pagan JC. Portal hypertension and gastrointestinal bleeding. </w:t>
      </w:r>
      <w:r w:rsidRPr="00CE16EE">
        <w:t>Semin</w:t>
      </w:r>
      <w:r>
        <w:t xml:space="preserve"> </w:t>
      </w:r>
      <w:r w:rsidRPr="00CE16EE">
        <w:t>Liver</w:t>
      </w:r>
      <w:r>
        <w:t xml:space="preserve"> </w:t>
      </w:r>
      <w:r w:rsidRPr="00CE16EE">
        <w:t xml:space="preserve">Dis 2008; 28, 5: 3-25. </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deFranchis R. Revising consensus in portal hypertension: report of the Baveno V </w:t>
      </w:r>
      <w:r>
        <w:rPr>
          <w:lang w:val="en-US"/>
        </w:rPr>
        <w:t>consensus workshop on methodolo</w:t>
      </w:r>
      <w:r w:rsidRPr="00CE16EE">
        <w:rPr>
          <w:lang w:val="en-US"/>
        </w:rPr>
        <w:t xml:space="preserve">gy of diagnosis and therapy in portal hypertension. J Hepatol2010; 53: 762-768. </w:t>
      </w:r>
    </w:p>
    <w:p w:rsidR="006D295C" w:rsidRPr="00CE16EE" w:rsidRDefault="006D295C" w:rsidP="006D295C">
      <w:pPr>
        <w:pStyle w:val="a4"/>
        <w:numPr>
          <w:ilvl w:val="0"/>
          <w:numId w:val="14"/>
        </w:numPr>
        <w:spacing w:after="200" w:line="276" w:lineRule="auto"/>
        <w:jc w:val="both"/>
        <w:rPr>
          <w:lang w:val="en-US"/>
        </w:rPr>
      </w:pPr>
      <w:r w:rsidRPr="00CE16EE">
        <w:rPr>
          <w:lang w:val="en-US"/>
        </w:rPr>
        <w:t>Garcia-Pagán JC, Bosch J. Endoscopic band ligation in the treatment of portal hypertension. Nat Clin</w:t>
      </w:r>
      <w:r>
        <w:rPr>
          <w:lang w:val="en-US"/>
        </w:rPr>
        <w:t xml:space="preserve"> </w:t>
      </w:r>
      <w:r w:rsidRPr="00CE16EE">
        <w:rPr>
          <w:lang w:val="en-US"/>
        </w:rPr>
        <w:t>Pract</w:t>
      </w:r>
      <w:r>
        <w:rPr>
          <w:lang w:val="en-US"/>
        </w:rPr>
        <w:t xml:space="preserve"> </w:t>
      </w:r>
      <w:r w:rsidRPr="00CE16EE">
        <w:rPr>
          <w:lang w:val="en-US"/>
        </w:rPr>
        <w:t>Gastroenterol</w:t>
      </w:r>
      <w:r>
        <w:rPr>
          <w:lang w:val="en-US"/>
        </w:rPr>
        <w:t xml:space="preserve"> </w:t>
      </w:r>
      <w:r w:rsidRPr="00CE16EE">
        <w:rPr>
          <w:lang w:val="en-US"/>
        </w:rPr>
        <w:t>Hepatol</w:t>
      </w:r>
      <w:r>
        <w:rPr>
          <w:lang w:val="en-US"/>
        </w:rPr>
        <w:t xml:space="preserve"> </w:t>
      </w:r>
      <w:r w:rsidRPr="00CE16EE">
        <w:rPr>
          <w:lang w:val="en-US"/>
        </w:rPr>
        <w:t xml:space="preserve">2005; 2, 4: 526-535. </w:t>
      </w:r>
    </w:p>
    <w:p w:rsidR="006D295C" w:rsidRPr="00CE16EE" w:rsidRDefault="006D295C" w:rsidP="006D295C">
      <w:pPr>
        <w:pStyle w:val="a4"/>
        <w:numPr>
          <w:ilvl w:val="0"/>
          <w:numId w:val="14"/>
        </w:numPr>
        <w:spacing w:after="200" w:line="276" w:lineRule="auto"/>
        <w:jc w:val="both"/>
      </w:pPr>
      <w:r w:rsidRPr="00CE16EE">
        <w:rPr>
          <w:lang w:val="en-US"/>
        </w:rPr>
        <w:t xml:space="preserve">Garcia-Pagan JC, Caca K, Bureau C, Laleman W, Appenrodt B, Luca A . An early decision for PTFE-TIPS improves survival in high risk cirrhotic patients admitted with an acute variceal bleeding. </w:t>
      </w:r>
      <w:r w:rsidRPr="00CE16EE">
        <w:t xml:space="preserve">A multicenter RCT. Hepatology 2008; 48, 4: 373-381. </w:t>
      </w:r>
    </w:p>
    <w:p w:rsidR="006D295C" w:rsidRPr="00CE16EE" w:rsidRDefault="006D295C" w:rsidP="006D295C">
      <w:pPr>
        <w:pStyle w:val="a4"/>
        <w:numPr>
          <w:ilvl w:val="0"/>
          <w:numId w:val="14"/>
        </w:numPr>
        <w:spacing w:after="200" w:line="276" w:lineRule="auto"/>
        <w:jc w:val="both"/>
      </w:pPr>
      <w:r w:rsidRPr="00CE16EE">
        <w:rPr>
          <w:lang w:val="en-US"/>
        </w:rPr>
        <w:t>Garcia-Tsao G, Bosch J</w:t>
      </w:r>
      <w:r>
        <w:rPr>
          <w:lang w:val="en-US"/>
        </w:rPr>
        <w:t>, Groszmann RJ. Portal hyperten</w:t>
      </w:r>
      <w:r w:rsidRPr="00CE16EE">
        <w:rPr>
          <w:lang w:val="en-US"/>
        </w:rPr>
        <w:t xml:space="preserve">sion and variceal bleeding - unresolved issues. Summary of an American Association for the study of liver diseases and European Association for the study of the liver single-topic conference. </w:t>
      </w:r>
      <w:r w:rsidRPr="00CE16EE">
        <w:t xml:space="preserve">Hepatology 2008; 47, 6: 1764-1772. </w:t>
      </w:r>
    </w:p>
    <w:p w:rsidR="006D295C" w:rsidRPr="00CE16EE" w:rsidRDefault="006D295C" w:rsidP="006D295C">
      <w:pPr>
        <w:pStyle w:val="a4"/>
        <w:numPr>
          <w:ilvl w:val="0"/>
          <w:numId w:val="14"/>
        </w:numPr>
        <w:spacing w:after="200" w:line="276" w:lineRule="auto"/>
        <w:jc w:val="both"/>
        <w:rPr>
          <w:lang w:val="en-US"/>
        </w:rPr>
      </w:pPr>
      <w:r w:rsidRPr="00CE16EE">
        <w:rPr>
          <w:lang w:val="en-US"/>
        </w:rPr>
        <w:lastRenderedPageBreak/>
        <w:t xml:space="preserve">Garcia-Tsao G, Bosch J. Management of varices and variceal hemorrhage in cirrhosis. N Engl J Med 2010; 362, 5: 823-832. </w:t>
      </w:r>
    </w:p>
    <w:p w:rsidR="006D295C" w:rsidRPr="00CE16EE" w:rsidRDefault="006D295C" w:rsidP="006D295C">
      <w:pPr>
        <w:pStyle w:val="a4"/>
        <w:numPr>
          <w:ilvl w:val="0"/>
          <w:numId w:val="14"/>
        </w:numPr>
        <w:spacing w:after="200" w:line="276" w:lineRule="auto"/>
        <w:jc w:val="both"/>
        <w:rPr>
          <w:lang w:val="en-US"/>
        </w:rPr>
      </w:pPr>
      <w:r w:rsidRPr="00CE16EE">
        <w:rPr>
          <w:lang w:val="en-US"/>
        </w:rPr>
        <w:t>Garcia-Tsao G, Sanyal AJ, Grace ND, Carey W. Prevention and management of gastroesophageal</w:t>
      </w:r>
      <w:r>
        <w:rPr>
          <w:lang w:val="en-US"/>
        </w:rPr>
        <w:t xml:space="preserve"> </w:t>
      </w:r>
      <w:r w:rsidRPr="00CE16EE">
        <w:rPr>
          <w:lang w:val="en-US"/>
        </w:rPr>
        <w:t xml:space="preserve">varices and variceal hemorrhage in cirrhosis. Hepatology 2007; 46, 7: 922-938. </w:t>
      </w:r>
    </w:p>
    <w:p w:rsidR="006D295C" w:rsidRPr="00CE16EE" w:rsidRDefault="006D295C" w:rsidP="006D295C">
      <w:pPr>
        <w:pStyle w:val="a4"/>
        <w:numPr>
          <w:ilvl w:val="0"/>
          <w:numId w:val="14"/>
        </w:numPr>
        <w:spacing w:after="200" w:line="276" w:lineRule="auto"/>
        <w:jc w:val="both"/>
      </w:pPr>
      <w:r w:rsidRPr="00CE16EE">
        <w:rPr>
          <w:lang w:val="en-US"/>
        </w:rPr>
        <w:t xml:space="preserve">Gilles Pomier-Layrargues, Louis Bouchard, Michel Lafortune, JulienBissonnette, Dave Gu´erette, and Pierre Perreault. The Transjugular Intrahepatic Portosystemic Shunt in the Treatment of Portal Hypertension: Current Status. </w:t>
      </w:r>
      <w:r w:rsidRPr="00CE16EE">
        <w:t>International</w:t>
      </w:r>
      <w:r>
        <w:t xml:space="preserve"> </w:t>
      </w:r>
      <w:r w:rsidRPr="00CE16EE">
        <w:t>Journal</w:t>
      </w:r>
      <w:r>
        <w:t xml:space="preserve"> </w:t>
      </w:r>
      <w:r w:rsidRPr="00CE16EE">
        <w:t>of</w:t>
      </w:r>
      <w:r>
        <w:t xml:space="preserve"> </w:t>
      </w:r>
      <w:r w:rsidRPr="00CE16EE">
        <w:t xml:space="preserve">Hepatology 2012, 12, 6, 352-358. </w:t>
      </w:r>
    </w:p>
    <w:p w:rsidR="006D295C" w:rsidRPr="00CE16EE" w:rsidRDefault="006D295C" w:rsidP="006D295C">
      <w:pPr>
        <w:pStyle w:val="a4"/>
        <w:numPr>
          <w:ilvl w:val="0"/>
          <w:numId w:val="14"/>
        </w:numPr>
        <w:spacing w:after="200" w:line="276" w:lineRule="auto"/>
        <w:jc w:val="both"/>
        <w:rPr>
          <w:lang w:val="en-US"/>
        </w:rPr>
      </w:pPr>
      <w:r w:rsidRPr="00CE16EE">
        <w:rPr>
          <w:lang w:val="en-US"/>
        </w:rPr>
        <w:t>Gluud LL, Klingenberg S, Nikolova D, Gluud C. Banding ligation versus b-blockers a</w:t>
      </w:r>
      <w:r>
        <w:rPr>
          <w:lang w:val="en-US"/>
        </w:rPr>
        <w:t>s primary prophylaxis in esopha</w:t>
      </w:r>
      <w:r w:rsidRPr="00CE16EE">
        <w:rPr>
          <w:lang w:val="en-US"/>
        </w:rPr>
        <w:t>geal</w:t>
      </w:r>
      <w:r>
        <w:rPr>
          <w:lang w:val="en-US"/>
        </w:rPr>
        <w:t xml:space="preserve"> </w:t>
      </w:r>
      <w:r w:rsidRPr="00CE16EE">
        <w:rPr>
          <w:lang w:val="en-US"/>
        </w:rPr>
        <w:t>varices: systematic review of randomized trials. Am J Gastroenterol</w:t>
      </w:r>
      <w:r>
        <w:rPr>
          <w:lang w:val="en-US"/>
        </w:rPr>
        <w:t xml:space="preserve"> </w:t>
      </w:r>
      <w:r w:rsidRPr="00CE16EE">
        <w:rPr>
          <w:lang w:val="en-US"/>
        </w:rPr>
        <w:t xml:space="preserve">2007; 102, 7: 2842-2848. </w:t>
      </w:r>
    </w:p>
    <w:p w:rsidR="006D295C" w:rsidRDefault="006D295C" w:rsidP="006D295C">
      <w:pPr>
        <w:pStyle w:val="a4"/>
        <w:numPr>
          <w:ilvl w:val="0"/>
          <w:numId w:val="14"/>
        </w:numPr>
        <w:spacing w:after="200" w:line="276" w:lineRule="auto"/>
        <w:jc w:val="both"/>
        <w:rPr>
          <w:lang w:val="en-US"/>
        </w:rPr>
      </w:pPr>
      <w:r w:rsidRPr="00CE16EE">
        <w:rPr>
          <w:lang w:val="en-US"/>
        </w:rPr>
        <w:t xml:space="preserve">Gonzalez R, Zamora J, Gomez-Camarero J, Molinero LM, Bañares R, Albillos A. </w:t>
      </w:r>
      <w:r>
        <w:rPr>
          <w:lang w:val="en-US"/>
        </w:rPr>
        <w:t>Meta-analysis: Combination endo</w:t>
      </w:r>
      <w:r w:rsidRPr="00CE16EE">
        <w:rPr>
          <w:lang w:val="en-US"/>
        </w:rPr>
        <w:t>scopic and drug therapy to prevent variceal</w:t>
      </w:r>
      <w:r>
        <w:rPr>
          <w:lang w:val="en-US"/>
        </w:rPr>
        <w:t xml:space="preserve"> </w:t>
      </w:r>
      <w:r w:rsidRPr="00CE16EE">
        <w:rPr>
          <w:lang w:val="en-US"/>
        </w:rPr>
        <w:t xml:space="preserve">rebleeding in cirrhosis. Ann Intern Med 2008; 149, 8: 109-122. </w:t>
      </w:r>
    </w:p>
    <w:p w:rsidR="006D295C" w:rsidRPr="00CE16EE" w:rsidRDefault="006D295C" w:rsidP="006D295C">
      <w:pPr>
        <w:pStyle w:val="a4"/>
        <w:numPr>
          <w:ilvl w:val="0"/>
          <w:numId w:val="14"/>
        </w:numPr>
        <w:spacing w:after="200" w:line="276" w:lineRule="auto"/>
        <w:jc w:val="both"/>
        <w:rPr>
          <w:lang w:val="en-US"/>
        </w:rPr>
      </w:pPr>
      <w:r w:rsidRPr="008F00E5">
        <w:rPr>
          <w:lang w:val="en-US"/>
        </w:rPr>
        <w:t>Ioannou GN, Doust J, Rockey DC. Terlipressin for acute esophageal variceal hemorrhage. Cochrane Database of Systematic Reviews 2003, Issue 1. Art. No.: CD002147. DOI: 10.1002/14651858.CD002147.</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Miñano C, Garcia-Tsao G. Clinical pharmacology of portal hypertension. GastroenterolClin North Am 2010; 39: 681-695. </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NIEC. Prediction of the first variceal hemorrhage in patients with cirrhosis of the liver and esophageal varices. A prospective multicenter study. The North Italian Endoscopic Club for the Study and Treatment of Esophageal Varices // N. Engl. J. Med. – 1988; 319, 6: 983-989. </w:t>
      </w:r>
    </w:p>
    <w:p w:rsidR="006D295C" w:rsidRPr="00CE16EE" w:rsidRDefault="006D295C" w:rsidP="006D295C">
      <w:pPr>
        <w:pStyle w:val="a4"/>
        <w:numPr>
          <w:ilvl w:val="0"/>
          <w:numId w:val="14"/>
        </w:numPr>
        <w:spacing w:after="200" w:line="276" w:lineRule="auto"/>
        <w:jc w:val="both"/>
      </w:pPr>
      <w:r w:rsidRPr="00CE16EE">
        <w:rPr>
          <w:lang w:val="en-US"/>
        </w:rPr>
        <w:t xml:space="preserve">Orloff MJ, Isenberg JI, Wheeler HO, Haynes KS, Jinich-Brook H, Rapier R, Vaida F, Hye RJ. Randomized trial of emergency endoscopic sclerotherapy versus emergency portacaval shunt for acutely bleeding esophageal varices in cirrhosis. </w:t>
      </w:r>
      <w:r w:rsidRPr="00CE16EE">
        <w:t xml:space="preserve">J Am CollSurg2009; 209, 3: 25-40. </w:t>
      </w:r>
    </w:p>
    <w:p w:rsidR="006D295C" w:rsidRPr="00CE16EE" w:rsidRDefault="006D295C" w:rsidP="006D295C">
      <w:pPr>
        <w:pStyle w:val="a4"/>
        <w:numPr>
          <w:ilvl w:val="0"/>
          <w:numId w:val="14"/>
        </w:numPr>
        <w:spacing w:after="200" w:line="276" w:lineRule="auto"/>
        <w:jc w:val="both"/>
        <w:rPr>
          <w:lang w:val="en-US"/>
        </w:rPr>
      </w:pPr>
      <w:r w:rsidRPr="00CE16EE">
        <w:rPr>
          <w:lang w:val="en-US"/>
        </w:rPr>
        <w:t>Riggio O, Angeloni S, Salvatori FM, De Santis A, Cerini F, Farcomeni A, Attili AF, Merli M. Incidence, natural history, and risk factors of hepatic encephalopathy after transjugular intrahepatic portosystemic shunt with polytetrafluoroethylene-covered stent grafts. Am J Gastroenterol</w:t>
      </w:r>
      <w:r>
        <w:t xml:space="preserve"> </w:t>
      </w:r>
      <w:r w:rsidRPr="00CE16EE">
        <w:rPr>
          <w:lang w:val="en-US"/>
        </w:rPr>
        <w:t xml:space="preserve">2008; 103, 7: 2738-2746. </w:t>
      </w:r>
    </w:p>
    <w:p w:rsidR="006D295C" w:rsidRPr="00CE16EE" w:rsidRDefault="006D295C" w:rsidP="006D295C">
      <w:pPr>
        <w:pStyle w:val="a4"/>
        <w:numPr>
          <w:ilvl w:val="0"/>
          <w:numId w:val="14"/>
        </w:numPr>
        <w:spacing w:after="200" w:line="276" w:lineRule="auto"/>
        <w:jc w:val="both"/>
      </w:pPr>
      <w:r w:rsidRPr="00CE16EE">
        <w:rPr>
          <w:lang w:val="en-US"/>
        </w:rPr>
        <w:t>Ripoll C, Tandon P, Garci</w:t>
      </w:r>
      <w:r>
        <w:rPr>
          <w:lang w:val="en-US"/>
        </w:rPr>
        <w:t>a-Tsao G. Should the Hepatic Ve</w:t>
      </w:r>
      <w:r w:rsidRPr="00CE16EE">
        <w:rPr>
          <w:lang w:val="en-US"/>
        </w:rPr>
        <w:t xml:space="preserve">nous Pressure Gradient Be Sequentially Measured to Monitor B-Blocker Therapy in the Prophylaxis of Variceal Hemorrhage? In: Donald Jensen. Controversies in hepatology: The experts analyze both sides. </w:t>
      </w:r>
      <w:r w:rsidRPr="00CE16EE">
        <w:t xml:space="preserve">Thorofare: SLACK Incorporated, 2011: 123. </w:t>
      </w:r>
    </w:p>
    <w:p w:rsidR="006D295C" w:rsidRPr="00CE16EE" w:rsidRDefault="006D295C" w:rsidP="006D295C">
      <w:pPr>
        <w:pStyle w:val="a4"/>
        <w:numPr>
          <w:ilvl w:val="0"/>
          <w:numId w:val="14"/>
        </w:numPr>
        <w:spacing w:after="200" w:line="276" w:lineRule="auto"/>
        <w:jc w:val="both"/>
      </w:pPr>
      <w:r w:rsidRPr="00CE16EE">
        <w:rPr>
          <w:lang w:val="en-US"/>
        </w:rPr>
        <w:t xml:space="preserve">Salvador Augustin, Antonio González, Joan Genescà. Acute esophageal variceal bleeding: Current strategies and new perspectives. </w:t>
      </w:r>
      <w:r w:rsidRPr="00CE16EE">
        <w:t xml:space="preserve">World J Hepatol2010 July 27; 2(7): 261-274. </w:t>
      </w:r>
    </w:p>
    <w:p w:rsidR="006D295C" w:rsidRPr="00CE16EE" w:rsidRDefault="006D295C" w:rsidP="006D295C">
      <w:pPr>
        <w:pStyle w:val="a4"/>
        <w:numPr>
          <w:ilvl w:val="0"/>
          <w:numId w:val="14"/>
        </w:numPr>
        <w:spacing w:after="200" w:line="276" w:lineRule="auto"/>
        <w:jc w:val="both"/>
        <w:rPr>
          <w:lang w:val="en-US"/>
        </w:rPr>
      </w:pPr>
      <w:r w:rsidRPr="00CE16EE">
        <w:rPr>
          <w:lang w:val="en-US"/>
        </w:rPr>
        <w:t>Stiegmann G.V., Cambre</w:t>
      </w:r>
      <w:r w:rsidRPr="00CE16EE">
        <w:t>Т</w:t>
      </w:r>
      <w:r w:rsidRPr="00CE16EE">
        <w:rPr>
          <w:lang w:val="en-US"/>
        </w:rPr>
        <w:t xml:space="preserve">., Sun J. A new endoscopic elastic band ligating device // Gastrointest. Endosc. – 1986; 32, 4: 230-233. </w:t>
      </w:r>
    </w:p>
    <w:p w:rsidR="006D295C" w:rsidRPr="00CE16EE" w:rsidRDefault="006D295C" w:rsidP="006D295C">
      <w:pPr>
        <w:pStyle w:val="a4"/>
        <w:numPr>
          <w:ilvl w:val="0"/>
          <w:numId w:val="14"/>
        </w:numPr>
        <w:spacing w:after="200" w:line="276" w:lineRule="auto"/>
        <w:jc w:val="both"/>
        <w:rPr>
          <w:lang w:val="en-US"/>
        </w:rPr>
      </w:pPr>
      <w:r w:rsidRPr="00CE16EE">
        <w:rPr>
          <w:lang w:val="en-US"/>
        </w:rPr>
        <w:t xml:space="preserve">Villanueva C, Aracil C, </w:t>
      </w:r>
      <w:r>
        <w:rPr>
          <w:lang w:val="en-US"/>
        </w:rPr>
        <w:t>Colomo A, Lopez-Balaguer JM, Pi</w:t>
      </w:r>
      <w:r w:rsidRPr="00CE16EE">
        <w:rPr>
          <w:lang w:val="en-US"/>
        </w:rPr>
        <w:t>queras M, Gonzalez B, Torras</w:t>
      </w:r>
      <w:r>
        <w:rPr>
          <w:lang w:val="en-US"/>
        </w:rPr>
        <w:t xml:space="preserve"> X, Guarner C, Balanzo J. Clini</w:t>
      </w:r>
      <w:r w:rsidRPr="00CE16EE">
        <w:rPr>
          <w:lang w:val="en-US"/>
        </w:rPr>
        <w:t xml:space="preserve">cal trial: a randomized controlled study on prevention of varicealrebleeding comparing nadolol + ligation vs. hepatic venous pressure gradient-guided pharmacological therapy. Aliment PharmacolTher2009, 9; 29: 397-408. </w:t>
      </w:r>
    </w:p>
    <w:p w:rsidR="006D295C" w:rsidRPr="00CE16EE" w:rsidRDefault="006D295C" w:rsidP="006D295C">
      <w:pPr>
        <w:pStyle w:val="a4"/>
        <w:numPr>
          <w:ilvl w:val="0"/>
          <w:numId w:val="14"/>
        </w:numPr>
        <w:spacing w:after="200"/>
        <w:jc w:val="both"/>
        <w:rPr>
          <w:lang w:val="en-US"/>
        </w:rPr>
      </w:pPr>
      <w:r w:rsidRPr="00CE16EE">
        <w:rPr>
          <w:lang w:val="en-US"/>
        </w:rPr>
        <w:lastRenderedPageBreak/>
        <w:t>Wright G, Lewis H, Hogan B, Burroughs A, Patch D, O'Beirne J. A self-expanding metal stent for complicated variceal hemorrhage: experience at a single center. Gastrointest</w:t>
      </w:r>
      <w:r>
        <w:rPr>
          <w:lang w:val="en-US"/>
        </w:rPr>
        <w:t xml:space="preserve"> </w:t>
      </w:r>
      <w:r w:rsidRPr="00CE16EE">
        <w:rPr>
          <w:lang w:val="en-US"/>
        </w:rPr>
        <w:t>Endosc</w:t>
      </w:r>
      <w:r>
        <w:rPr>
          <w:lang w:val="en-US"/>
        </w:rPr>
        <w:t xml:space="preserve"> </w:t>
      </w:r>
      <w:r w:rsidRPr="00CE16EE">
        <w:rPr>
          <w:lang w:val="en-US"/>
        </w:rPr>
        <w:t xml:space="preserve">2010; 71, 1: 71-78. </w:t>
      </w:r>
    </w:p>
    <w:p w:rsidR="006D295C" w:rsidRPr="00CE16EE" w:rsidRDefault="006D295C" w:rsidP="006D295C">
      <w:pPr>
        <w:pStyle w:val="a4"/>
        <w:numPr>
          <w:ilvl w:val="0"/>
          <w:numId w:val="14"/>
        </w:numPr>
        <w:spacing w:after="200"/>
        <w:jc w:val="both"/>
        <w:rPr>
          <w:lang w:val="en-US"/>
        </w:rPr>
      </w:pPr>
      <w:r w:rsidRPr="00CE16EE">
        <w:rPr>
          <w:lang w:val="en-US"/>
        </w:rPr>
        <w:t>Zehetner J, Shamiyeh A, Wayand W, Hubmann R. Results of a new method to stop acute bleeding from esophageal varices: implantation of a self-expanding stent. SurgEndosc2008; 22, 11: 2149-2152.</w:t>
      </w:r>
    </w:p>
    <w:p w:rsidR="00864D92" w:rsidRDefault="00864D92"/>
    <w:sectPr w:rsidR="00864D92" w:rsidSect="004B1C04">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D78FE">
      <w:pPr>
        <w:spacing w:after="0" w:line="240" w:lineRule="auto"/>
      </w:pPr>
      <w:r>
        <w:separator/>
      </w:r>
    </w:p>
  </w:endnote>
  <w:endnote w:type="continuationSeparator" w:id="0">
    <w:p w:rsidR="00000000" w:rsidRDefault="00ED7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44" w:rsidRDefault="00ED78F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4028"/>
      <w:docPartObj>
        <w:docPartGallery w:val="Page Numbers (Bottom of Page)"/>
        <w:docPartUnique/>
      </w:docPartObj>
    </w:sdtPr>
    <w:sdtEndPr/>
    <w:sdtContent>
      <w:p w:rsidR="005A4644" w:rsidRDefault="00D841FC">
        <w:pPr>
          <w:pStyle w:val="aa"/>
          <w:jc w:val="right"/>
        </w:pPr>
        <w:r>
          <w:fldChar w:fldCharType="begin"/>
        </w:r>
        <w:r>
          <w:instrText xml:space="preserve"> PAGE   \* MERGEFORMAT </w:instrText>
        </w:r>
        <w:r>
          <w:fldChar w:fldCharType="separate"/>
        </w:r>
        <w:r w:rsidR="00ED78FE">
          <w:rPr>
            <w:noProof/>
          </w:rPr>
          <w:t>2</w:t>
        </w:r>
        <w:r>
          <w:rPr>
            <w:noProof/>
          </w:rPr>
          <w:fldChar w:fldCharType="end"/>
        </w:r>
      </w:p>
    </w:sdtContent>
  </w:sdt>
  <w:p w:rsidR="005A4644" w:rsidRDefault="00ED78F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44" w:rsidRDefault="00ED78F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D78FE">
      <w:pPr>
        <w:spacing w:after="0" w:line="240" w:lineRule="auto"/>
      </w:pPr>
      <w:r>
        <w:separator/>
      </w:r>
    </w:p>
  </w:footnote>
  <w:footnote w:type="continuationSeparator" w:id="0">
    <w:p w:rsidR="00000000" w:rsidRDefault="00ED7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44" w:rsidRDefault="00ED78F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44" w:rsidRDefault="00ED78F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44" w:rsidRDefault="00ED78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1CFF"/>
    <w:multiLevelType w:val="hybridMultilevel"/>
    <w:tmpl w:val="32B8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23CEA"/>
    <w:multiLevelType w:val="hybridMultilevel"/>
    <w:tmpl w:val="24E00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536F9"/>
    <w:multiLevelType w:val="hybridMultilevel"/>
    <w:tmpl w:val="3C48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811E62"/>
    <w:multiLevelType w:val="hybridMultilevel"/>
    <w:tmpl w:val="87BA8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2C22F9"/>
    <w:multiLevelType w:val="hybridMultilevel"/>
    <w:tmpl w:val="D84EE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205B9"/>
    <w:multiLevelType w:val="hybridMultilevel"/>
    <w:tmpl w:val="6068D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F1737C"/>
    <w:multiLevelType w:val="hybridMultilevel"/>
    <w:tmpl w:val="7120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A25486"/>
    <w:multiLevelType w:val="hybridMultilevel"/>
    <w:tmpl w:val="B49EA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1A4D83"/>
    <w:multiLevelType w:val="hybridMultilevel"/>
    <w:tmpl w:val="CD2A6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0D2F66"/>
    <w:multiLevelType w:val="hybridMultilevel"/>
    <w:tmpl w:val="50B4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9749B5"/>
    <w:multiLevelType w:val="hybridMultilevel"/>
    <w:tmpl w:val="E45C2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EA33E6"/>
    <w:multiLevelType w:val="hybridMultilevel"/>
    <w:tmpl w:val="6E703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3E54BE"/>
    <w:multiLevelType w:val="hybridMultilevel"/>
    <w:tmpl w:val="A38E0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B1133"/>
    <w:multiLevelType w:val="hybridMultilevel"/>
    <w:tmpl w:val="ED266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C14C74"/>
    <w:multiLevelType w:val="hybridMultilevel"/>
    <w:tmpl w:val="62A85E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5"/>
  </w:num>
  <w:num w:numId="3">
    <w:abstractNumId w:val="2"/>
  </w:num>
  <w:num w:numId="4">
    <w:abstractNumId w:val="10"/>
  </w:num>
  <w:num w:numId="5">
    <w:abstractNumId w:val="7"/>
  </w:num>
  <w:num w:numId="6">
    <w:abstractNumId w:val="3"/>
  </w:num>
  <w:num w:numId="7">
    <w:abstractNumId w:val="1"/>
  </w:num>
  <w:num w:numId="8">
    <w:abstractNumId w:val="0"/>
  </w:num>
  <w:num w:numId="9">
    <w:abstractNumId w:val="8"/>
  </w:num>
  <w:num w:numId="10">
    <w:abstractNumId w:val="14"/>
  </w:num>
  <w:num w:numId="11">
    <w:abstractNumId w:val="12"/>
  </w:num>
  <w:num w:numId="12">
    <w:abstractNumId w:val="9"/>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95C"/>
    <w:rsid w:val="000D764B"/>
    <w:rsid w:val="00492B43"/>
    <w:rsid w:val="006D295C"/>
    <w:rsid w:val="00864D92"/>
    <w:rsid w:val="00B563DD"/>
    <w:rsid w:val="00D841FC"/>
    <w:rsid w:val="00ED7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95C"/>
    <w:pPr>
      <w:spacing w:after="200" w:line="276" w:lineRule="auto"/>
      <w:jc w:val="left"/>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295C"/>
    <w:pPr>
      <w:jc w:val="left"/>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57" w:type="dxa"/>
        <w:left w:w="57" w:type="dxa"/>
        <w:bottom w:w="57" w:type="dxa"/>
        <w:right w:w="57" w:type="dxa"/>
      </w:tblCellMar>
    </w:tblPr>
    <w:trPr>
      <w:cantSplit/>
    </w:trPr>
  </w:style>
  <w:style w:type="paragraph" w:styleId="a4">
    <w:name w:val="List Paragraph"/>
    <w:basedOn w:val="a"/>
    <w:uiPriority w:val="34"/>
    <w:qFormat/>
    <w:rsid w:val="006D295C"/>
    <w:pPr>
      <w:spacing w:after="0" w:line="240" w:lineRule="auto"/>
      <w:ind w:left="720"/>
      <w:contextualSpacing/>
    </w:pPr>
    <w:rPr>
      <w:rFonts w:ascii="Times New Roman" w:eastAsia="MS Mincho" w:hAnsi="Times New Roman" w:cs="Times New Roman"/>
      <w:sz w:val="24"/>
      <w:szCs w:val="24"/>
    </w:rPr>
  </w:style>
  <w:style w:type="paragraph" w:styleId="a5">
    <w:name w:val="Balloon Text"/>
    <w:basedOn w:val="a"/>
    <w:link w:val="a6"/>
    <w:uiPriority w:val="99"/>
    <w:semiHidden/>
    <w:unhideWhenUsed/>
    <w:rsid w:val="006D29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295C"/>
    <w:rPr>
      <w:rFonts w:ascii="Tahoma" w:eastAsiaTheme="minorEastAsia" w:hAnsi="Tahoma" w:cs="Tahoma"/>
      <w:sz w:val="16"/>
      <w:szCs w:val="16"/>
      <w:lang w:eastAsia="ru-RU"/>
    </w:rPr>
  </w:style>
  <w:style w:type="paragraph" w:customStyle="1" w:styleId="1">
    <w:name w:val="Стиль1"/>
    <w:basedOn w:val="a"/>
    <w:link w:val="10"/>
    <w:qFormat/>
    <w:rsid w:val="006D295C"/>
    <w:pPr>
      <w:spacing w:after="0" w:line="360" w:lineRule="auto"/>
      <w:ind w:firstLine="851"/>
      <w:jc w:val="both"/>
    </w:pPr>
    <w:rPr>
      <w:rFonts w:ascii="Times New Roman" w:hAnsi="Times New Roman" w:cs="Times New Roman"/>
      <w:sz w:val="28"/>
      <w:szCs w:val="28"/>
    </w:rPr>
  </w:style>
  <w:style w:type="character" w:customStyle="1" w:styleId="10">
    <w:name w:val="Стиль1 Знак"/>
    <w:basedOn w:val="a0"/>
    <w:link w:val="1"/>
    <w:rsid w:val="006D295C"/>
    <w:rPr>
      <w:rFonts w:ascii="Times New Roman" w:eastAsiaTheme="minorEastAsia" w:hAnsi="Times New Roman" w:cs="Times New Roman"/>
      <w:sz w:val="28"/>
      <w:szCs w:val="28"/>
      <w:lang w:eastAsia="ru-RU"/>
    </w:rPr>
  </w:style>
  <w:style w:type="paragraph" w:styleId="a7">
    <w:name w:val="No Spacing"/>
    <w:uiPriority w:val="1"/>
    <w:qFormat/>
    <w:rsid w:val="006D295C"/>
    <w:pPr>
      <w:jc w:val="left"/>
    </w:pPr>
  </w:style>
  <w:style w:type="paragraph" w:customStyle="1" w:styleId="Pa20">
    <w:name w:val="Pa20"/>
    <w:basedOn w:val="a"/>
    <w:next w:val="a"/>
    <w:uiPriority w:val="99"/>
    <w:rsid w:val="006D295C"/>
    <w:pPr>
      <w:autoSpaceDE w:val="0"/>
      <w:autoSpaceDN w:val="0"/>
      <w:adjustRightInd w:val="0"/>
      <w:spacing w:after="0" w:line="161" w:lineRule="atLeast"/>
    </w:pPr>
    <w:rPr>
      <w:rFonts w:ascii="Book Antiqua" w:eastAsiaTheme="minorHAnsi" w:hAnsi="Book Antiqua"/>
      <w:sz w:val="24"/>
      <w:szCs w:val="24"/>
      <w:lang w:eastAsia="en-US"/>
    </w:rPr>
  </w:style>
  <w:style w:type="character" w:customStyle="1" w:styleId="34">
    <w:name w:val="Основной текст (3)4"/>
    <w:rsid w:val="006D295C"/>
    <w:rPr>
      <w:rFonts w:ascii="Garamond" w:hAnsi="Garamond" w:cs="Garamond"/>
      <w:spacing w:val="0"/>
      <w:sz w:val="19"/>
      <w:szCs w:val="19"/>
      <w:shd w:val="clear" w:color="auto" w:fill="FFFFFF"/>
    </w:rPr>
  </w:style>
  <w:style w:type="paragraph" w:styleId="a8">
    <w:name w:val="header"/>
    <w:basedOn w:val="a"/>
    <w:link w:val="a9"/>
    <w:uiPriority w:val="99"/>
    <w:unhideWhenUsed/>
    <w:rsid w:val="006D29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295C"/>
    <w:rPr>
      <w:rFonts w:eastAsiaTheme="minorEastAsia"/>
      <w:lang w:eastAsia="ru-RU"/>
    </w:rPr>
  </w:style>
  <w:style w:type="paragraph" w:styleId="aa">
    <w:name w:val="footer"/>
    <w:basedOn w:val="a"/>
    <w:link w:val="ab"/>
    <w:uiPriority w:val="99"/>
    <w:unhideWhenUsed/>
    <w:rsid w:val="006D29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295C"/>
    <w:rPr>
      <w:rFonts w:eastAsiaTheme="minorEastAsia"/>
      <w:lang w:eastAsia="ru-RU"/>
    </w:rPr>
  </w:style>
  <w:style w:type="character" w:styleId="ac">
    <w:name w:val="annotation reference"/>
    <w:basedOn w:val="a0"/>
    <w:uiPriority w:val="99"/>
    <w:semiHidden/>
    <w:unhideWhenUsed/>
    <w:rsid w:val="006D295C"/>
    <w:rPr>
      <w:sz w:val="16"/>
      <w:szCs w:val="16"/>
    </w:rPr>
  </w:style>
  <w:style w:type="paragraph" w:styleId="ad">
    <w:name w:val="annotation text"/>
    <w:basedOn w:val="a"/>
    <w:link w:val="ae"/>
    <w:uiPriority w:val="99"/>
    <w:semiHidden/>
    <w:unhideWhenUsed/>
    <w:rsid w:val="006D295C"/>
    <w:pPr>
      <w:spacing w:line="240" w:lineRule="auto"/>
    </w:pPr>
    <w:rPr>
      <w:sz w:val="20"/>
      <w:szCs w:val="20"/>
    </w:rPr>
  </w:style>
  <w:style w:type="character" w:customStyle="1" w:styleId="ae">
    <w:name w:val="Текст примечания Знак"/>
    <w:basedOn w:val="a0"/>
    <w:link w:val="ad"/>
    <w:uiPriority w:val="99"/>
    <w:semiHidden/>
    <w:rsid w:val="006D295C"/>
    <w:rPr>
      <w:rFonts w:eastAsiaTheme="minorEastAsia"/>
      <w:sz w:val="20"/>
      <w:szCs w:val="20"/>
      <w:lang w:eastAsia="ru-RU"/>
    </w:rPr>
  </w:style>
  <w:style w:type="paragraph" w:styleId="af">
    <w:name w:val="annotation subject"/>
    <w:basedOn w:val="ad"/>
    <w:next w:val="ad"/>
    <w:link w:val="af0"/>
    <w:uiPriority w:val="99"/>
    <w:semiHidden/>
    <w:unhideWhenUsed/>
    <w:rsid w:val="006D295C"/>
    <w:rPr>
      <w:b/>
      <w:bCs/>
    </w:rPr>
  </w:style>
  <w:style w:type="character" w:customStyle="1" w:styleId="af0">
    <w:name w:val="Тема примечания Знак"/>
    <w:basedOn w:val="ae"/>
    <w:link w:val="af"/>
    <w:uiPriority w:val="99"/>
    <w:semiHidden/>
    <w:rsid w:val="006D295C"/>
    <w:rPr>
      <w:rFonts w:eastAsiaTheme="minorEastAsia"/>
      <w:b/>
      <w:bCs/>
      <w:sz w:val="20"/>
      <w:szCs w:val="20"/>
      <w:lang w:eastAsia="ru-RU"/>
    </w:rPr>
  </w:style>
  <w:style w:type="paragraph" w:styleId="af1">
    <w:name w:val="Normal (Web)"/>
    <w:basedOn w:val="a"/>
    <w:uiPriority w:val="99"/>
    <w:semiHidden/>
    <w:unhideWhenUsed/>
    <w:rsid w:val="006D295C"/>
    <w:pPr>
      <w:spacing w:before="100" w:beforeAutospacing="1" w:after="100" w:afterAutospacing="1" w:line="240" w:lineRule="auto"/>
    </w:pPr>
    <w:rPr>
      <w:rFonts w:ascii="Times New Roman" w:hAnsi="Times New Roman" w:cs="Times New Roman"/>
      <w:sz w:val="24"/>
      <w:szCs w:val="24"/>
    </w:rPr>
  </w:style>
  <w:style w:type="character" w:styleId="af2">
    <w:name w:val="Hyperlink"/>
    <w:basedOn w:val="a0"/>
    <w:uiPriority w:val="99"/>
    <w:unhideWhenUsed/>
    <w:rsid w:val="006D295C"/>
    <w:rPr>
      <w:color w:val="0000FF" w:themeColor="hyperlink"/>
      <w:u w:val="single"/>
    </w:rPr>
  </w:style>
  <w:style w:type="character" w:customStyle="1" w:styleId="ti2">
    <w:name w:val="ti2"/>
    <w:basedOn w:val="a0"/>
    <w:rsid w:val="006D295C"/>
    <w:rPr>
      <w:sz w:val="22"/>
      <w:szCs w:val="22"/>
    </w:rPr>
  </w:style>
  <w:style w:type="paragraph" w:styleId="af3">
    <w:name w:val="Title"/>
    <w:basedOn w:val="a"/>
    <w:next w:val="a"/>
    <w:link w:val="af4"/>
    <w:uiPriority w:val="99"/>
    <w:qFormat/>
    <w:rsid w:val="006D295C"/>
    <w:pPr>
      <w:pBdr>
        <w:bottom w:val="single" w:sz="8" w:space="4" w:color="4F81BD"/>
      </w:pBdr>
      <w:suppressAutoHyphens/>
      <w:spacing w:after="300" w:line="240" w:lineRule="auto"/>
    </w:pPr>
    <w:rPr>
      <w:rFonts w:ascii="Cambria" w:eastAsia="Times New Roman" w:hAnsi="Cambria" w:cs="Cambria"/>
      <w:color w:val="17365D"/>
      <w:spacing w:val="5"/>
      <w:kern w:val="28"/>
      <w:sz w:val="52"/>
      <w:szCs w:val="52"/>
      <w:lang w:eastAsia="ar-SA"/>
    </w:rPr>
  </w:style>
  <w:style w:type="character" w:customStyle="1" w:styleId="af4">
    <w:name w:val="Название Знак"/>
    <w:basedOn w:val="a0"/>
    <w:link w:val="af3"/>
    <w:uiPriority w:val="99"/>
    <w:rsid w:val="006D295C"/>
    <w:rPr>
      <w:rFonts w:ascii="Cambria" w:eastAsia="Times New Roman" w:hAnsi="Cambria" w:cs="Cambria"/>
      <w:color w:val="17365D"/>
      <w:spacing w:val="5"/>
      <w:kern w:val="28"/>
      <w:sz w:val="52"/>
      <w:szCs w:val="52"/>
      <w:lang w:eastAsia="ar-SA"/>
    </w:rPr>
  </w:style>
  <w:style w:type="character" w:customStyle="1" w:styleId="source-copyright1">
    <w:name w:val="source-copyright1"/>
    <w:basedOn w:val="a0"/>
    <w:rsid w:val="006D295C"/>
    <w:rPr>
      <w:rFonts w:ascii="Verdana" w:hAnsi="Verdana"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95C"/>
    <w:pPr>
      <w:spacing w:after="200" w:line="276" w:lineRule="auto"/>
      <w:jc w:val="left"/>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295C"/>
    <w:pPr>
      <w:jc w:val="left"/>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57" w:type="dxa"/>
        <w:left w:w="57" w:type="dxa"/>
        <w:bottom w:w="57" w:type="dxa"/>
        <w:right w:w="57" w:type="dxa"/>
      </w:tblCellMar>
    </w:tblPr>
    <w:trPr>
      <w:cantSplit/>
    </w:trPr>
  </w:style>
  <w:style w:type="paragraph" w:styleId="a4">
    <w:name w:val="List Paragraph"/>
    <w:basedOn w:val="a"/>
    <w:uiPriority w:val="34"/>
    <w:qFormat/>
    <w:rsid w:val="006D295C"/>
    <w:pPr>
      <w:spacing w:after="0" w:line="240" w:lineRule="auto"/>
      <w:ind w:left="720"/>
      <w:contextualSpacing/>
    </w:pPr>
    <w:rPr>
      <w:rFonts w:ascii="Times New Roman" w:eastAsia="MS Mincho" w:hAnsi="Times New Roman" w:cs="Times New Roman"/>
      <w:sz w:val="24"/>
      <w:szCs w:val="24"/>
    </w:rPr>
  </w:style>
  <w:style w:type="paragraph" w:styleId="a5">
    <w:name w:val="Balloon Text"/>
    <w:basedOn w:val="a"/>
    <w:link w:val="a6"/>
    <w:uiPriority w:val="99"/>
    <w:semiHidden/>
    <w:unhideWhenUsed/>
    <w:rsid w:val="006D29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295C"/>
    <w:rPr>
      <w:rFonts w:ascii="Tahoma" w:eastAsiaTheme="minorEastAsia" w:hAnsi="Tahoma" w:cs="Tahoma"/>
      <w:sz w:val="16"/>
      <w:szCs w:val="16"/>
      <w:lang w:eastAsia="ru-RU"/>
    </w:rPr>
  </w:style>
  <w:style w:type="paragraph" w:customStyle="1" w:styleId="1">
    <w:name w:val="Стиль1"/>
    <w:basedOn w:val="a"/>
    <w:link w:val="10"/>
    <w:qFormat/>
    <w:rsid w:val="006D295C"/>
    <w:pPr>
      <w:spacing w:after="0" w:line="360" w:lineRule="auto"/>
      <w:ind w:firstLine="851"/>
      <w:jc w:val="both"/>
    </w:pPr>
    <w:rPr>
      <w:rFonts w:ascii="Times New Roman" w:hAnsi="Times New Roman" w:cs="Times New Roman"/>
      <w:sz w:val="28"/>
      <w:szCs w:val="28"/>
    </w:rPr>
  </w:style>
  <w:style w:type="character" w:customStyle="1" w:styleId="10">
    <w:name w:val="Стиль1 Знак"/>
    <w:basedOn w:val="a0"/>
    <w:link w:val="1"/>
    <w:rsid w:val="006D295C"/>
    <w:rPr>
      <w:rFonts w:ascii="Times New Roman" w:eastAsiaTheme="minorEastAsia" w:hAnsi="Times New Roman" w:cs="Times New Roman"/>
      <w:sz w:val="28"/>
      <w:szCs w:val="28"/>
      <w:lang w:eastAsia="ru-RU"/>
    </w:rPr>
  </w:style>
  <w:style w:type="paragraph" w:styleId="a7">
    <w:name w:val="No Spacing"/>
    <w:uiPriority w:val="1"/>
    <w:qFormat/>
    <w:rsid w:val="006D295C"/>
    <w:pPr>
      <w:jc w:val="left"/>
    </w:pPr>
  </w:style>
  <w:style w:type="paragraph" w:customStyle="1" w:styleId="Pa20">
    <w:name w:val="Pa20"/>
    <w:basedOn w:val="a"/>
    <w:next w:val="a"/>
    <w:uiPriority w:val="99"/>
    <w:rsid w:val="006D295C"/>
    <w:pPr>
      <w:autoSpaceDE w:val="0"/>
      <w:autoSpaceDN w:val="0"/>
      <w:adjustRightInd w:val="0"/>
      <w:spacing w:after="0" w:line="161" w:lineRule="atLeast"/>
    </w:pPr>
    <w:rPr>
      <w:rFonts w:ascii="Book Antiqua" w:eastAsiaTheme="minorHAnsi" w:hAnsi="Book Antiqua"/>
      <w:sz w:val="24"/>
      <w:szCs w:val="24"/>
      <w:lang w:eastAsia="en-US"/>
    </w:rPr>
  </w:style>
  <w:style w:type="character" w:customStyle="1" w:styleId="34">
    <w:name w:val="Основной текст (3)4"/>
    <w:rsid w:val="006D295C"/>
    <w:rPr>
      <w:rFonts w:ascii="Garamond" w:hAnsi="Garamond" w:cs="Garamond"/>
      <w:spacing w:val="0"/>
      <w:sz w:val="19"/>
      <w:szCs w:val="19"/>
      <w:shd w:val="clear" w:color="auto" w:fill="FFFFFF"/>
    </w:rPr>
  </w:style>
  <w:style w:type="paragraph" w:styleId="a8">
    <w:name w:val="header"/>
    <w:basedOn w:val="a"/>
    <w:link w:val="a9"/>
    <w:uiPriority w:val="99"/>
    <w:unhideWhenUsed/>
    <w:rsid w:val="006D29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295C"/>
    <w:rPr>
      <w:rFonts w:eastAsiaTheme="minorEastAsia"/>
      <w:lang w:eastAsia="ru-RU"/>
    </w:rPr>
  </w:style>
  <w:style w:type="paragraph" w:styleId="aa">
    <w:name w:val="footer"/>
    <w:basedOn w:val="a"/>
    <w:link w:val="ab"/>
    <w:uiPriority w:val="99"/>
    <w:unhideWhenUsed/>
    <w:rsid w:val="006D29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295C"/>
    <w:rPr>
      <w:rFonts w:eastAsiaTheme="minorEastAsia"/>
      <w:lang w:eastAsia="ru-RU"/>
    </w:rPr>
  </w:style>
  <w:style w:type="character" w:styleId="ac">
    <w:name w:val="annotation reference"/>
    <w:basedOn w:val="a0"/>
    <w:uiPriority w:val="99"/>
    <w:semiHidden/>
    <w:unhideWhenUsed/>
    <w:rsid w:val="006D295C"/>
    <w:rPr>
      <w:sz w:val="16"/>
      <w:szCs w:val="16"/>
    </w:rPr>
  </w:style>
  <w:style w:type="paragraph" w:styleId="ad">
    <w:name w:val="annotation text"/>
    <w:basedOn w:val="a"/>
    <w:link w:val="ae"/>
    <w:uiPriority w:val="99"/>
    <w:semiHidden/>
    <w:unhideWhenUsed/>
    <w:rsid w:val="006D295C"/>
    <w:pPr>
      <w:spacing w:line="240" w:lineRule="auto"/>
    </w:pPr>
    <w:rPr>
      <w:sz w:val="20"/>
      <w:szCs w:val="20"/>
    </w:rPr>
  </w:style>
  <w:style w:type="character" w:customStyle="1" w:styleId="ae">
    <w:name w:val="Текст примечания Знак"/>
    <w:basedOn w:val="a0"/>
    <w:link w:val="ad"/>
    <w:uiPriority w:val="99"/>
    <w:semiHidden/>
    <w:rsid w:val="006D295C"/>
    <w:rPr>
      <w:rFonts w:eastAsiaTheme="minorEastAsia"/>
      <w:sz w:val="20"/>
      <w:szCs w:val="20"/>
      <w:lang w:eastAsia="ru-RU"/>
    </w:rPr>
  </w:style>
  <w:style w:type="paragraph" w:styleId="af">
    <w:name w:val="annotation subject"/>
    <w:basedOn w:val="ad"/>
    <w:next w:val="ad"/>
    <w:link w:val="af0"/>
    <w:uiPriority w:val="99"/>
    <w:semiHidden/>
    <w:unhideWhenUsed/>
    <w:rsid w:val="006D295C"/>
    <w:rPr>
      <w:b/>
      <w:bCs/>
    </w:rPr>
  </w:style>
  <w:style w:type="character" w:customStyle="1" w:styleId="af0">
    <w:name w:val="Тема примечания Знак"/>
    <w:basedOn w:val="ae"/>
    <w:link w:val="af"/>
    <w:uiPriority w:val="99"/>
    <w:semiHidden/>
    <w:rsid w:val="006D295C"/>
    <w:rPr>
      <w:rFonts w:eastAsiaTheme="minorEastAsia"/>
      <w:b/>
      <w:bCs/>
      <w:sz w:val="20"/>
      <w:szCs w:val="20"/>
      <w:lang w:eastAsia="ru-RU"/>
    </w:rPr>
  </w:style>
  <w:style w:type="paragraph" w:styleId="af1">
    <w:name w:val="Normal (Web)"/>
    <w:basedOn w:val="a"/>
    <w:uiPriority w:val="99"/>
    <w:semiHidden/>
    <w:unhideWhenUsed/>
    <w:rsid w:val="006D295C"/>
    <w:pPr>
      <w:spacing w:before="100" w:beforeAutospacing="1" w:after="100" w:afterAutospacing="1" w:line="240" w:lineRule="auto"/>
    </w:pPr>
    <w:rPr>
      <w:rFonts w:ascii="Times New Roman" w:hAnsi="Times New Roman" w:cs="Times New Roman"/>
      <w:sz w:val="24"/>
      <w:szCs w:val="24"/>
    </w:rPr>
  </w:style>
  <w:style w:type="character" w:styleId="af2">
    <w:name w:val="Hyperlink"/>
    <w:basedOn w:val="a0"/>
    <w:uiPriority w:val="99"/>
    <w:unhideWhenUsed/>
    <w:rsid w:val="006D295C"/>
    <w:rPr>
      <w:color w:val="0000FF" w:themeColor="hyperlink"/>
      <w:u w:val="single"/>
    </w:rPr>
  </w:style>
  <w:style w:type="character" w:customStyle="1" w:styleId="ti2">
    <w:name w:val="ti2"/>
    <w:basedOn w:val="a0"/>
    <w:rsid w:val="006D295C"/>
    <w:rPr>
      <w:sz w:val="22"/>
      <w:szCs w:val="22"/>
    </w:rPr>
  </w:style>
  <w:style w:type="paragraph" w:styleId="af3">
    <w:name w:val="Title"/>
    <w:basedOn w:val="a"/>
    <w:next w:val="a"/>
    <w:link w:val="af4"/>
    <w:uiPriority w:val="99"/>
    <w:qFormat/>
    <w:rsid w:val="006D295C"/>
    <w:pPr>
      <w:pBdr>
        <w:bottom w:val="single" w:sz="8" w:space="4" w:color="4F81BD"/>
      </w:pBdr>
      <w:suppressAutoHyphens/>
      <w:spacing w:after="300" w:line="240" w:lineRule="auto"/>
    </w:pPr>
    <w:rPr>
      <w:rFonts w:ascii="Cambria" w:eastAsia="Times New Roman" w:hAnsi="Cambria" w:cs="Cambria"/>
      <w:color w:val="17365D"/>
      <w:spacing w:val="5"/>
      <w:kern w:val="28"/>
      <w:sz w:val="52"/>
      <w:szCs w:val="52"/>
      <w:lang w:eastAsia="ar-SA"/>
    </w:rPr>
  </w:style>
  <w:style w:type="character" w:customStyle="1" w:styleId="af4">
    <w:name w:val="Название Знак"/>
    <w:basedOn w:val="a0"/>
    <w:link w:val="af3"/>
    <w:uiPriority w:val="99"/>
    <w:rsid w:val="006D295C"/>
    <w:rPr>
      <w:rFonts w:ascii="Cambria" w:eastAsia="Times New Roman" w:hAnsi="Cambria" w:cs="Cambria"/>
      <w:color w:val="17365D"/>
      <w:spacing w:val="5"/>
      <w:kern w:val="28"/>
      <w:sz w:val="52"/>
      <w:szCs w:val="52"/>
      <w:lang w:eastAsia="ar-SA"/>
    </w:rPr>
  </w:style>
  <w:style w:type="character" w:customStyle="1" w:styleId="source-copyright1">
    <w:name w:val="source-copyright1"/>
    <w:basedOn w:val="a0"/>
    <w:rsid w:val="006D295C"/>
    <w:rPr>
      <w:rFonts w:ascii="Verdana" w:hAnsi="Verdana"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9613</Words>
  <Characters>54799</Characters>
  <Application>Microsoft Office Word</Application>
  <DocSecurity>4</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Ирина В. Гацких</cp:lastModifiedBy>
  <cp:revision>2</cp:revision>
  <dcterms:created xsi:type="dcterms:W3CDTF">2016-09-16T09:50:00Z</dcterms:created>
  <dcterms:modified xsi:type="dcterms:W3CDTF">2016-09-16T09:50:00Z</dcterms:modified>
</cp:coreProperties>
</file>