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0340" w:rsidRDefault="00860340">
      <w:pP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860340">
        <w:rPr>
          <w:rFonts w:asciiTheme="majorHAnsi" w:hAnsiTheme="majorHAnsi" w:cs="Arial"/>
          <w:b/>
          <w:bCs/>
          <w:color w:val="222222"/>
          <w:sz w:val="28"/>
          <w:szCs w:val="28"/>
          <w:shd w:val="clear" w:color="auto" w:fill="FFFFFF"/>
        </w:rPr>
        <w:t>Острый панкреатит</w:t>
      </w:r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 (</w:t>
      </w:r>
      <w:hyperlink r:id="rId5" w:tooltip="Латинский язык" w:history="1">
        <w:r w:rsidRPr="00860340">
          <w:rPr>
            <w:rStyle w:val="a4"/>
            <w:rFonts w:asciiTheme="majorHAnsi" w:hAnsiTheme="majorHAnsi" w:cs="Arial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 </w:t>
      </w:r>
      <w:r w:rsidRPr="00860340">
        <w:rPr>
          <w:rFonts w:asciiTheme="majorHAnsi" w:hAnsiTheme="majorHAnsi" w:cs="Arial"/>
          <w:i/>
          <w:iCs/>
          <w:color w:val="222222"/>
          <w:sz w:val="28"/>
          <w:szCs w:val="28"/>
          <w:shd w:val="clear" w:color="auto" w:fill="FFFFFF"/>
          <w:lang w:val="la-Latn"/>
        </w:rPr>
        <w:t>pancreatitis</w:t>
      </w:r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, от </w:t>
      </w:r>
      <w:proofErr w:type="spellStart"/>
      <w:r w:rsidRPr="00860340">
        <w:rPr>
          <w:rFonts w:asciiTheme="majorHAnsi" w:hAnsiTheme="majorHAnsi"/>
          <w:sz w:val="28"/>
          <w:szCs w:val="28"/>
        </w:rPr>
        <w:fldChar w:fldCharType="begin"/>
      </w:r>
      <w:r w:rsidRPr="00860340">
        <w:rPr>
          <w:rFonts w:asciiTheme="majorHAnsi" w:hAnsiTheme="majorHAnsi"/>
          <w:sz w:val="28"/>
          <w:szCs w:val="28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Pr="00860340">
        <w:rPr>
          <w:rFonts w:asciiTheme="majorHAnsi" w:hAnsiTheme="majorHAnsi"/>
          <w:sz w:val="28"/>
          <w:szCs w:val="28"/>
        </w:rPr>
        <w:fldChar w:fldCharType="separate"/>
      </w:r>
      <w:r w:rsidRPr="00860340">
        <w:rPr>
          <w:rStyle w:val="a4"/>
          <w:rFonts w:asciiTheme="majorHAnsi" w:hAnsiTheme="majorHAnsi" w:cs="Arial"/>
          <w:color w:val="0B0080"/>
          <w:sz w:val="28"/>
          <w:szCs w:val="28"/>
          <w:shd w:val="clear" w:color="auto" w:fill="FFFFFF"/>
        </w:rPr>
        <w:t>др</w:t>
      </w:r>
      <w:proofErr w:type="gramStart"/>
      <w:r w:rsidRPr="00860340">
        <w:rPr>
          <w:rStyle w:val="a4"/>
          <w:rFonts w:asciiTheme="majorHAnsi" w:hAnsiTheme="majorHAnsi" w:cs="Arial"/>
          <w:color w:val="0B0080"/>
          <w:sz w:val="28"/>
          <w:szCs w:val="28"/>
          <w:shd w:val="clear" w:color="auto" w:fill="FFFFFF"/>
        </w:rPr>
        <w:t>.-</w:t>
      </w:r>
      <w:proofErr w:type="gramEnd"/>
      <w:r w:rsidRPr="00860340">
        <w:rPr>
          <w:rStyle w:val="a4"/>
          <w:rFonts w:asciiTheme="majorHAnsi" w:hAnsiTheme="majorHAnsi" w:cs="Arial"/>
          <w:color w:val="0B0080"/>
          <w:sz w:val="28"/>
          <w:szCs w:val="28"/>
          <w:shd w:val="clear" w:color="auto" w:fill="FFFFFF"/>
        </w:rPr>
        <w:t>греч</w:t>
      </w:r>
      <w:proofErr w:type="spellEnd"/>
      <w:r w:rsidRPr="00860340">
        <w:rPr>
          <w:rStyle w:val="a4"/>
          <w:rFonts w:asciiTheme="majorHAnsi" w:hAnsiTheme="majorHAnsi" w:cs="Arial"/>
          <w:color w:val="0B0080"/>
          <w:sz w:val="28"/>
          <w:szCs w:val="28"/>
          <w:shd w:val="clear" w:color="auto" w:fill="FFFFFF"/>
        </w:rPr>
        <w:t>.</w:t>
      </w:r>
      <w:r w:rsidRPr="00860340">
        <w:rPr>
          <w:rFonts w:asciiTheme="majorHAnsi" w:hAnsiTheme="majorHAnsi"/>
          <w:sz w:val="28"/>
          <w:szCs w:val="28"/>
        </w:rPr>
        <w:fldChar w:fldCharType="end"/>
      </w:r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 πάγκρεας — </w:t>
      </w:r>
      <w:hyperlink r:id="rId6" w:tooltip="Поджелудочная железа" w:history="1">
        <w:r w:rsidRPr="00860340">
          <w:rPr>
            <w:rStyle w:val="a4"/>
            <w:rFonts w:asciiTheme="majorHAnsi" w:hAnsiTheme="majorHAnsi" w:cs="Arial"/>
            <w:color w:val="0B0080"/>
            <w:sz w:val="28"/>
            <w:szCs w:val="28"/>
            <w:shd w:val="clear" w:color="auto" w:fill="FFFFFF"/>
          </w:rPr>
          <w:t>поджелудочная железа</w:t>
        </w:r>
      </w:hyperlink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 + </w:t>
      </w:r>
      <w:r w:rsidRPr="00860340">
        <w:rPr>
          <w:rFonts w:asciiTheme="majorHAnsi" w:hAnsiTheme="majorHAnsi" w:cs="Arial"/>
          <w:i/>
          <w:iCs/>
          <w:color w:val="222222"/>
          <w:sz w:val="28"/>
          <w:szCs w:val="28"/>
          <w:shd w:val="clear" w:color="auto" w:fill="FFFFFF"/>
        </w:rPr>
        <w:t>-</w:t>
      </w:r>
      <w:proofErr w:type="spellStart"/>
      <w:r w:rsidRPr="00860340">
        <w:rPr>
          <w:rFonts w:asciiTheme="majorHAnsi" w:hAnsiTheme="majorHAnsi" w:cs="Arial"/>
          <w:i/>
          <w:iCs/>
          <w:color w:val="222222"/>
          <w:sz w:val="28"/>
          <w:szCs w:val="28"/>
          <w:shd w:val="clear" w:color="auto" w:fill="FFFFFF"/>
        </w:rPr>
        <w:t>itis</w:t>
      </w:r>
      <w:proofErr w:type="spellEnd"/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 — воспаление) — остро протекающее асептическое </w:t>
      </w:r>
      <w:hyperlink r:id="rId7" w:tooltip="Воспаление" w:history="1">
        <w:r w:rsidRPr="00860340">
          <w:rPr>
            <w:rStyle w:val="a4"/>
            <w:rFonts w:asciiTheme="majorHAnsi" w:hAnsiTheme="majorHAnsi" w:cs="Arial"/>
            <w:color w:val="0B0080"/>
            <w:sz w:val="28"/>
            <w:szCs w:val="28"/>
            <w:shd w:val="clear" w:color="auto" w:fill="FFFFFF"/>
          </w:rPr>
          <w:t>воспаление</w:t>
        </w:r>
      </w:hyperlink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 поджелудочной железы демаркационного типа, в основе которого лежат некробиоз </w:t>
      </w:r>
      <w:proofErr w:type="spellStart"/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панкреатоцитов</w:t>
      </w:r>
      <w:proofErr w:type="spellEnd"/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и ферментная </w:t>
      </w:r>
      <w:proofErr w:type="spellStart"/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аутоагрессия</w:t>
      </w:r>
      <w:proofErr w:type="spellEnd"/>
      <w:r w:rsidRPr="00860340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с последующим некрозом и дистрофией железы и присоединением вторичной гнойной инфекции.</w:t>
      </w:r>
    </w:p>
    <w:p w:rsidR="00860340" w:rsidRPr="00860340" w:rsidRDefault="00860340" w:rsidP="008603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60340">
        <w:rPr>
          <w:rFonts w:asciiTheme="majorHAnsi" w:eastAsia="Times New Roman" w:hAnsiTheme="majorHAnsi" w:cs="Times New Roman"/>
          <w:color w:val="000000"/>
          <w:sz w:val="28"/>
          <w:szCs w:val="28"/>
        </w:rPr>
        <w:t>Классификация</w:t>
      </w:r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[</w:t>
      </w:r>
      <w:hyperlink r:id="rId8" w:tooltip="Редактировать раздел «Классификация»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править</w:t>
        </w:r>
      </w:hyperlink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 | </w:t>
      </w:r>
      <w:hyperlink r:id="rId9" w:tooltip="Редактировать раздел «Классификация»" w:history="1">
        <w:proofErr w:type="gramStart"/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править</w:t>
        </w:r>
        <w:proofErr w:type="gramEnd"/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 xml:space="preserve"> код</w:t>
        </w:r>
      </w:hyperlink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]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Основу клинико-морфологической классификации острого панкреатита составляют формы заболевания, внутрибрюшные и системные осложнения с учётом распространенности некротического поражения поджелудочной железы и различных отделов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забрюшинной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клетчатки, фазового развития воспалительно-некротического процесса от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абактериального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к </w:t>
      </w: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инфицированному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ФОРМЫ ЗАБОЛЕВАНИЯ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I. Отечный (интерстициальный) панкреатит.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II. Стерильный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панкреонекроз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— по распространенности поражения: </w:t>
      </w: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ограниченный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и распространенный.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— по характеру поражения: </w:t>
      </w: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жировой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, геморрагический, смешанный.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III. Инфицированный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панкреонекроз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МЕСТНЫЕ ОСЛОЖНЕНИЯ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В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доинфекционную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фазу: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1.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Парапанкреатический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инфильтрат (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оментобурсит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объемные жидкостные образования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забрюшинной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локализации).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2. Некротическая (асептическая) флегмона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забрюшинной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клетчатки (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парапанкреальной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паракольной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паранефральной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, тазовой и т. д.)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3. Перитонит: ферментативный (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абактериальный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).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4.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Псевдокиста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(стерильная).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5.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Аррозивные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кровотечения (внутрибрюшные и в желудочно-кишечный тракт)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В фазу инфицирования: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1. Септическая флегмона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забрюшинной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клетчатки: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парапанкреальной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паракольной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паранефральной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, тазовой.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2.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Панкреатогенный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абсцесс (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забрюшинных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клетчаточных пространств или брюшной полости)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3. Перитонит фибринозно-гнойный (местный, распространенный).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lastRenderedPageBreak/>
        <w:t xml:space="preserve">4.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Псевдокиста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инфицированная.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5. Внутренние и наружные панкреатические, желудочные и кишечные свищи.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6.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Аррозивные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кровотечения (внутрибрюшные и в желудочно-кишечный тракт)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СИСТЕМНЫЕ ОСЛОЖНЕНИЯ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1.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Панкреатогенный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шок при </w:t>
      </w: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стерильном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панкреонекрозе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и его внутрибрюшных осложнениях.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2. Септический (инфекционно-токсический) шок при </w:t>
      </w: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инфицированном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панкреонекрозе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и его внутрибрюшных осложнениях.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3.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Полиорганная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недостаточность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как при стерильном, так и инфицированном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панкреонекрозе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и их осложнениях.</w:t>
      </w:r>
    </w:p>
    <w:p w:rsidR="00860340" w:rsidRPr="00860340" w:rsidRDefault="00860340" w:rsidP="008603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60340">
        <w:rPr>
          <w:rFonts w:asciiTheme="majorHAnsi" w:eastAsia="Times New Roman" w:hAnsiTheme="majorHAnsi" w:cs="Times New Roman"/>
          <w:color w:val="000000"/>
          <w:sz w:val="28"/>
          <w:szCs w:val="28"/>
        </w:rPr>
        <w:t>Эпидемиология и этиология</w:t>
      </w:r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[</w:t>
      </w:r>
      <w:hyperlink r:id="rId10" w:tooltip="Редактировать раздел «Эпидемиология и этиология»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править</w:t>
        </w:r>
      </w:hyperlink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 | </w:t>
      </w:r>
      <w:hyperlink r:id="rId11" w:tooltip="Редактировать раздел «Эпидемиология и этиология»" w:history="1">
        <w:proofErr w:type="gramStart"/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править</w:t>
        </w:r>
        <w:proofErr w:type="gramEnd"/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 xml:space="preserve"> код</w:t>
        </w:r>
      </w:hyperlink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]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25—30 % случаев — у людей с заболеваниями желчевыводящих путей, в том числе </w:t>
      </w:r>
      <w:hyperlink r:id="rId12" w:tooltip="Жёлчнокаменная болезнь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жёлчнокаменная болезнь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70 % случаев обусловлено употреблением </w:t>
      </w:r>
      <w:hyperlink r:id="rId13" w:tooltip="Алкогольные напитки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алкоголя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4—9 % случаев — среди больных с острыми хирургическими заболеваниями органов брюшной полости.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Также причинами панкреатита могут быть отравления, травмы, вирусные заболевания, операции и эндоскопические манипуляции. Чаще в возрасте 30—60 лет, причем у женщин в 2 раза чаще, чем у мужчин.</w:t>
      </w:r>
    </w:p>
    <w:p w:rsidR="00860340" w:rsidRPr="00860340" w:rsidRDefault="00860340" w:rsidP="008603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60340">
        <w:rPr>
          <w:rFonts w:asciiTheme="majorHAnsi" w:eastAsia="Times New Roman" w:hAnsiTheme="majorHAnsi" w:cs="Times New Roman"/>
          <w:color w:val="000000"/>
          <w:sz w:val="28"/>
          <w:szCs w:val="28"/>
        </w:rPr>
        <w:t>Патогенез</w:t>
      </w:r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[</w:t>
      </w:r>
      <w:hyperlink r:id="rId14" w:tooltip="Редактировать раздел «Патогенез»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править</w:t>
        </w:r>
      </w:hyperlink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 | </w:t>
      </w:r>
      <w:hyperlink r:id="rId15" w:tooltip="Редактировать раздел «Патогенез»" w:history="1">
        <w:proofErr w:type="gramStart"/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править</w:t>
        </w:r>
        <w:proofErr w:type="gramEnd"/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 xml:space="preserve"> код</w:t>
        </w:r>
      </w:hyperlink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]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Острый панкреатит представляет собой токсическую </w:t>
      </w:r>
      <w:hyperlink r:id="rId16" w:tooltip="Ферментопатия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энзимопатию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. Пусковым механизмом развития является высвобождение из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ацинарных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клеток поджелудочной железы активированных панкреатических ферментов, обычно присутствующих в виде неактивных проферментов. Это происходит вследствие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гиперстимуляции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экзокринной функции железы, частичной 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begin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instrText xml:space="preserve"> HYPERLINK "https://ru.wikipedia.org/wiki/%D0%9E%D0%B1%D1%82%D1%83%D1%80%D0%B0%D1%86%D0%B8%D1%8F" \o "Обтурация" </w:instrText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separate"/>
      </w:r>
      <w:r w:rsidRPr="00860340">
        <w:rPr>
          <w:rFonts w:asciiTheme="majorHAnsi" w:eastAsia="Times New Roman" w:hAnsiTheme="majorHAnsi" w:cs="Arial"/>
          <w:color w:val="0B0080"/>
          <w:sz w:val="28"/>
          <w:szCs w:val="28"/>
        </w:rPr>
        <w:t>обтурации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end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 ампулы большого дуоденального сосочка, повышения давления в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вирсунговом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протоке,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рефлюксе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желчи в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вирсунгов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проток.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Внутрипротоковая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гипертензия вызывает повышение проницаемости стенок терминальных протоков, создаются условия для активизации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энзимов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Развитие панкреатита ведёт к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самоперевариванию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железы. Его осуществляют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липолитические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ферменты —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фосфолипаза</w:t>
      </w:r>
      <w:proofErr w:type="spellEnd"/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А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и </w:t>
      </w:r>
      <w:hyperlink r:id="rId17" w:tooltip="Липаза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липаза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, которые выделяются железой в активном состоянии.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Липаза поджелудочной железы не повреждает только здоровые клетки железы.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Фосфолипаза</w:t>
      </w:r>
      <w:proofErr w:type="spellEnd"/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А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разрушает клеточные мембраны и способствует </w:t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lastRenderedPageBreak/>
        <w:t>проникновению в клетку липазы. Освобождение тканевой липазы, которая усиливает расщепление липидов (в том числе липидов клеточной мембраны), ускоряет деструктивные процессы. Из накапливающихся в очаге воспаления ферментов в особенности выраженным деструктивным действием обладает 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begin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instrText xml:space="preserve"> HYPERLINK "https://ru.wikipedia.org/w/index.php?title=%D0%AD%D0%BB%D0%B0%D1%81%D1%82%D0%B0%D0%B7%D0%B0&amp;action=edit&amp;redlink=1" \o "Эластаза (страница отсутствует)" </w:instrText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separate"/>
      </w:r>
      <w:r w:rsidRPr="00860340">
        <w:rPr>
          <w:rFonts w:asciiTheme="majorHAnsi" w:eastAsia="Times New Roman" w:hAnsiTheme="majorHAnsi" w:cs="Arial"/>
          <w:color w:val="A55858"/>
          <w:sz w:val="28"/>
          <w:szCs w:val="28"/>
        </w:rPr>
        <w:t>эластаза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end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 </w:t>
      </w:r>
      <w:hyperlink r:id="rId18" w:tooltip="Гранулоциты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гранулоцитов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В результате возникают очаги </w:t>
      </w: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жирового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панкреонекробиоза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. Вокруг них в результате воспалительного процесса формируется демаркационный вал, отграничивающий их от неповреждённой ткани. Если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патобиохимический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процесс ограничивается этим, то формируется жировой 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begin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instrText xml:space="preserve"> HYPERLINK "https://ru.wikipedia.org/w/index.php?title=%D0%9F%D0%B0%D0%BD%D0%BA%D1%80%D0%B5%D0%BE%D0%BD%D0%B5%D0%BA%D1%80%D0%BE%D0%B7&amp;action=edit&amp;redlink=1" \o "Панкреонекроз (страница отсутствует)" </w:instrText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separate"/>
      </w:r>
      <w:r w:rsidRPr="00860340">
        <w:rPr>
          <w:rFonts w:asciiTheme="majorHAnsi" w:eastAsia="Times New Roman" w:hAnsiTheme="majorHAnsi" w:cs="Arial"/>
          <w:color w:val="A55858"/>
          <w:sz w:val="28"/>
          <w:szCs w:val="28"/>
        </w:rPr>
        <w:t>панкреонекроз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end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. Если в результате накопления в повреждённых липазой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панкреатоцитах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свободных жирных кислот 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begin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instrText xml:space="preserve"> HYPERLINK "https://ru.wikipedia.org/wiki/%D0%92%D0%BE%D0%B4%D0%BE%D1%80%D0%BE%D0%B4%D0%BD%D1%8B%D0%B9_%D0%BF%D0%BE%D0%BA%D0%B0%D0%B7%D0%B0%D1%82%D0%B5%D0%BB%D1%8C" \o "Водородный показатель" </w:instrText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separate"/>
      </w:r>
      <w:r w:rsidRPr="00860340">
        <w:rPr>
          <w:rFonts w:asciiTheme="majorHAnsi" w:eastAsia="Times New Roman" w:hAnsiTheme="majorHAnsi" w:cs="Arial"/>
          <w:color w:val="0B0080"/>
          <w:sz w:val="28"/>
          <w:szCs w:val="28"/>
        </w:rPr>
        <w:t>рН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end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 сдвигается до 3,5—4,5, то внутриклеточный </w:t>
      </w:r>
      <w:hyperlink r:id="rId19" w:tooltip="Трипсиноген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трипсиноген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 трансформируется в </w:t>
      </w:r>
      <w:hyperlink r:id="rId20" w:tooltip="Трипсин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трипсин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hyperlink r:id="rId21" w:tooltip="Трипсин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Трипсин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 активирует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лизосомные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ферменты и 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begin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instrText xml:space="preserve"> HYPERLINK "https://ru.wikipedia.org/wiki/%D0%9F%D1%80%D0%BE%D1%82%D0%B5%D0%B0%D0%B7%D0%B0" \o "Протеаза" </w:instrText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separate"/>
      </w:r>
      <w:r w:rsidRPr="00860340">
        <w:rPr>
          <w:rFonts w:asciiTheme="majorHAnsi" w:eastAsia="Times New Roman" w:hAnsiTheme="majorHAnsi" w:cs="Arial"/>
          <w:color w:val="0B0080"/>
          <w:sz w:val="28"/>
          <w:szCs w:val="28"/>
        </w:rPr>
        <w:t>протеиназы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end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что ведёт к протеолитическому некробиозу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панкреатоцитов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.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Эластаза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лизирует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стенки сосудов,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междольковые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соединительно-тканные перемычки. Это способствует быстрому распространению </w:t>
      </w: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ферментного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аутолиза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(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самопереваривания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) в поджелудочной железе и за её пределами.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В конечном </w:t>
      </w: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счёте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 </w:t>
      </w:r>
      <w:r w:rsidRPr="00860340"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  <w:t>главным механизмом развития острого панкреатита служит преждевременная активация панкреатических ферментов</w:t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 Под действием трипсина активизируются все зимогены ферментов поджелудочной железы (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эластазы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карбоксипептидазы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химотрипсина,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фосфолипазы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колипазы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),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калликреин-кининовая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система, изменяется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фибринолиз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и свёртываемость крови, что приводит к местным и общим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патобиохимическим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расстройствам. Кроме местных нарушений, связанных с патологическим процессом в самой железе, наблюдается общий интоксикационный процесс, приводящий к поражению почек, лёгких, печени, сердца.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Прием алкоголя усиливает тонус сфинктера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Одди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что может послужить причиной затруднения оттока экзокринного секрета поджелудочной железы и повышения давления в мелких протоках; алкоголь усиливает секрецию желудочного сока и продукцию соляной кислоты, которая стимулирует продукцию секретина, вызывающего экзокринную гиперсекрецию поджелудочной железы; энзимы проникают в паренхиму, происходит активация протеолитических ферментов и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аутолиза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клеток поджелудочной железы.</w:t>
      </w:r>
      <w:proofErr w:type="gramEnd"/>
    </w:p>
    <w:p w:rsidR="00860340" w:rsidRPr="00860340" w:rsidRDefault="00860340" w:rsidP="0086034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60340">
        <w:rPr>
          <w:rFonts w:asciiTheme="majorHAnsi" w:eastAsia="Times New Roman" w:hAnsiTheme="majorHAnsi" w:cs="Times New Roman"/>
          <w:color w:val="000000"/>
          <w:sz w:val="28"/>
          <w:szCs w:val="28"/>
        </w:rPr>
        <w:t>Симптомы, течение и осложнения</w:t>
      </w:r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[</w:t>
      </w:r>
      <w:hyperlink r:id="rId22" w:tooltip="Редактировать раздел «Симптомы, течение и осложнения»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править</w:t>
        </w:r>
      </w:hyperlink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 | </w:t>
      </w:r>
      <w:hyperlink r:id="rId23" w:tooltip="Редактировать раздел «Симптомы, течение и осложнения»" w:history="1">
        <w:proofErr w:type="gramStart"/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править</w:t>
        </w:r>
        <w:proofErr w:type="gramEnd"/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 xml:space="preserve"> код</w:t>
        </w:r>
      </w:hyperlink>
      <w:r w:rsidRPr="00860340">
        <w:rPr>
          <w:rFonts w:asciiTheme="majorHAnsi" w:eastAsia="Times New Roman" w:hAnsiTheme="majorHAnsi" w:cs="Arial"/>
          <w:color w:val="54595D"/>
          <w:sz w:val="28"/>
          <w:szCs w:val="28"/>
        </w:rPr>
        <w:t>]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Чёткой клинической картины нет. В связи с этим для точной диагностики острого панкреатита необходим целый ряд дополнительных исследований.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lastRenderedPageBreak/>
        <w:t>Жалобы на острую </w:t>
      </w:r>
      <w:hyperlink r:id="rId24" w:tooltip="Боли в области живота и таза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боль в животе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, </w:t>
      </w:r>
      <w:hyperlink r:id="rId25" w:tooltip="Тошнота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тошноту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, </w:t>
      </w:r>
      <w:hyperlink r:id="rId26" w:tooltip="Рвота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рвоту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 дуоденальным содержимым, не приносящую облегчения, </w:t>
      </w:r>
      <w:hyperlink r:id="rId27" w:tooltip="Метеоризм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вздутие живота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 Как правило, из-за интоксикации и рвоты наступает нарушение водно-электролитного баланса, </w:t>
      </w:r>
      <w:hyperlink r:id="rId28" w:tooltip="Обезвоживание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обезвоживание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, которое играет важную роль в </w:t>
      </w:r>
      <w:hyperlink r:id="rId29" w:tooltip="Патогенез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патогенезе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 заболевания. Могут появляться геморрагические синюшные пятна на левой боковой стенке живота, иногда с желтоватым оттенком (симптом Грея Тернера). Возможно возникновение пятен у пупка (симптом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Куллена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).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Возникновение острого панкреатита возможно на фоне хронического панкреатита. Острый панкреатит отличается от понятия «обострение хронического панкреатита».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Часто после перенесённого острого панкреатита образуются 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begin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instrText xml:space="preserve"> HYPERLINK "https://ru.wikipedia.org/wiki/%D0%9F%D1%81%D0%B5%D0%B2%D0%B4%D0%BE%D0%BA%D0%B8%D1%81%D1%82%D0%B0" \o "Псевдокиста" </w:instrText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separate"/>
      </w:r>
      <w:r w:rsidRPr="00860340">
        <w:rPr>
          <w:rFonts w:asciiTheme="majorHAnsi" w:eastAsia="Times New Roman" w:hAnsiTheme="majorHAnsi" w:cs="Arial"/>
          <w:color w:val="0B0080"/>
          <w:sz w:val="28"/>
          <w:szCs w:val="28"/>
        </w:rPr>
        <w:t>псевдокисты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fldChar w:fldCharType="end"/>
      </w: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 поджелудочной железы. Увеличиваясь в размерах и накапливая патологическую жидкость,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псевдокиста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за счёт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сдавления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окружающих органов может вызывать боли, нарушение движения пищи в </w:t>
      </w:r>
      <w:hyperlink r:id="rId30" w:tooltip="Желудок человека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желудке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 и </w:t>
      </w:r>
      <w:hyperlink r:id="rId31" w:tooltip="Двенадцатиперстная кишка человека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двенадцатиперстной кишке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. Возможно нагноение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псевдокисты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Иногда отёк или склероз в области головки поджелудочной железы приводят к </w:t>
      </w:r>
      <w:hyperlink r:id="rId32" w:tooltip="Клиническая картина (страница отсутствует)" w:history="1">
        <w:r w:rsidRPr="00860340">
          <w:rPr>
            <w:rFonts w:asciiTheme="majorHAnsi" w:eastAsia="Times New Roman" w:hAnsiTheme="majorHAnsi" w:cs="Arial"/>
            <w:color w:val="A55858"/>
            <w:sz w:val="28"/>
            <w:szCs w:val="28"/>
          </w:rPr>
          <w:t>клинической картине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, напоминающей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сдавление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протоков </w:t>
      </w:r>
      <w:hyperlink r:id="rId33" w:tooltip="Жёлчные пути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жёлчных путей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 и протока поджелудочной железы (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Вирсунгова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протока). Подобная картина наблюдается при опухолях головки поджелудочной железы, поэтому такую форму панкреатита называют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псевдотуморозной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 Нарушение оттока </w:t>
      </w:r>
      <w:hyperlink r:id="rId34" w:tooltip="Жёлчь человека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жёлчи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 в таких случаях может вызывать </w:t>
      </w:r>
      <w:hyperlink r:id="rId35" w:tooltip="Механическая желтуха" w:history="1">
        <w:r w:rsidRPr="00860340">
          <w:rPr>
            <w:rFonts w:asciiTheme="majorHAnsi" w:eastAsia="Times New Roman" w:hAnsiTheme="majorHAnsi" w:cs="Arial"/>
            <w:color w:val="0B0080"/>
            <w:sz w:val="28"/>
            <w:szCs w:val="28"/>
          </w:rPr>
          <w:t>механическую желтуху</w:t>
        </w:r>
      </w:hyperlink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:rsidR="00860340" w:rsidRPr="00860340" w:rsidRDefault="00860340" w:rsidP="00860340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Наиболее частой причиной гибели больных острым панкреатитом </w:t>
      </w:r>
      <w:proofErr w:type="gram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в первые</w:t>
      </w:r>
      <w:proofErr w:type="gram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дни заболевания является эндогенная интоксикация, сопровождающаяся развитием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циркуляторного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proofErr w:type="spellStart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>гиповолемического</w:t>
      </w:r>
      <w:proofErr w:type="spellEnd"/>
      <w:r w:rsidRPr="008603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шока, отёка головного мозга, острой почечной недостаточностью.</w:t>
      </w:r>
    </w:p>
    <w:p w:rsidR="00860340" w:rsidRPr="00860340" w:rsidRDefault="00860340">
      <w:pPr>
        <w:rPr>
          <w:rFonts w:asciiTheme="majorHAnsi" w:hAnsiTheme="majorHAnsi" w:cs="Times New Roman"/>
          <w:sz w:val="28"/>
          <w:szCs w:val="28"/>
        </w:rPr>
      </w:pPr>
    </w:p>
    <w:sectPr w:rsidR="00860340" w:rsidRPr="0086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0F7C"/>
    <w:multiLevelType w:val="multilevel"/>
    <w:tmpl w:val="CB8648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340"/>
    <w:rsid w:val="0086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0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03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03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860340"/>
  </w:style>
  <w:style w:type="character" w:customStyle="1" w:styleId="mw-editsection">
    <w:name w:val="mw-editsection"/>
    <w:basedOn w:val="a0"/>
    <w:rsid w:val="00860340"/>
  </w:style>
  <w:style w:type="character" w:customStyle="1" w:styleId="mw-editsection-bracket">
    <w:name w:val="mw-editsection-bracket"/>
    <w:basedOn w:val="a0"/>
    <w:rsid w:val="00860340"/>
  </w:style>
  <w:style w:type="character" w:customStyle="1" w:styleId="mw-editsection-divider">
    <w:name w:val="mw-editsection-divider"/>
    <w:basedOn w:val="a0"/>
    <w:rsid w:val="00860340"/>
  </w:style>
  <w:style w:type="paragraph" w:styleId="a5">
    <w:name w:val="Normal (Web)"/>
    <w:basedOn w:val="a"/>
    <w:uiPriority w:val="99"/>
    <w:semiHidden/>
    <w:unhideWhenUsed/>
    <w:rsid w:val="008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E%D1%81%D1%82%D1%80%D1%8B%D0%B9_%D0%BF%D0%B0%D0%BD%D0%BA%D1%80%D0%B5%D0%B0%D1%82%D0%B8%D1%82&amp;veaction=edit&amp;section=1" TargetMode="External"/><Relationship Id="rId13" Type="http://schemas.openxmlformats.org/officeDocument/2006/relationships/hyperlink" Target="https://ru.wikipedia.org/wiki/%D0%90%D0%BB%D0%BA%D0%BE%D0%B3%D0%BE%D0%BB%D1%8C%D0%BD%D1%8B%D0%B5_%D0%BD%D0%B0%D0%BF%D0%B8%D1%82%D0%BA%D0%B8" TargetMode="External"/><Relationship Id="rId18" Type="http://schemas.openxmlformats.org/officeDocument/2006/relationships/hyperlink" Target="https://ru.wikipedia.org/wiki/%D0%93%D1%80%D0%B0%D0%BD%D1%83%D0%BB%D0%BE%D1%86%D0%B8%D1%82%D1%8B" TargetMode="External"/><Relationship Id="rId26" Type="http://schemas.openxmlformats.org/officeDocument/2006/relationships/hyperlink" Target="https://ru.wikipedia.org/wiki/%D0%A0%D0%B2%D0%BE%D1%8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1%80%D0%B8%D0%BF%D1%81%D0%B8%D0%BD" TargetMode="External"/><Relationship Id="rId34" Type="http://schemas.openxmlformats.org/officeDocument/2006/relationships/hyperlink" Target="https://ru.wikipedia.org/wiki/%D0%96%D1%91%D0%BB%D1%87%D1%8C_%D1%87%D0%B5%D0%BB%D0%BE%D0%B2%D0%B5%D0%BA%D0%B0" TargetMode="External"/><Relationship Id="rId7" Type="http://schemas.openxmlformats.org/officeDocument/2006/relationships/hyperlink" Target="https://ru.wikipedia.org/wiki/%D0%92%D0%BE%D1%81%D0%BF%D0%B0%D0%BB%D0%B5%D0%BD%D0%B8%D0%B5" TargetMode="External"/><Relationship Id="rId12" Type="http://schemas.openxmlformats.org/officeDocument/2006/relationships/hyperlink" Target="https://ru.wikipedia.org/wiki/%D0%96%D1%91%D0%BB%D1%87%D0%BD%D0%BE%D0%BA%D0%B0%D0%BC%D0%B5%D0%BD%D0%BD%D0%B0%D1%8F_%D0%B1%D0%BE%D0%BB%D0%B5%D0%B7%D0%BD%D1%8C" TargetMode="External"/><Relationship Id="rId17" Type="http://schemas.openxmlformats.org/officeDocument/2006/relationships/hyperlink" Target="https://ru.wikipedia.org/wiki/%D0%9B%D0%B8%D0%BF%D0%B0%D0%B7%D0%B0" TargetMode="External"/><Relationship Id="rId25" Type="http://schemas.openxmlformats.org/officeDocument/2006/relationships/hyperlink" Target="https://ru.wikipedia.org/wiki/%D0%A2%D0%BE%D1%88%D0%BD%D0%BE%D1%82%D0%B0" TargetMode="External"/><Relationship Id="rId33" Type="http://schemas.openxmlformats.org/officeDocument/2006/relationships/hyperlink" Target="https://ru.wikipedia.org/wiki/%D0%96%D1%91%D0%BB%D1%87%D0%BD%D1%8B%D0%B5_%D0%BF%D1%83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5%D1%80%D0%BC%D0%B5%D0%BD%D1%82%D0%BE%D0%BF%D0%B0%D1%82%D0%B8%D1%8F" TargetMode="External"/><Relationship Id="rId20" Type="http://schemas.openxmlformats.org/officeDocument/2006/relationships/hyperlink" Target="https://ru.wikipedia.org/wiki/%D0%A2%D1%80%D0%B8%D0%BF%D1%81%D0%B8%D0%BD" TargetMode="External"/><Relationship Id="rId29" Type="http://schemas.openxmlformats.org/officeDocument/2006/relationships/hyperlink" Target="https://ru.wikipedia.org/wiki/%D0%9F%D0%B0%D1%82%D0%BE%D0%B3%D0%B5%D0%BD%D0%B5%D0%B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4%D0%B6%D0%B5%D0%BB%D1%83%D0%B4%D0%BE%D1%87%D0%BD%D0%B0%D1%8F_%D0%B6%D0%B5%D0%BB%D0%B5%D0%B7%D0%B0" TargetMode="External"/><Relationship Id="rId11" Type="http://schemas.openxmlformats.org/officeDocument/2006/relationships/hyperlink" Target="https://ru.wikipedia.org/w/index.php?title=%D0%9E%D1%81%D1%82%D1%80%D1%8B%D0%B9_%D0%BF%D0%B0%D0%BD%D0%BA%D1%80%D0%B5%D0%B0%D1%82%D0%B8%D1%82&amp;action=edit&amp;section=2" TargetMode="External"/><Relationship Id="rId24" Type="http://schemas.openxmlformats.org/officeDocument/2006/relationships/hyperlink" Target="https://ru.wikipedia.org/wiki/%D0%91%D0%BE%D0%BB%D0%B8_%D0%B2_%D0%BE%D0%B1%D0%BB%D0%B0%D1%81%D1%82%D0%B8_%D0%B6%D0%B8%D0%B2%D0%BE%D1%82%D0%B0_%D0%B8_%D1%82%D0%B0%D0%B7%D0%B0" TargetMode="External"/><Relationship Id="rId32" Type="http://schemas.openxmlformats.org/officeDocument/2006/relationships/hyperlink" Target="https://ru.wikipedia.org/w/index.php?title=%D0%9A%D0%BB%D0%B8%D0%BD%D0%B8%D1%87%D0%B5%D1%81%D0%BA%D0%B0%D1%8F_%D0%BA%D0%B0%D1%80%D1%82%D0%B8%D0%BD%D0%B0&amp;action=edit&amp;redlink=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/index.php?title=%D0%9E%D1%81%D1%82%D1%80%D1%8B%D0%B9_%D0%BF%D0%B0%D0%BD%D0%BA%D1%80%D0%B5%D0%B0%D1%82%D0%B8%D1%82&amp;action=edit&amp;section=3" TargetMode="External"/><Relationship Id="rId23" Type="http://schemas.openxmlformats.org/officeDocument/2006/relationships/hyperlink" Target="https://ru.wikipedia.org/w/index.php?title=%D0%9E%D1%81%D1%82%D1%80%D1%8B%D0%B9_%D0%BF%D0%B0%D0%BD%D0%BA%D1%80%D0%B5%D0%B0%D1%82%D0%B8%D1%82&amp;action=edit&amp;section=4" TargetMode="External"/><Relationship Id="rId28" Type="http://schemas.openxmlformats.org/officeDocument/2006/relationships/hyperlink" Target="https://ru.wikipedia.org/wiki/%D0%9E%D0%B1%D0%B5%D0%B7%D0%B2%D0%BE%D0%B6%D0%B8%D0%B2%D0%B0%D0%BD%D0%B8%D0%B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/index.php?title=%D0%9E%D1%81%D1%82%D1%80%D1%8B%D0%B9_%D0%BF%D0%B0%D0%BD%D0%BA%D1%80%D0%B5%D0%B0%D1%82%D0%B8%D1%82&amp;veaction=edit&amp;section=2" TargetMode="External"/><Relationship Id="rId19" Type="http://schemas.openxmlformats.org/officeDocument/2006/relationships/hyperlink" Target="https://ru.wikipedia.org/wiki/%D0%A2%D1%80%D0%B8%D0%BF%D1%81%D0%B8%D0%BD%D0%BE%D0%B3%D0%B5%D0%BD" TargetMode="External"/><Relationship Id="rId31" Type="http://schemas.openxmlformats.org/officeDocument/2006/relationships/hyperlink" Target="https://ru.wikipedia.org/wiki/%D0%94%D0%B2%D0%B5%D0%BD%D0%B0%D0%B4%D1%86%D0%B0%D1%82%D0%B8%D0%BF%D0%B5%D1%80%D1%81%D1%82%D0%BD%D0%B0%D1%8F_%D0%BA%D0%B8%D1%88%D0%BA%D0%B0_%D1%87%D0%B5%D0%BB%D0%BE%D0%B2%D0%B5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E%D1%81%D1%82%D1%80%D1%8B%D0%B9_%D0%BF%D0%B0%D0%BD%D0%BA%D1%80%D0%B5%D0%B0%D1%82%D0%B8%D1%82&amp;action=edit&amp;section=1" TargetMode="External"/><Relationship Id="rId14" Type="http://schemas.openxmlformats.org/officeDocument/2006/relationships/hyperlink" Target="https://ru.wikipedia.org/w/index.php?title=%D0%9E%D1%81%D1%82%D1%80%D1%8B%D0%B9_%D0%BF%D0%B0%D0%BD%D0%BA%D1%80%D0%B5%D0%B0%D1%82%D0%B8%D1%82&amp;veaction=edit&amp;section=3" TargetMode="External"/><Relationship Id="rId22" Type="http://schemas.openxmlformats.org/officeDocument/2006/relationships/hyperlink" Target="https://ru.wikipedia.org/w/index.php?title=%D0%9E%D1%81%D1%82%D1%80%D1%8B%D0%B9_%D0%BF%D0%B0%D0%BD%D0%BA%D1%80%D0%B5%D0%B0%D1%82%D0%B8%D1%82&amp;veaction=edit&amp;section=4" TargetMode="External"/><Relationship Id="rId27" Type="http://schemas.openxmlformats.org/officeDocument/2006/relationships/hyperlink" Target="https://ru.wikipedia.org/wiki/%D0%9C%D0%B5%D1%82%D0%B5%D0%BE%D1%80%D0%B8%D0%B7%D0%BC" TargetMode="External"/><Relationship Id="rId30" Type="http://schemas.openxmlformats.org/officeDocument/2006/relationships/hyperlink" Target="https://ru.wikipedia.org/wiki/%D0%96%D0%B5%D0%BB%D1%83%D0%B4%D0%BE%D0%BA_%D1%87%D0%B5%D0%BB%D0%BE%D0%B2%D0%B5%D0%BA%D0%B0" TargetMode="External"/><Relationship Id="rId35" Type="http://schemas.openxmlformats.org/officeDocument/2006/relationships/hyperlink" Target="https://ru.wikipedia.org/wiki/%D0%9C%D0%B5%D1%85%D0%B0%D0%BD%D0%B8%D1%87%D0%B5%D1%81%D0%BA%D0%B0%D1%8F_%D0%B6%D0%B5%D0%BB%D1%82%D1%83%D1%85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2077</Words>
  <Characters>11841</Characters>
  <Application>Microsoft Office Word</Application>
  <DocSecurity>0</DocSecurity>
  <Lines>98</Lines>
  <Paragraphs>27</Paragraphs>
  <ScaleCrop>false</ScaleCrop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2HOOper8</dc:creator>
  <cp:lastModifiedBy>2HOOper8</cp:lastModifiedBy>
  <cp:revision>2</cp:revision>
  <dcterms:created xsi:type="dcterms:W3CDTF">2020-04-14T06:53:00Z</dcterms:created>
  <dcterms:modified xsi:type="dcterms:W3CDTF">2020-04-14T06:53:00Z</dcterms:modified>
</cp:coreProperties>
</file>