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35F0" w:rsidRPr="00C63147" w:rsidRDefault="008A35F0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</w:rPr>
      </w:pPr>
      <w:r w:rsidRPr="00C63147">
        <w:rPr>
          <w:rStyle w:val="bumpedfont15"/>
          <w:color w:val="000000"/>
        </w:rPr>
        <w:t>ФЕДЕРАЛЬНОЕ</w:t>
      </w:r>
      <w:r w:rsidRPr="00C63147">
        <w:rPr>
          <w:rStyle w:val="apple-converted-space"/>
          <w:color w:val="000000"/>
        </w:rPr>
        <w:t> </w:t>
      </w:r>
      <w:r w:rsidRPr="00C63147">
        <w:rPr>
          <w:rStyle w:val="bumpedfont15"/>
          <w:color w:val="000000"/>
        </w:rPr>
        <w:t>ГОСУДАРСТВЕННОЕ БЮДЖЕТНОЕ ОБРАЗОВАТЕЛЬНОЕУЧРЕЖДЕНИЕ ВЫСШЕГО ОБРАЗОВАНИЯ</w:t>
      </w:r>
    </w:p>
    <w:p w:rsidR="008A35F0" w:rsidRPr="00C63147" w:rsidRDefault="008A35F0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</w:rPr>
      </w:pPr>
      <w:r w:rsidRPr="00C63147">
        <w:rPr>
          <w:rStyle w:val="bumpedfont15"/>
          <w:color w:val="000000"/>
        </w:rPr>
        <w:t>«КРАСНОЯРСКИЙ ГОСУДАРСТВЕННЫЙ МЕДИЦИНСКИЙ</w:t>
      </w:r>
    </w:p>
    <w:p w:rsidR="008A35F0" w:rsidRPr="00C63147" w:rsidRDefault="008A35F0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</w:rPr>
      </w:pPr>
      <w:r w:rsidRPr="00C63147">
        <w:rPr>
          <w:rStyle w:val="bumpedfont15"/>
          <w:color w:val="000000"/>
        </w:rPr>
        <w:t>УНИВЕРСИТЕТ ИМЕНИ ПРОФЕССОРА В.Ф. ВОЙНО-ЯСЕНЕЦКОГО»</w:t>
      </w:r>
    </w:p>
    <w:p w:rsidR="008A35F0" w:rsidRPr="00C63147" w:rsidRDefault="008A35F0">
      <w:pPr>
        <w:pStyle w:val="s3"/>
        <w:spacing w:before="0" w:beforeAutospacing="0" w:after="0" w:afterAutospacing="0" w:line="324" w:lineRule="atLeast"/>
        <w:jc w:val="center"/>
        <w:rPr>
          <w:rStyle w:val="bumpedfont15"/>
          <w:color w:val="000000"/>
        </w:rPr>
      </w:pPr>
      <w:r w:rsidRPr="00C63147">
        <w:rPr>
          <w:rStyle w:val="bumpedfont15"/>
          <w:color w:val="000000"/>
        </w:rPr>
        <w:t>МИНИСТЕРСТВА ЗДРАВООХРАНЕНИЯ РОССИЙСКОЙ ФЕДЕРАЦИИ</w:t>
      </w:r>
    </w:p>
    <w:p w:rsidR="007B1B48" w:rsidRDefault="007B1B48">
      <w:pPr>
        <w:pStyle w:val="s3"/>
        <w:spacing w:before="0" w:beforeAutospacing="0" w:after="0" w:afterAutospacing="0" w:line="324" w:lineRule="atLeast"/>
        <w:jc w:val="center"/>
        <w:rPr>
          <w:rStyle w:val="bumpedfont15"/>
          <w:color w:val="000000"/>
          <w:sz w:val="32"/>
          <w:szCs w:val="32"/>
        </w:rPr>
      </w:pPr>
    </w:p>
    <w:p w:rsidR="007B1B48" w:rsidRDefault="007B1B48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</w:p>
    <w:p w:rsidR="0063472E" w:rsidRDefault="0063472E"/>
    <w:p w:rsidR="008A35F0" w:rsidRPr="00672D65" w:rsidRDefault="008A35F0" w:rsidP="003929C9">
      <w:pPr>
        <w:ind w:left="2124"/>
        <w:rPr>
          <w:rFonts w:ascii="Times New Roman" w:hAnsi="Times New Roman" w:cs="Times New Roman"/>
          <w:sz w:val="28"/>
          <w:szCs w:val="28"/>
        </w:rPr>
      </w:pPr>
      <w:r w:rsidRPr="00672D65">
        <w:rPr>
          <w:rFonts w:ascii="Times New Roman" w:hAnsi="Times New Roman" w:cs="Times New Roman"/>
          <w:sz w:val="28"/>
          <w:szCs w:val="28"/>
        </w:rPr>
        <w:t xml:space="preserve">Кафедра анестезиологии и реаниматологи ИПО </w:t>
      </w:r>
    </w:p>
    <w:p w:rsidR="006047E3" w:rsidRPr="00672D65" w:rsidRDefault="006047E3" w:rsidP="003929C9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6047E3" w:rsidRDefault="006047E3" w:rsidP="003929C9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982863" w:rsidRDefault="00052730" w:rsidP="00052730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82863"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052730" w:rsidRDefault="00052730" w:rsidP="00052730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ДМН, профессор Грицан Алексей Иванович </w:t>
      </w:r>
    </w:p>
    <w:p w:rsidR="0085742A" w:rsidRDefault="0085742A" w:rsidP="003929C9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5742A" w:rsidRPr="00672D65" w:rsidRDefault="0085742A" w:rsidP="003929C9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6047E3" w:rsidRPr="00672D65" w:rsidRDefault="00DC46B4" w:rsidP="003929C9">
      <w:pPr>
        <w:rPr>
          <w:rFonts w:ascii="Times New Roman" w:hAnsi="Times New Roman" w:cs="Times New Roman"/>
          <w:sz w:val="28"/>
          <w:szCs w:val="28"/>
        </w:rPr>
      </w:pPr>
      <w:r w:rsidRPr="00672D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0F5C" w:rsidRPr="00672D65">
        <w:rPr>
          <w:rFonts w:ascii="Times New Roman" w:hAnsi="Times New Roman" w:cs="Times New Roman"/>
          <w:sz w:val="28"/>
          <w:szCs w:val="28"/>
        </w:rPr>
        <w:t xml:space="preserve"> </w:t>
      </w:r>
      <w:r w:rsidRPr="00672D6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047E3" w:rsidRPr="00672D65">
        <w:rPr>
          <w:rFonts w:ascii="Times New Roman" w:hAnsi="Times New Roman" w:cs="Times New Roman"/>
          <w:sz w:val="28"/>
          <w:szCs w:val="28"/>
        </w:rPr>
        <w:t xml:space="preserve">Реферат: </w:t>
      </w:r>
    </w:p>
    <w:p w:rsidR="0085742A" w:rsidRDefault="006047E3" w:rsidP="003929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D6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672D65">
        <w:rPr>
          <w:rFonts w:ascii="Times New Roman" w:hAnsi="Times New Roman" w:cs="Times New Roman"/>
          <w:sz w:val="28"/>
          <w:szCs w:val="28"/>
        </w:rPr>
        <w:t xml:space="preserve"> пациентов в отделениях анестезиологии, реанимации и интенсивной </w:t>
      </w:r>
      <w:r w:rsidR="0085742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742A" w:rsidRDefault="0085742A" w:rsidP="00392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терапии</w:t>
      </w:r>
    </w:p>
    <w:p w:rsidR="0085742A" w:rsidRDefault="0085742A" w:rsidP="003929C9">
      <w:pPr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3929C9">
      <w:pPr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3929C9">
      <w:pPr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3929C9">
      <w:pPr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3929C9">
      <w:pPr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3929C9">
      <w:pPr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3929C9">
      <w:pPr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3929C9">
      <w:pPr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3929C9">
      <w:pPr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Ординатор 1-го года обучения </w:t>
      </w: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М. И.</w:t>
      </w: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C63147" w:rsidRDefault="00C63147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C63147" w:rsidRDefault="00C63147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C63147" w:rsidRDefault="00C63147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C63147" w:rsidRDefault="00C63147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85742A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5742A" w:rsidRDefault="0085742A" w:rsidP="00052730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2021</w:t>
      </w:r>
    </w:p>
    <w:p w:rsidR="00C63147" w:rsidRDefault="00C63147" w:rsidP="00052730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CA027F" w:rsidRDefault="0026358D" w:rsidP="00263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и определения </w:t>
      </w:r>
    </w:p>
    <w:p w:rsidR="00142216" w:rsidRDefault="00FF3A0A" w:rsidP="00263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26358D" w:rsidRDefault="00FF3A0A" w:rsidP="00263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</w:p>
    <w:p w:rsidR="007B0035" w:rsidRDefault="007B0035" w:rsidP="00263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Подходы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</w:p>
    <w:p w:rsidR="007B0035" w:rsidRDefault="007B0035" w:rsidP="00263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принципы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</w:p>
    <w:p w:rsidR="007B0035" w:rsidRDefault="007B0035" w:rsidP="00263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910FA0" w:rsidRDefault="00910FA0" w:rsidP="00263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26358D" w:rsidRDefault="0026358D" w:rsidP="0026358D">
      <w:pPr>
        <w:rPr>
          <w:rFonts w:ascii="Times New Roman" w:hAnsi="Times New Roman" w:cs="Times New Roman"/>
          <w:sz w:val="28"/>
          <w:szCs w:val="28"/>
        </w:rPr>
      </w:pPr>
    </w:p>
    <w:p w:rsidR="007B0035" w:rsidRDefault="007B0035" w:rsidP="007B0035">
      <w:pPr>
        <w:rPr>
          <w:rFonts w:ascii="Times New Roman" w:hAnsi="Times New Roman" w:cs="Times New Roman"/>
          <w:sz w:val="28"/>
          <w:szCs w:val="28"/>
        </w:rPr>
      </w:pPr>
    </w:p>
    <w:p w:rsidR="0026358D" w:rsidRPr="0026358D" w:rsidRDefault="0026358D" w:rsidP="007B0035">
      <w:pPr>
        <w:ind w:left="2832"/>
        <w:rPr>
          <w:rFonts w:ascii="Times New Roman" w:hAnsi="Times New Roman" w:cs="Times New Roman"/>
          <w:sz w:val="28"/>
          <w:szCs w:val="28"/>
        </w:rPr>
      </w:pPr>
      <w:r w:rsidRPr="0026358D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26358D" w:rsidRPr="0026358D" w:rsidRDefault="0026358D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6358D">
        <w:rPr>
          <w:rFonts w:ascii="Times New Roman" w:hAnsi="Times New Roman" w:cs="Times New Roman"/>
          <w:sz w:val="28"/>
          <w:szCs w:val="28"/>
        </w:rPr>
        <w:t>Ажитация - возбуждение, сопровождающееся моторным или речевым беспокойством, страхом и тревогой.</w:t>
      </w:r>
    </w:p>
    <w:p w:rsidR="0026358D" w:rsidRPr="0026358D" w:rsidRDefault="0026358D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6358D">
        <w:rPr>
          <w:rFonts w:ascii="Times New Roman" w:hAnsi="Times New Roman" w:cs="Times New Roman"/>
          <w:sz w:val="28"/>
          <w:szCs w:val="28"/>
        </w:rPr>
        <w:t xml:space="preserve">Анальгезия – снижение или полное устранение чувствительности к боли. </w:t>
      </w:r>
      <w:proofErr w:type="spellStart"/>
      <w:r w:rsidRPr="0026358D">
        <w:rPr>
          <w:rFonts w:ascii="Times New Roman" w:hAnsi="Times New Roman" w:cs="Times New Roman"/>
          <w:sz w:val="28"/>
          <w:szCs w:val="28"/>
        </w:rPr>
        <w:t>Анксиолизис</w:t>
      </w:r>
      <w:proofErr w:type="spellEnd"/>
      <w:r w:rsidRPr="0026358D">
        <w:rPr>
          <w:rFonts w:ascii="Times New Roman" w:hAnsi="Times New Roman" w:cs="Times New Roman"/>
          <w:sz w:val="28"/>
          <w:szCs w:val="28"/>
        </w:rPr>
        <w:t xml:space="preserve"> – минимальная </w:t>
      </w:r>
      <w:proofErr w:type="spellStart"/>
      <w:r w:rsidRPr="0026358D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26358D">
        <w:rPr>
          <w:rFonts w:ascii="Times New Roman" w:hAnsi="Times New Roman" w:cs="Times New Roman"/>
          <w:sz w:val="28"/>
          <w:szCs w:val="28"/>
        </w:rPr>
        <w:t>, устранение тревоги.</w:t>
      </w:r>
    </w:p>
    <w:p w:rsidR="0026358D" w:rsidRPr="0026358D" w:rsidRDefault="0026358D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6358D">
        <w:rPr>
          <w:rFonts w:ascii="Times New Roman" w:hAnsi="Times New Roman" w:cs="Times New Roman"/>
          <w:sz w:val="28"/>
          <w:szCs w:val="28"/>
        </w:rPr>
        <w:t xml:space="preserve">Процедурная </w:t>
      </w:r>
      <w:proofErr w:type="spellStart"/>
      <w:r w:rsidRPr="0026358D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26358D">
        <w:rPr>
          <w:rFonts w:ascii="Times New Roman" w:hAnsi="Times New Roman" w:cs="Times New Roman"/>
          <w:sz w:val="28"/>
          <w:szCs w:val="28"/>
        </w:rPr>
        <w:t xml:space="preserve"> – техника введения </w:t>
      </w:r>
      <w:proofErr w:type="spellStart"/>
      <w:r w:rsidRPr="0026358D">
        <w:rPr>
          <w:rFonts w:ascii="Times New Roman" w:hAnsi="Times New Roman" w:cs="Times New Roman"/>
          <w:sz w:val="28"/>
          <w:szCs w:val="28"/>
        </w:rPr>
        <w:t>седативных</w:t>
      </w:r>
      <w:proofErr w:type="spellEnd"/>
      <w:r w:rsidRPr="0026358D">
        <w:rPr>
          <w:rFonts w:ascii="Times New Roman" w:hAnsi="Times New Roman" w:cs="Times New Roman"/>
          <w:sz w:val="28"/>
          <w:szCs w:val="28"/>
        </w:rPr>
        <w:t xml:space="preserve"> средств вместе с</w:t>
      </w:r>
    </w:p>
    <w:p w:rsidR="0026358D" w:rsidRPr="0026358D" w:rsidRDefault="0026358D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26358D">
        <w:rPr>
          <w:rFonts w:ascii="Times New Roman" w:hAnsi="Times New Roman" w:cs="Times New Roman"/>
          <w:sz w:val="28"/>
          <w:szCs w:val="28"/>
        </w:rPr>
        <w:t>анальгетиками</w:t>
      </w:r>
      <w:proofErr w:type="spellEnd"/>
      <w:r w:rsidRPr="0026358D">
        <w:rPr>
          <w:rFonts w:ascii="Times New Roman" w:hAnsi="Times New Roman" w:cs="Times New Roman"/>
          <w:sz w:val="28"/>
          <w:szCs w:val="28"/>
        </w:rPr>
        <w:t xml:space="preserve"> или без них, которая позволяет пациенту переносить неприятные процедуры, поддерживая </w:t>
      </w:r>
      <w:proofErr w:type="spellStart"/>
      <w:r w:rsidRPr="0026358D">
        <w:rPr>
          <w:rFonts w:ascii="Times New Roman" w:hAnsi="Times New Roman" w:cs="Times New Roman"/>
          <w:sz w:val="28"/>
          <w:szCs w:val="28"/>
        </w:rPr>
        <w:t>кардиореспираторную</w:t>
      </w:r>
      <w:proofErr w:type="spellEnd"/>
      <w:r w:rsidRPr="0026358D">
        <w:rPr>
          <w:rFonts w:ascii="Times New Roman" w:hAnsi="Times New Roman" w:cs="Times New Roman"/>
          <w:sz w:val="28"/>
          <w:szCs w:val="28"/>
        </w:rPr>
        <w:t xml:space="preserve"> функцию.</w:t>
      </w:r>
    </w:p>
    <w:p w:rsidR="0026358D" w:rsidRPr="0026358D" w:rsidRDefault="0026358D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6358D">
        <w:rPr>
          <w:rFonts w:ascii="Times New Roman" w:hAnsi="Times New Roman" w:cs="Times New Roman"/>
          <w:sz w:val="28"/>
          <w:szCs w:val="28"/>
        </w:rPr>
        <w:t>Посттравматическое стрессовое расстройство - нарушение нормальной работы психики в результате единичной или повторяющейся психотравмирующей ситуации.</w:t>
      </w:r>
    </w:p>
    <w:p w:rsidR="0026358D" w:rsidRDefault="0026358D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26358D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26358D">
        <w:rPr>
          <w:rFonts w:ascii="Times New Roman" w:hAnsi="Times New Roman" w:cs="Times New Roman"/>
          <w:sz w:val="28"/>
          <w:szCs w:val="28"/>
        </w:rPr>
        <w:t xml:space="preserve"> - контролируемый уровень медикаментозной депрессии сознания, при котором сохранены защитные рефлексы, обеспечивается адекватно дыхание и есть ответы на физические стимулы или вербальные команды» [1]. Также </w:t>
      </w:r>
      <w:proofErr w:type="spellStart"/>
      <w:r w:rsidRPr="0026358D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26358D">
        <w:rPr>
          <w:rFonts w:ascii="Times New Roman" w:hAnsi="Times New Roman" w:cs="Times New Roman"/>
          <w:sz w:val="28"/>
          <w:szCs w:val="28"/>
        </w:rPr>
        <w:t xml:space="preserve"> определяют, как комплекс медикаментозных и </w:t>
      </w:r>
      <w:proofErr w:type="spellStart"/>
      <w:r w:rsidRPr="0026358D">
        <w:rPr>
          <w:rFonts w:ascii="Times New Roman" w:hAnsi="Times New Roman" w:cs="Times New Roman"/>
          <w:sz w:val="28"/>
          <w:szCs w:val="28"/>
        </w:rPr>
        <w:t>немедикаментозных</w:t>
      </w:r>
      <w:proofErr w:type="spellEnd"/>
      <w:r w:rsidRPr="0026358D">
        <w:rPr>
          <w:rFonts w:ascii="Times New Roman" w:hAnsi="Times New Roman" w:cs="Times New Roman"/>
          <w:sz w:val="28"/>
          <w:szCs w:val="28"/>
        </w:rPr>
        <w:t xml:space="preserve"> средств, предназначенный обеспечить физический и психический комфорт пациента и облегчить технику ухода в отделении анестезиологии, реанимации и интенсивной терапии (ОАРИТ)1 [2].</w:t>
      </w: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B0035" w:rsidRDefault="007B003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F3A0A" w:rsidRDefault="00FF3A0A" w:rsidP="00FF3A0A">
      <w:pPr>
        <w:ind w:left="2832" w:firstLine="851"/>
        <w:rPr>
          <w:rFonts w:ascii="Times New Roman" w:hAnsi="Times New Roman" w:cs="Times New Roman"/>
          <w:sz w:val="28"/>
          <w:szCs w:val="28"/>
        </w:rPr>
      </w:pPr>
    </w:p>
    <w:p w:rsidR="00FF3A0A" w:rsidRDefault="00FF3A0A" w:rsidP="00FF3A0A">
      <w:pPr>
        <w:ind w:left="283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Практически все пациенты в отделении реанимации и интенсивной терапии нуждаются в проведении адекватной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в силу различных причин, среди которых необходимость выполнения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процедур, нарушение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циркадных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ритмов сна и бодрствования, тяжесть общего состояния, необходимость респираторной поддержки [3]. Адекватная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препятствует развитию стрессовой реакции, беспокойства, обеспечивает комфорт и повышает переносимость интубации трахеи и искусственной вентиляции легких (ИВЛ), а также облегчает процедуры ухода [4].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Основными причинами ажитации (возбуждения) являются боль, делирий,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гипоксемия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, гипогликемия, гипотензия, алкогольный или другой абстинентный синдром.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Возбуждение способствует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асинхронии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с аппаратом ИВЛ, повышенному потреблению кислорода, увеличению продукции углекислоты 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, что ведет к угрожающему жизни респираторному и метаболическому ацидозу [5].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Избыточная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может привести к неоправданно пролонгированной ИВЛ и связанным с ней осложнениям, в том числе пневмонии. Длительная ИВЛ, в свою очередь, обусловливает увеличение времени пребывания в ОАРИТ, ухудшение прогноза, повышение риска летального исхода и возрастание затрат на лечение пациентов.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седативной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терапии пациентов в ОАРИТ: - уменьшение возбуждения;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- снижение количества дней на ИВЛ;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- уменьшение времени пребывания в ОАРИТ;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- уменьшение длительных когнитивных расстройств;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- предупреждение осложнений со стороны сердечно-сосудистой системы, легких, печени и почек;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- уменьшение частоты развития посттравматических стрессовых расстройств;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- уменьшение количества спонтанных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экстубаций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;</w:t>
      </w:r>
    </w:p>
    <w:p w:rsidR="00BB48C5" w:rsidRPr="00BB48C5" w:rsidRDefault="00BB48C5" w:rsidP="00220A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- уменьшение частоты встречаемости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делирия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и/или более успешное лечение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делирия</w:t>
      </w:r>
      <w:proofErr w:type="spellEnd"/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Возбуждение достаточно часто встречается среди пациентов ОАРИТ – в 16 – 71% случаев, при этом выраженная ажитация – в 16 – 46% случаев [6].</w:t>
      </w:r>
    </w:p>
    <w:p w:rsid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Недостаточная или избыточная [7]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приводит к посттравматическим стрессовым расстройствам, наблюдаемым у 15–27% реанимационных пациентов [5, 8], существенно ухудшающим качество их жизни.</w:t>
      </w:r>
    </w:p>
    <w:p w:rsidR="00FF3A0A" w:rsidRDefault="00FF3A0A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F3A0A" w:rsidRDefault="00FF3A0A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F3A0A" w:rsidRDefault="00FF3A0A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F3A0A" w:rsidRDefault="00FF3A0A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Pr="00BB48C5" w:rsidRDefault="00BB48C5" w:rsidP="00FF3A0A">
      <w:pPr>
        <w:ind w:left="2832"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различается по уровню (глубине) [8]: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- минимальная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анксиолизис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), или легкая (поверхностная)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: пациент находится в состоянии бодрствования, контактирует с врачом, но познавательная функция и координация могут быть нарушены;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- умеренная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: депрессия сознания, при которой пациенты реагируют на словесный или легкий тактильный стимул, способны к сотрудничеству, не требуется поддержки проходимости дыхательных путей, адекватное спонтанное дыхание и функция сердечно-сосудистой системы сохранены;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- глубокая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: пациенты не могут быть легко пробуждены, но реагируют на повторный или болезненный стимул, может потребоваться поддержка проходимости дыхательных путей, спонтанное дыхание может быть нарушено, функция сердечно-сосудистой системы сохранена.</w:t>
      </w:r>
    </w:p>
    <w:p w:rsidR="00BB48C5" w:rsidRPr="00BB48C5" w:rsidRDefault="00BB48C5" w:rsidP="00BE77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делится на фармакологическую, осуществляемую с помощью</w:t>
      </w:r>
      <w:r w:rsidR="00BE778D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 xml:space="preserve">лекарственных препаратов, 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нефармакологическую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, при которой проводятся мероприятия и создаются условия более комфортного пребывания пациента.</w:t>
      </w:r>
    </w:p>
    <w:p w:rsidR="00BE778D" w:rsidRDefault="00BE778D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E778D" w:rsidRDefault="00BE778D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</w:p>
    <w:p w:rsidR="00BB48C5" w:rsidRPr="00BB48C5" w:rsidRDefault="00BB48C5" w:rsidP="00BE778D">
      <w:pPr>
        <w:ind w:left="2124"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Подходы к проведению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У пациентов в ОАРИТ, находящихся на ИВЛ, возможно возникновение тревоги, возбуждения, страха.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Предрасполагает к развитию возбуждения наличие в анамнезе алкогольной или наркотической зависимости, органических заболеваний головного мозга, артериальной гипертензии, особенно плохо контролируемой, общее тяжелое состояние пациента, а также пожилой возраст.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Большое значение имеют своевременная идентификация и правильное лечение основных причин возбуждения, таких как боль, делирий,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гипоксемия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, гипогликемия, гипотензия, алкогольный или другой абстинентный синдром.</w:t>
      </w:r>
    </w:p>
    <w:p w:rsidR="00BB48C5" w:rsidRPr="00BB48C5" w:rsidRDefault="00BB48C5" w:rsidP="00BE77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обследования зависят от конкретного заболевания и тяжести состояния пациента. Необходимо обратить внимание на нарушения сознания,</w:t>
      </w:r>
      <w:r w:rsidR="00BE778D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 xml:space="preserve">наличие признаков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гипоксемии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(цианоз) и нарушений периферического кровообращения, одышки, тахикардии, дыхательной и сердечной недостаточности, симптомов раздражения брюшины,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олигурии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 анурии, которые могут быть причинами возникновения возбуждения у пациентов в ОАРИТ.</w:t>
      </w:r>
    </w:p>
    <w:p w:rsidR="00BB48C5" w:rsidRPr="00BB48C5" w:rsidRDefault="00BB48C5" w:rsidP="00E0692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Для всех пациентов отделений ОАРИТ рекомендуется перед применение</w:t>
      </w:r>
      <w:r w:rsidR="004253D9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4253D9">
        <w:rPr>
          <w:rFonts w:ascii="Times New Roman" w:hAnsi="Times New Roman" w:cs="Times New Roman"/>
          <w:sz w:val="28"/>
          <w:szCs w:val="28"/>
        </w:rPr>
        <w:t>седативных</w:t>
      </w:r>
      <w:proofErr w:type="spellEnd"/>
      <w:r w:rsidR="004253D9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>средств предпринять попытки снижения беспокойства и возбуждения с помощью обеспечения комфорта пациента, адекватного обезболивания, регулярной перемены положения и оптимизации окружающей обстановки для поддержания нормального сна [9].</w:t>
      </w:r>
    </w:p>
    <w:p w:rsidR="00BB48C5" w:rsidRPr="00BB48C5" w:rsidRDefault="00BB48C5" w:rsidP="00E0692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Всем пациентам ОАРИТ рекомендуется регулярно оценивать уровень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с</w:t>
      </w:r>
      <w:r w:rsidR="00E06922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>помощью шкал состояния пациента. RASS (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Ричмондская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шкала ажитации –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) — наиболее информативная и надежная шкала для оценки качества и глубины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у пациентов в ОАРИТ [10]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Пациентам, получающим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миорелаксанты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, рекомендуется в условиях центра анестезиологии и реанимации или специализированных учреждений использовать инструментальные методы оценки мозговых функций для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(электроэнцефалография (ЭЭГ),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биспектральный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индекс (BIS), вызванные слуховые потенциалы (AEP) [11].</w:t>
      </w:r>
    </w:p>
    <w:p w:rsidR="004703AF" w:rsidRDefault="004703AF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03AF" w:rsidRDefault="004703AF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03AF" w:rsidRDefault="004703AF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03AF" w:rsidRDefault="004703AF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03AF" w:rsidRDefault="004703AF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03AF" w:rsidRDefault="004703AF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03AF" w:rsidRDefault="004703AF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03AF" w:rsidRDefault="004703AF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03AF" w:rsidRDefault="004703AF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03AF" w:rsidRDefault="004703AF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03AF" w:rsidRDefault="004703AF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03AF" w:rsidRDefault="004703AF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Pr="00BB48C5" w:rsidRDefault="00BB48C5" w:rsidP="00796F2C">
      <w:pPr>
        <w:ind w:left="1416"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Основные принципы проведения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</w:p>
    <w:p w:rsidR="00BB48C5" w:rsidRPr="00BB48C5" w:rsidRDefault="00BB48C5" w:rsidP="004703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У пациентов в ОАРИТ рекомендуется проводить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для устранения</w:t>
      </w:r>
      <w:r w:rsidR="004703AF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 xml:space="preserve">возбуждения и его отрицательных последствий, а также для защиты головного мозга при тяжелом повреждении,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постгипоксической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энцефалопатии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[12].</w:t>
      </w:r>
      <w:r w:rsidR="004703AF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 xml:space="preserve"> Целью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является улучшение комфорта и безопасность пациента и его окружения, обеспечение реализации диагностических и лечебных действий в оптимальных комфортных и безопасных для пациента условиях, а, в конечном счете - улучшение состояния пациента и устранение последствий, связанных с определенной патологией [13].</w:t>
      </w:r>
    </w:p>
    <w:p w:rsidR="00BB48C5" w:rsidRPr="00BB48C5" w:rsidRDefault="00BB48C5" w:rsidP="00887C8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Пациентам ОАРИТ рекомендуется проводить в первую очередь анальгезию, а затем</w:t>
      </w:r>
      <w:r w:rsidR="0088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C83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[14].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возбужденного пациента в критическом состоянии можно начинать только после обеспечения адекватной анальгезии на фоне лечения обратимых физиологических причин (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гипоксемии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гипогликемии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гипотензии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, алкогольной или наркотической абстиненции). При этом предупреждение боли эффективнее, чем лечение уже имеющейся боли. Боль, страх и возбуждение могут иметь неблагоприятные психологические эффекты и вредные последствия [13]. Боль ухудшает респираторную 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циркуляторную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функции, повышает частоту легочных осложнений и эндокринно- метаболических реакций. Страх может привести к отказу от ухода, прекращению сотрудничества с персоналом ОАРИТ, росту агрессивности. Анальгезия 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приводят к уменьшению эндокринно-метаболической реакции на стресс, повышают соотношение «доставка–потребление кислорода», снижают частоту послеоперационных осложнений и смертность. Важно также исключить наличие обструкции верхних дыхательных путей, а у пациентов на ИВЛ —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однолегочной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вентиляции.</w:t>
      </w:r>
    </w:p>
    <w:p w:rsidR="00BB48C5" w:rsidRPr="00BB48C5" w:rsidRDefault="00BB48C5" w:rsidP="00887C8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Пациентам ОАРИТ рекомендуется проводить легкую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, если нет показаний к</w:t>
      </w:r>
      <w:r w:rsidR="00887C83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 xml:space="preserve">глубокой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[15].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При легкой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пациент спокоен, речь и сознание сохраняются, и он может взаимодействовать с медицинским персоналом и общаться с родственниками. При этом пациент может спать, если его не беспокоят. Это состояние соответствует - 1/0 баллов по шкале RASS. Поддержание легкой степени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связано с лучшими исходами заболевания (меньшей продолжительностью ИВЛ и пребывания в ОАРИТ) [16 - 18].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48C5" w:rsidRPr="00BB48C5" w:rsidRDefault="00BB48C5" w:rsidP="00887C8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 Пациентам с внутричерепной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гипертензией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независимо от этиологии рекомендуется</w:t>
      </w:r>
      <w:r w:rsidR="00887C83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 xml:space="preserve">проводить глубокую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[19];</w:t>
      </w:r>
    </w:p>
    <w:p w:rsidR="00A91B40" w:rsidRDefault="00BB48C5" w:rsidP="00A91B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В случае внутричерепной гипертензии целью является оптимизация перфузии и церебральной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, а также борьба с судорожным синдромом,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нейровегетативными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нарушениями и предупреждение новых эпизодов гипертензии</w:t>
      </w:r>
      <w:r w:rsidR="00A91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B40" w:rsidRDefault="00A91B40" w:rsidP="00A91B4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91B40" w:rsidRDefault="00A91B40" w:rsidP="00A91B4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91B40" w:rsidRDefault="00BB48C5" w:rsidP="00A91B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lastRenderedPageBreak/>
        <w:t>Пациентам ОАРИТ с тяжелой дыхательной недостаточностью и при ИВЛ в</w:t>
      </w:r>
      <w:r w:rsidR="00A91B40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 xml:space="preserve">условиях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миорелаксации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рекомендуется проводить глубокую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[20];</w:t>
      </w:r>
    </w:p>
    <w:p w:rsidR="00BB48C5" w:rsidRPr="00BB48C5" w:rsidRDefault="00BB48C5" w:rsidP="00A91B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Пациентам ОАРИТ с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постгипоксической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энцефалопатией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рекомендуется проводить</w:t>
      </w:r>
      <w:r w:rsidR="00A91B40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 xml:space="preserve">глубокую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[21].</w:t>
      </w:r>
    </w:p>
    <w:p w:rsidR="00BB48C5" w:rsidRPr="00BB48C5" w:rsidRDefault="00BB48C5" w:rsidP="00A91B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У всех пациентов в ОАРИТ рекомендуется регулярно оценивать глубину и качество</w:t>
      </w:r>
      <w:r w:rsidR="00A9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[24].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Раннее применение глубокой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(первые 48 часов) при отсутствии показаний может ухудшить исход заболевания у пациентов, находящихся на ИВЛ [22]. В то же время современные исследования доказывают, что поддержание минимальной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у пациентов с тяжелыми нарушениями функции дыхания, в том числе с острым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респираторны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дистресс-синдромом (ОРДС), позволяют достичь более ранней активизации, отлучения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отаппарата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ИВЛ, снизить риск возникновения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делирия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 ускорить выздоровление [23]. Во всех перечисленных случаях состояние пациентов и показания к глубокой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должны подвергаться периодической переоценке.</w:t>
      </w:r>
    </w:p>
    <w:p w:rsidR="00BB48C5" w:rsidRPr="00BB48C5" w:rsidRDefault="00BB48C5" w:rsidP="00A91B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 У пациентов в ОАРИТ рекомендуется использовать информативные и надежные</w:t>
      </w:r>
      <w:r w:rsidR="00A91B40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 xml:space="preserve">шкалы для оценки качества и глубины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Ричмондская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шкала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ажитации-седации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- RASS) [25].</w:t>
      </w:r>
    </w:p>
    <w:p w:rsidR="00BB48C5" w:rsidRPr="00BB48C5" w:rsidRDefault="00BB48C5" w:rsidP="00440B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У пациентов ОАРИТ с риском развития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синкопальных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состояний и при</w:t>
      </w:r>
      <w:r w:rsidR="00440B8D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 xml:space="preserve">необходимости титрования дозы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противоэпилептических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препаратов (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антиконвульсантов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) для подавления патологической активности у пациентов ОАРИТ с повышенным внутричерепным давлением рекомендуется в условиях центра анестезиологии и реанимации или специализированных учреждений использовать ЭЭГ для мониторинга судорожной патологической активности [26 - 28].</w:t>
      </w:r>
    </w:p>
    <w:p w:rsidR="00BB48C5" w:rsidRPr="00BB48C5" w:rsidRDefault="00BB48C5" w:rsidP="00440B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Для улучшения проведения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в ОАРИТ рекомендуется использовать</w:t>
      </w:r>
      <w:r w:rsidR="00440B8D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 карты наблюдения [29].</w:t>
      </w:r>
    </w:p>
    <w:p w:rsidR="00BB48C5" w:rsidRPr="00BB48C5" w:rsidRDefault="00440B8D" w:rsidP="00440B8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48C5" w:rsidRPr="00BB48C5">
        <w:rPr>
          <w:rFonts w:ascii="Times New Roman" w:hAnsi="Times New Roman" w:cs="Times New Roman"/>
          <w:sz w:val="28"/>
          <w:szCs w:val="28"/>
        </w:rPr>
        <w:t xml:space="preserve"> пациентов ОАРИТ рекомендуется ограничить использование производных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8C5" w:rsidRPr="00BB48C5">
        <w:rPr>
          <w:rFonts w:ascii="Times New Roman" w:hAnsi="Times New Roman" w:cs="Times New Roman"/>
          <w:sz w:val="28"/>
          <w:szCs w:val="28"/>
        </w:rPr>
        <w:t>бензодиазепина</w:t>
      </w:r>
      <w:proofErr w:type="spellEnd"/>
      <w:r w:rsidR="00BB48C5" w:rsidRPr="00BB48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48C5" w:rsidRPr="00BB48C5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BB48C5" w:rsidRPr="00BB48C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B48C5" w:rsidRPr="00BB48C5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="00BB48C5" w:rsidRPr="00BB48C5">
        <w:rPr>
          <w:rFonts w:ascii="Times New Roman" w:hAnsi="Times New Roman" w:cs="Times New Roman"/>
          <w:sz w:val="28"/>
          <w:szCs w:val="28"/>
        </w:rPr>
        <w:t xml:space="preserve">). В качестве альтернативных препаратов для пациентов на ИВЛ рекомендовано применять </w:t>
      </w:r>
      <w:proofErr w:type="spellStart"/>
      <w:r w:rsidR="00BB48C5" w:rsidRPr="00BB48C5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="00BB48C5" w:rsidRPr="00BB48C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B48C5" w:rsidRPr="00BB48C5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="00BB48C5" w:rsidRPr="00BB48C5">
        <w:rPr>
          <w:rFonts w:ascii="Times New Roman" w:hAnsi="Times New Roman" w:cs="Times New Roman"/>
          <w:sz w:val="28"/>
          <w:szCs w:val="28"/>
        </w:rPr>
        <w:t xml:space="preserve"> [30].</w:t>
      </w:r>
    </w:p>
    <w:p w:rsidR="00BB48C5" w:rsidRPr="00BB48C5" w:rsidRDefault="00BB48C5" w:rsidP="000133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У пациентов ОАРИТ рекомендуется использовать все доступные методы</w:t>
      </w:r>
      <w:r w:rsidR="0001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нефармакологической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[31].</w:t>
      </w:r>
    </w:p>
    <w:p w:rsidR="00BB48C5" w:rsidRPr="00BB48C5" w:rsidRDefault="00013348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Нефармакологическая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8C5" w:rsidRPr="00013348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="00BB48C5" w:rsidRPr="00BB48C5">
        <w:rPr>
          <w:rFonts w:ascii="Times New Roman" w:hAnsi="Times New Roman" w:cs="Times New Roman"/>
          <w:sz w:val="28"/>
          <w:szCs w:val="28"/>
        </w:rPr>
        <w:t xml:space="preserve"> включает следующие мероприятия: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- удаление ненужных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линий и трубок;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- прекращение или минимизацию фиксации пациента;</w:t>
      </w:r>
    </w:p>
    <w:p w:rsidR="00BB48C5" w:rsidRPr="00BB48C5" w:rsidRDefault="00BB48C5" w:rsidP="002300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- обеспечение нормального цикла сна (обеспечить естественный сон ночью,</w:t>
      </w:r>
      <w:r w:rsidR="002300B2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>соблюдать режим сна, не будить ранее чем через 90 мин, проводить регулярные перерывы в уходе (60–90 мин), массаж спины 5–10 мин, создать спокойное окружение (в том числе посредством привлечения близких и родственников пациента), не включать свет, использовать естественные маркеры для сна — окно или регулировка свет/темнота);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lastRenderedPageBreak/>
        <w:t>- если пациент пользуется слуховым аппаратом и/или очками, целесообразно их применение в ОАРИТ для лучшего контакта персонала с пациентом.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00B2" w:rsidRDefault="002300B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Pr="00BB48C5" w:rsidRDefault="00BB48C5" w:rsidP="00BE4231">
      <w:pPr>
        <w:ind w:left="1416"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lastRenderedPageBreak/>
        <w:t xml:space="preserve">Выбор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седативных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Седативные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препараты — это медикаментозные средства, которые успокаивают пациента, уменьшают возбуждение и обеспечивают сон [1]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Отрицательные побочные эффекты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седативных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препаратов в ОАРИТ: - развитие толерантности к препаратам;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- избыточный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седативный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эффект;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- нарушение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перистальтики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желудочно-кишечного тракта;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- появление симптомов отмены;</w:t>
      </w:r>
    </w:p>
    <w:p w:rsid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>- когнитивный дефицит.</w:t>
      </w:r>
    </w:p>
    <w:p w:rsidR="00BF4902" w:rsidRPr="00BB48C5" w:rsidRDefault="00BF4902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48C5" w:rsidRPr="00BB48C5" w:rsidRDefault="00BB48C5" w:rsidP="00BF490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. Является селективным агонистом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α2-адренорецепторов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, но не</w:t>
      </w:r>
      <w:r w:rsidR="00BF4902">
        <w:rPr>
          <w:rFonts w:ascii="Times New Roman" w:hAnsi="Times New Roman" w:cs="Times New Roman"/>
          <w:sz w:val="28"/>
          <w:szCs w:val="28"/>
        </w:rPr>
        <w:t xml:space="preserve"> </w:t>
      </w:r>
      <w:r w:rsidRPr="00BB48C5">
        <w:rPr>
          <w:rFonts w:ascii="Times New Roman" w:hAnsi="Times New Roman" w:cs="Times New Roman"/>
          <w:sz w:val="28"/>
          <w:szCs w:val="28"/>
        </w:rPr>
        <w:t xml:space="preserve">обладает селективностью к А, В и С подтипов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α2-адренорецепторов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. Препарат обладает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седативным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, обезболивающим 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симпатолитическим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эффектами, но без противосудорожного действия, позволяет снизить потребность в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опиоидах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при назначении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имеет определенные особенности. Пациенты, получающие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, легко просыпаются и способны к взаимодействию с персоналом, а признаки угнетения дыхания выражены минимально. α2-Агонисты вызывают активацию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α2А-адренорецепторов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в голубом пятне (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locus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coereleus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) и стволе мозга. Это, в свою очередь, приводит к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ингибированию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выброса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норадреналина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гиперполяризации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возбудимых нейронов, что вызывает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седативный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эффект [32]. Поэтому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, вызванная применением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>, близка к естественному сну [33].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легко проникает через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гематоэнцефалический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барьер и обладает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анальгетическим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эффектом, особенно в сочетании с низкими дозами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опиоидов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или местных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анестетиков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[33 – 35].</w:t>
      </w:r>
    </w:p>
    <w:p w:rsidR="00BB48C5" w:rsidRPr="00BB48C5" w:rsidRDefault="00BB48C5" w:rsidP="00BB48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48C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симпатолитический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эффект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связан с уменьшением высвобождения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норадреналина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из симпатических нервных окончаний [36], а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седативный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эффект опосредован снижением возбуждения в голубом пятне, основном центре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норадренергической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иннервации центральной нервной системы [37].</w:t>
      </w:r>
    </w:p>
    <w:p w:rsidR="00BB48C5" w:rsidRPr="00BB48C5" w:rsidRDefault="00BB48C5" w:rsidP="00F2709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потенцирует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анальгетический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эффект опиатов [38]. У взрослых на ИВЛ с факторами риска развития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делирия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использование для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снижает выраженность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делирия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бензодиазепинами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пропофолом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. В сравнении с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пропофолом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уменьшает частоту когнитивных расстройств в 1,6 раза [35, 39]. Кроме того,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сокращает время пребывания на ИВЛ и продолжительность пребывания в ОАРИТ пациентов с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делирием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по сравнению с пациентами, для лечения которых применялся галоперидол [40]. Внутривенное введение</w:t>
      </w:r>
      <w:r w:rsidR="00F27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обеспечивает эффективную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у пациентов на ИВЛ в ОАРИТ,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во время оперативных вмешательств и процедурную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[36, 41]. Обычно инфузия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переносится хорошо и приводит к уменьшению потребности во внутривенном введении пропофола и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мидазолама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и снижает необходимость назначения опиатов.</w:t>
      </w:r>
    </w:p>
    <w:p w:rsidR="00BB48C5" w:rsidRDefault="00BB48C5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B48C5">
        <w:rPr>
          <w:rFonts w:ascii="Times New Roman" w:hAnsi="Times New Roman" w:cs="Times New Roman"/>
          <w:sz w:val="28"/>
          <w:szCs w:val="28"/>
        </w:rPr>
        <w:lastRenderedPageBreak/>
        <w:t>Дексмедетомидин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не вызывает депрессии дыхания. Препарат может применяться для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самостоятельно дышащих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неинтубированных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пациентов и пациентов, которым проводят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неинвазивную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масочную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вентиляцию легких. После прекращения введения </w:t>
      </w:r>
      <w:proofErr w:type="spellStart"/>
      <w:r w:rsidRPr="00BB48C5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BB48C5">
        <w:rPr>
          <w:rFonts w:ascii="Times New Roman" w:hAnsi="Times New Roman" w:cs="Times New Roman"/>
          <w:sz w:val="28"/>
          <w:szCs w:val="28"/>
        </w:rPr>
        <w:t xml:space="preserve"> не оказывает каких-либо остаточных влияний на систему дыхания</w:t>
      </w:r>
      <w:r w:rsidR="00BF08CE">
        <w:rPr>
          <w:rFonts w:ascii="Times New Roman" w:hAnsi="Times New Roman" w:cs="Times New Roman"/>
          <w:sz w:val="28"/>
          <w:szCs w:val="28"/>
        </w:rPr>
        <w:t>.</w:t>
      </w:r>
    </w:p>
    <w:p w:rsidR="00BF08CE" w:rsidRDefault="00BF08CE" w:rsidP="0014221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могут возникать гипотензия и брадикардия, но они проходят обычно самостоятельно, без дополнительного лечения. При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дексмедетомидином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возникает также побочный эффект в виде расслабления мышц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ротоглотки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Согласно инструкции по медицинскому применению лекарственного препарата, размещенной в Государственном реестре лекарственных средств Российской Федерации,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показан для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у взрослых пациентов, находящихся в отделении интенсивной терапии, необходимая глубина которой не превышает пробуждение в ответ на голосовую стимуляцию (соответствует диапазону от 0 до -3 баллов по шкале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ажитации-седации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Ричмонда (RASS).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>Препарат противопоказан при: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гиперчувствительности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к компонентам препарата;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атриовентрикулярной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блокаде II–III степени (при отсутствии искусственного водителя ритма);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- неконтролируемой артериальной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гипотензии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>;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- острой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цереброваскулярной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патологии;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>- у детей до 18 лет.</w:t>
      </w:r>
    </w:p>
    <w:p w:rsidR="00BF08CE" w:rsidRPr="00BF08CE" w:rsidRDefault="00BF08CE" w:rsidP="0096320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Пациенты на ИВЛ могут быть переведены на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</w:t>
      </w:r>
      <w:r w:rsidR="0096320F">
        <w:rPr>
          <w:rFonts w:ascii="Times New Roman" w:hAnsi="Times New Roman" w:cs="Times New Roman"/>
          <w:sz w:val="28"/>
          <w:szCs w:val="28"/>
        </w:rPr>
        <w:t xml:space="preserve"> </w:t>
      </w:r>
      <w:r w:rsidRPr="00BF08CE">
        <w:rPr>
          <w:rFonts w:ascii="Times New Roman" w:hAnsi="Times New Roman" w:cs="Times New Roman"/>
          <w:sz w:val="28"/>
          <w:szCs w:val="28"/>
        </w:rPr>
        <w:t xml:space="preserve">начальной скоростью 0,7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/(кг×ч) с последующей постепенной коррекцией дозы в пределах 0,2–1,4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/(кг×ч) с целью достижения необходимой глубины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наступает в течение 5–10 мин, пик наблюдается через 1 ч после начала в/в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длительность действия препарата после окончания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составляет 30 мин. После коррекции скорости введения препарата необходимая глубина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может не достигаться в течение 1 ч. При этом не рекомендуется превышать максимальную дозу 1,4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>/(кг×ч).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Для ослабленных пациентов начальная скорость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может быть снижена до минимальных значений. У пожилых пациентов не требуется коррекции дозы.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Если нужно ускорить начало действия препарата, например, при выраженном возбуждении, рекомендовано проводить нагрузочную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дозе 0,5–1,0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/кг массы тела в течение 20 мин, т.е. начальную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1,5–3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/(кг×ч) в течение 20 мин. После нагрузочной дозы скорость введения препарата снижается до 0,4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/(кг×ч), в дальнейшем скорость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можно корригировать.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Пациенты, у которых адекватный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эффект не достигнут на максимальной дозе препарата, должны быть переведены на альтернативное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lastRenderedPageBreak/>
        <w:t>седативное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средство. Введение насыщающей дозы препарата не рекомендуется, так как при этом повышается частота побочных реакций. До наступления клинического эффекта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допускается введение пропофола или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мидазолама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. Опыт применения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течение более 14 дней отсутствует, при применении препарата более 14 дней необходимо регулярно оценивать состояние пациента.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имеет ряд преимуществ по сравнению с другими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седативными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средствами, так как обладает одновременно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анальгетическим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действием, практически не влияет на внешнее дыхание и не вызывает кумулятивного эффекта, способствует уменьшению времени пребывания в ОАРИТ и на ИВЛ. [42, 43].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Успешное применение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условиях ОАРИТ в России [44, 45] позволяет рекомендовать препарат в качестве одного из основных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седативных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средств как для пациентов на пролонгированной ИВЛ, так и на самостоятельном дыхании.</w:t>
      </w:r>
    </w:p>
    <w:p w:rsid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К агонистам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α2-адренорецепторов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относится также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клонидин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который обладает влиянием на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α1-адренорецепторы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оказывает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анальгетическое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седативное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действие, при этом имеет значительно более низкую стоимость. Существует ряд исследований, описывающих успешное применение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клонидина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ОАРИТ, в том числе при длительной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 отлучении от вентилятора [46 - 48]. Однако в российской инструкции к препарату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клонидин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показаниях к применению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отсутствует, в связи с чем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клонидин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не был включен в данные клинические рекомендации.</w:t>
      </w:r>
    </w:p>
    <w:p w:rsidR="00504D1A" w:rsidRPr="00BF08CE" w:rsidRDefault="00504D1A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F08CE" w:rsidRPr="00BF08CE" w:rsidRDefault="00BF08CE" w:rsidP="00504D1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. Коротко действующий гипнотик. Механизм действия достаточно сложен и обусловлен воздействием на различные рецепторы центральной нервной системы, в том числе рецепторы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γ-аминомасляной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кислоты, глицина, никотиновой кислоты и М1-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мускариновые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рецепторы. Препарат обладает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снотворным,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амнестическим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противорвотным и противосудорожным действием, но лишен обезболивающего эффекта [49].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хорошо растворяется в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липидах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 проникает через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гематоэнцефалический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барьер, что обеспечивает быстрое наступление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седативного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эффекта. При этом печеночный 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внепеченочный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клиренс пропофола высок, что обусловливает быстрое</w:t>
      </w:r>
      <w:r w:rsidR="00504D1A">
        <w:rPr>
          <w:rFonts w:ascii="Times New Roman" w:hAnsi="Times New Roman" w:cs="Times New Roman"/>
          <w:sz w:val="28"/>
          <w:szCs w:val="28"/>
        </w:rPr>
        <w:t xml:space="preserve"> </w:t>
      </w:r>
      <w:r w:rsidRPr="00BF08CE">
        <w:rPr>
          <w:rFonts w:ascii="Times New Roman" w:hAnsi="Times New Roman" w:cs="Times New Roman"/>
          <w:sz w:val="28"/>
          <w:szCs w:val="28"/>
        </w:rPr>
        <w:t xml:space="preserve">прекращение действия препарата. В связи с этим применение пропофола может быть рекомендовано для пациентов, которым требуется частое пробуждение для неврологической оценки или при дневном прерывании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[50]. При длительном применении пропофола может произойти насыщение периферических тканей, что приведет к более длительному действию и более медленному выходу из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[52]. Так же, как 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производные,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вызывает угнетение дыхания 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гипотензию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особенно у пациентов с уже имеющейся дыхательной недостаточностью или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гемодинамической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нестабильностью. Эти эффекты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потенцируются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одновременным назначением других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седативных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средств или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опиоидов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>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lastRenderedPageBreak/>
        <w:t xml:space="preserve">Доза введения пропофола в ОАРИТ составляет 0,3–4,0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/(кг×ч) и не должна превышать 4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/(кг×ч). Для пожилых пациентов скорость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препарата должна быть снижена. Через 3 дня введения пропофола необходимо проверить уровень липидов крови. Длительность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пропофолом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не должна превышать 7 дней.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К побочным эффектам пропофола относятся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гипертриглицеридемия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острый панкреатит 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[52 – 56].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может также вызывать аллергические реакции у пациентов с аллергией на яичный лецитин и соевое масло (так как растворен в 10% эмульсии липидов, содержащей эти вещества). В 1% случаев возможно возникновение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инфузионного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синдрома пропофола. Степень тяжести синдрома может существенно различаться. Основными проявлениями являются метаболический ацидоз,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гипертриглицеридемия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гипотензия,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артимии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. В более тяжелых случаях развивается острая почечная недостаточность,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рабдомиолиз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 печеночная недостаточность [51, 52, 57, 58]. Причиной развития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инфузионного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синдрома является нарушение метаболизма жирных кислот и углеводов и накопление промежуточных продуктов метаболизма пропофола. Как правило, синдром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пропофола возникает при использовании высоких доз препарата, но описан и при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низких доз [59 – 61]. Распознавание синдрома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имеет важное значение, так как летальность при его развитии остается высокой (до 33%) [62]. Лечение пациентов с синдромом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пропофола в основном симптоматическое.</w:t>
      </w:r>
    </w:p>
    <w:p w:rsidR="008C5928" w:rsidRDefault="008C5928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F08CE" w:rsidRPr="00BF08CE" w:rsidRDefault="00BF08CE" w:rsidP="008C5928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производные. Механизм действия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производных основан на взаимодействии с рецепторами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гамма-аминомасляной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кислоты в головном мозге. Препараты обладают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амнестическим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снотворным и противосудорожным эффектами, но не имеют обезболивающего действия. При этом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обладает более выраженным эффектом, чем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. Отмечается повышенная чувствительность к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бензодиазепинам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у пожилых [63].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могут вызывать угнетение дыхания, </w:t>
      </w:r>
      <w:r w:rsidR="008C5928">
        <w:rPr>
          <w:rFonts w:ascii="Times New Roman" w:hAnsi="Times New Roman" w:cs="Times New Roman"/>
          <w:sz w:val="28"/>
          <w:szCs w:val="28"/>
        </w:rPr>
        <w:t xml:space="preserve">а </w:t>
      </w:r>
      <w:r w:rsidRPr="00BF08CE">
        <w:rPr>
          <w:rFonts w:ascii="Times New Roman" w:hAnsi="Times New Roman" w:cs="Times New Roman"/>
          <w:sz w:val="28"/>
          <w:szCs w:val="28"/>
        </w:rPr>
        <w:t xml:space="preserve">также вызывать артериальную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гипотензию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особенно в сочетании с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опиоидами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[64]. При длительном применении развивается толерантность к препаратам данной фармакологической группы.</w:t>
      </w:r>
    </w:p>
    <w:p w:rsidR="00BF08CE" w:rsidRPr="00BF08CE" w:rsidRDefault="00BF08CE" w:rsidP="00AA548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метаболизируются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печени, поэтому их выведение замедлено у пациентов с печеночной недостаточностью, пожилых, а также при одновременном</w:t>
      </w:r>
      <w:r w:rsidR="00AA5483">
        <w:rPr>
          <w:rFonts w:ascii="Times New Roman" w:hAnsi="Times New Roman" w:cs="Times New Roman"/>
          <w:sz w:val="28"/>
          <w:szCs w:val="28"/>
        </w:rPr>
        <w:t xml:space="preserve"> </w:t>
      </w:r>
      <w:r w:rsidRPr="00BF08CE">
        <w:rPr>
          <w:rFonts w:ascii="Times New Roman" w:hAnsi="Times New Roman" w:cs="Times New Roman"/>
          <w:sz w:val="28"/>
          <w:szCs w:val="28"/>
        </w:rPr>
        <w:t xml:space="preserve">применении с препаратами,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ингибирующими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ферментную систему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P450 и</w:t>
      </w:r>
      <w:r w:rsidR="00AA5483">
        <w:rPr>
          <w:rFonts w:ascii="Times New Roman" w:hAnsi="Times New Roman" w:cs="Times New Roman"/>
          <w:sz w:val="28"/>
          <w:szCs w:val="28"/>
        </w:rPr>
        <w:t xml:space="preserve"> </w:t>
      </w:r>
      <w:r w:rsidRPr="00BF08CE">
        <w:rPr>
          <w:rFonts w:ascii="Times New Roman" w:hAnsi="Times New Roman" w:cs="Times New Roman"/>
          <w:sz w:val="28"/>
          <w:szCs w:val="28"/>
        </w:rPr>
        <w:t xml:space="preserve">конъюгацию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глюкуронида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печени [65 – 67]. При почечной недостаточности могут накапливаться активные метаболиты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мидазолама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диазепама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[68].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При длительном применении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возможно длительное восстановление сознания после окончания введения за счет насыщения периферических тканей, особенно при печеночной, почечной недостаточности и в пожилом возрасте. Особенно большой длительностью действия обладает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[69]. При применении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возможна повышенная частота развития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делирия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>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наиболее часто применяется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. Начальная доза препарата 2–2,5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последующие дозы 1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общая доза 3,5 – 7,5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. Для пожилых пациентов начальная доза должна быть снижена до 0,5–1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последующие дозы: 0,5–1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общая доза &lt;3,5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так как период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полувыведения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увеличивается в 2 раза.</w:t>
      </w:r>
    </w:p>
    <w:p w:rsidR="00BF08CE" w:rsidRPr="00BF08CE" w:rsidRDefault="00BF08CE" w:rsidP="006474C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пациентов в ОАРИТ рекомендуется использовать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или</w:t>
      </w:r>
      <w:r w:rsidR="00647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производных [70, 71].</w:t>
      </w:r>
    </w:p>
    <w:p w:rsidR="006474C8" w:rsidRDefault="006474C8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Ингаляционные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анестетики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. В настоящее время в анестезиологии все большую популярность завоевывают ингаляционные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анестетики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(ИА). Важными преимуществами ИА являются возможность эффективного мониторинга их концентрации в конце выдоха и, как следствие, хорошая управляемость анестезией. Начало и конец действия ИА наступают очень быстро, так как они выводятся через легкие и мало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кумулируются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печенью и почками. Современные ИА (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севофлуран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десфлуран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концентрации менее 1 MAC) не оказывают отрицательного влияния на центральную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гемодинамику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что имеет особое значение для пациентов ОРИТ, находящихся в критическом состоянии. Кроме того, в ряде работ описан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кардиопротекторный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эффект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[72, 73].</w:t>
      </w:r>
    </w:p>
    <w:p w:rsidR="00BF08CE" w:rsidRPr="00BF08CE" w:rsidRDefault="00BF08CE" w:rsidP="00757C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В ОАРИТ используется устройство для ингаляционной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Anaesthetic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Conserving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Device (ACD) [74], которое было зарегистрировано в России в 2013 г. ACD включает модифицированный бактериальный фильтр с отражателем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анестетика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</w:t>
      </w:r>
      <w:r w:rsidR="00757CED">
        <w:rPr>
          <w:rFonts w:ascii="Times New Roman" w:hAnsi="Times New Roman" w:cs="Times New Roman"/>
          <w:sz w:val="28"/>
          <w:szCs w:val="28"/>
        </w:rPr>
        <w:t xml:space="preserve"> </w:t>
      </w:r>
      <w:r w:rsidRPr="00BF08CE">
        <w:rPr>
          <w:rFonts w:ascii="Times New Roman" w:hAnsi="Times New Roman" w:cs="Times New Roman"/>
          <w:sz w:val="28"/>
          <w:szCs w:val="28"/>
        </w:rPr>
        <w:t xml:space="preserve">пористый испаритель. Концентрация ИА в конце выдоха контролируется с помощью газового анализатора. В качестве ИА рекомендовано использование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изофлурана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>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В инструкции по медицинскому применению лекарственного препарата, размещенной в Государственном реестре лекарственных средств Российской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Федерации,у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отсутствуют показания к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однако в настоящее время эффективность и безопасность ACD подтверждена рядом исследований, в том числе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[75 - 78]. Использование ингаляционных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анестетиков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ОАРИТ вошло в рекомендации по проведению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Германии [79].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ACD используется вместе с обычными аппаратами искусственной вентиляции легких и подключается между Y-образным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коннектором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интубационной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трубкой, так же как бактериальный/вирусный фильтр. Помимо этого, данная система требует использования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шприцевой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помпы, монитора наркозного газа и системы выведения наркозного газа (возможно использование систем с адсорберами)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для продленной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пациентов на ИВЛ позволяет снизить дозы опиатов и полностью отменить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седативные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препараты, вводимые внутривенно. У ряда пациентов с нестабильной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гемодинамикой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выраженной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гиповолемией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возможно развитие артериальной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гипотензии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>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Рекомендуемая концентрация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на выдохе колеблется от 0,5% (при этом скорость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шприцевую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помпу составляет от 1,5 до 2,5 мл/ч) до 1% (скорость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составляет 5–6 мл/ч). Для достижения уровня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2–3 балла по шкале RASS применяется скорость введения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2,5–5,0 мл/ч, при этом концентрация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анестетика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конце выдоха составляет около 0,75%. Скорость введения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изофлурана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несколько меньше и не превышает 3 мл/ч.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ACD — это одноразовое устройство. Производитель рекомендует менять ACD после 24 ч использования. Возможно использование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 помощью ACD как в течение нескольких часов в послеоперационном периоде до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экстубации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пациента, так и для длительной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[77, 79].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эффект оценивается индивидуально у каждого пациента. Как только достигается намеченный уровень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седативного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эффекта (по шкале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), необходимо выполнить другую настройку в течение первого часа после использования, применив для этого болюс (0,5 мл) или изменив скорость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шприцевой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помпы в соответствии с избыточным или недостаточным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эффектом. Обычно скорость введения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анестетика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постепенно снижается в течение нескольких часов до половины от исходных значений.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ИА противопоказана в тех случаях, когда имеются противопоказания к соответствующему препарату для ингаляционного наркоза [80]. ИА используются только у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интубированных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пациентов, могут вызвать глубокую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>, угнетают дыхание и ограничивают подвижность [78].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Противопоказаниями к использованию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галогенсодержащих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ИА являются подтвержденная или подозреваемая генетическая предрасположенность к развитию злокачественной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гипертермии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а также повышенная чувствительность к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севофлурану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или другим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галогенизированным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препаратам. ИА с осторожностью применяют при нарушении функции почек, нейрохирургических вмешательствах, если у пациента имеется угроза повышения внутричерепного давления. Повышение концентрации ИА вызывает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дозозависимое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снижение артериального давления; в таких случаях его можно повысить путем уменьшения концентрации подаваемого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анестетика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>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В качестве перспективного средства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аналгоседации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может обсуждаться инертный газ ксенон. Согласно инструкции, ксенон рекомендован в качестве препарата для анестезии и анальгезии. В ряде научных работ доказано, что ксенон обладает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анальгетическим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гипнотическим,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-, кардио-и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ренопротективными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эффектами, а также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антигипоксическим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антиоксидантным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 антистрессовым действием [82 – 84]. В настоящее время существуют единичные пилотные исследования, посвященные применению ксенона для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интенсивной терапии [85, 86]. В исследованиях использовались лечебные ингаляции ксенон-кислородных смесей по закрытому контуру с содержанием ксенона от 20 до </w:t>
      </w:r>
      <w:r w:rsidRPr="00BF08CE">
        <w:rPr>
          <w:rFonts w:ascii="Times New Roman" w:hAnsi="Times New Roman" w:cs="Times New Roman"/>
          <w:sz w:val="28"/>
          <w:szCs w:val="28"/>
        </w:rPr>
        <w:lastRenderedPageBreak/>
        <w:t xml:space="preserve">50% с сохранением спонтанного дыхания через маску, получен хороший обезболивающий 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эффект. Очевидно, необходимо проведение более крупных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исследований для дальнейшего изучения возможностей применения ксенона для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ОАРИТ.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Тактика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седативной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BF08CE" w:rsidRPr="00BF08CE" w:rsidRDefault="00BF08CE" w:rsidP="00ED24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• У пациентов ОАРИТ рекомендуется титровать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седативные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препараты для</w:t>
      </w:r>
      <w:r w:rsidR="00ED2482">
        <w:rPr>
          <w:rFonts w:ascii="Times New Roman" w:hAnsi="Times New Roman" w:cs="Times New Roman"/>
          <w:sz w:val="28"/>
          <w:szCs w:val="28"/>
        </w:rPr>
        <w:t xml:space="preserve"> </w:t>
      </w:r>
      <w:r w:rsidRPr="00BF08CE">
        <w:rPr>
          <w:rFonts w:ascii="Times New Roman" w:hAnsi="Times New Roman" w:cs="Times New Roman"/>
          <w:sz w:val="28"/>
          <w:szCs w:val="28"/>
        </w:rPr>
        <w:t xml:space="preserve">поддержания легкой, а не глубокой, степени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>, если это не противопоказано клинически [22].</w:t>
      </w:r>
    </w:p>
    <w:p w:rsidR="00BF08CE" w:rsidRPr="00BF08CE" w:rsidRDefault="00BF08CE" w:rsidP="00ED24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 • У пациентов на ИВЛ рекомендуется использование ингаляционных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анестетиков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изофлурана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) в качестве альтернативного метода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[81].</w:t>
      </w:r>
      <w:r w:rsidR="00ED248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BF08CE">
        <w:rPr>
          <w:rFonts w:ascii="Times New Roman" w:hAnsi="Times New Roman" w:cs="Times New Roman"/>
          <w:sz w:val="28"/>
          <w:szCs w:val="28"/>
        </w:rPr>
        <w:t xml:space="preserve"> титровать дозы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седативных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препаратов, периодически снижая скорость введения или ежедневно прерывать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 целью минимизации пролонгированных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седативных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эффектов, за исключением случаев, когда требуется глубокая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. При необходимости проведения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аналгоседации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предпочтительно использовать препараты, обладающие комбинированным (обезболивающим 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седативным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) эффектом, например,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или ИА. При проведении постоянной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пропофола доза постепенно снижается на 5 – 10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/(кг×мин) каждые 10 мин до достижения целевой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(учет данных оценочных шкал). При использовании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мидазолама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) после достижения более глубокого уровня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скорость введения снижается в 2 раза, а затем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титруется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. В случае применения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дексмедетомидина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большинстве наблюдений для достижения эффекта достаточны дозировки 0,5– 1,0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/(кг×ч), а для поддержания 0,2–0,7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/(кг×ч) [11]. Для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пациентов, находящихся на ИВЛ, могут быть использованы ингаляционные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анестетики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изофлуран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севофлуран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). Введение начинается со скоростью 5 мл/ч для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севофлурана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 3 мл/ч для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изофлурана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в течение первого часа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скорость введения корректируется (уменьшается, увеличивается или вводится болюс 0,5 мл) для достижения необходимого уровня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по оценочным шкалам.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Для лечения избыточной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производными используется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флумазенил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(для пациентов, получавших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7 дней и более, используются более низкие дозы).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Флумазенил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назначается внутривенно в начальной дозе 0,3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; при необходимости инъекцию повторяют каждые 60 с до суммарной дозы - 2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>.</w:t>
      </w:r>
    </w:p>
    <w:p w:rsidR="00BF08CE" w:rsidRPr="00BF08CE" w:rsidRDefault="00BF08CE" w:rsidP="002122C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 Пациентам с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постгипоксическим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состоянием в остром периоде рекомендуется</w:t>
      </w:r>
      <w:r w:rsidR="002122C2">
        <w:rPr>
          <w:rFonts w:ascii="Times New Roman" w:hAnsi="Times New Roman" w:cs="Times New Roman"/>
          <w:sz w:val="28"/>
          <w:szCs w:val="28"/>
        </w:rPr>
        <w:t xml:space="preserve"> </w:t>
      </w:r>
      <w:r w:rsidRPr="00BF08CE">
        <w:rPr>
          <w:rFonts w:ascii="Times New Roman" w:hAnsi="Times New Roman" w:cs="Times New Roman"/>
          <w:sz w:val="28"/>
          <w:szCs w:val="28"/>
        </w:rPr>
        <w:t xml:space="preserve">глубокая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без периодов пробного пробуждения [89 - 91].</w:t>
      </w:r>
    </w:p>
    <w:p w:rsidR="00BF08CE" w:rsidRPr="00BF08CE" w:rsidRDefault="002122C2" w:rsidP="00416B0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08CE" w:rsidRPr="00BF08CE">
        <w:rPr>
          <w:rFonts w:ascii="Times New Roman" w:hAnsi="Times New Roman" w:cs="Times New Roman"/>
          <w:sz w:val="28"/>
          <w:szCs w:val="28"/>
        </w:rPr>
        <w:t xml:space="preserve">остром периоде 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постгипоксической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энцефалопатии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 показана терапия, направленная на снижение энергетических потребностей мозга. Для пациентов, получающих высокие дозы 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 производных или постоянную</w:t>
      </w:r>
      <w:r w:rsidR="00416B07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 в течение 7 дней, рекомендуется прекращение введения препаратов со снижением дозы на 10–30% в день для предупреждения симптомов отмены [87, 88].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F08CE" w:rsidRPr="00BF08CE" w:rsidRDefault="00416B07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="00BF08CE" w:rsidRPr="00BF08CE">
        <w:rPr>
          <w:rFonts w:ascii="Times New Roman" w:hAnsi="Times New Roman" w:cs="Times New Roman"/>
          <w:sz w:val="28"/>
          <w:szCs w:val="28"/>
        </w:rPr>
        <w:t>алгоседация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 у этих пациентов приводит к повышению внутричерепного давления, 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дисциркуляторным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 изменениям, гипоксии, нарушению текучих свойств крови, жировой эмболии, синдрому 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диссеминированного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 внутрисосудистого свертывания, отеку-набуханию мозга, истощению системы эндорфинов, 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диэнцефальным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 кризам. Терапия первых 3 ч 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постгипоксического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 периода для всех пациентов, перенесших терминальное состояние, идентична (дозы и схема лечения приводятся для взрослого со средней массой тела 70–80 кг) и включает введение препаратов, снижающих энергетические потребности мозга: 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 производные или 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. Согласно американскому руководству по ведению пациентов с 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постгипоксической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энцефалопатией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 xml:space="preserve"> вследствие травматического повреждения головного мозга, рекомендовано назначение центральных агонистов альфа-2 рецепторов (</w:t>
      </w:r>
      <w:proofErr w:type="spellStart"/>
      <w:r w:rsidR="00BF08CE" w:rsidRPr="00BF08CE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  <w:r w:rsidR="00BF08CE" w:rsidRPr="00BF08CE">
        <w:rPr>
          <w:rFonts w:ascii="Times New Roman" w:hAnsi="Times New Roman" w:cs="Times New Roman"/>
          <w:sz w:val="28"/>
          <w:szCs w:val="28"/>
        </w:rPr>
        <w:t>) под контролем артериального давления [91].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Соблюдение основных принципов проведения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в ОАРИТ, в первую очередь обеспечения адекватной анальгезии, а также разработка надежных алгоритмов и шкал оценки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непосредственно у постели пациента позволяют улучшить качество лечения. Современные методы оценки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статуса пациентов в ОАРИТ дают возможность контролировать исходы, связанные с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нефармакологическими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 фармакологическими методами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аналгоседации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, осуществлять мониторинг и управление уровнем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. У большинства пациентов ОАРИТ обеспечение легкой степени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связано с лучшими клиническими исходами.</w:t>
      </w:r>
    </w:p>
    <w:p w:rsidR="00BF08CE" w:rsidRPr="00BF08CE" w:rsidRDefault="00BF08CE" w:rsidP="00416B0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>У пациентов ОАРИТ рекомендуется проведение профилактики возникновения</w:t>
      </w:r>
      <w:r w:rsidR="00416B07">
        <w:rPr>
          <w:rFonts w:ascii="Times New Roman" w:hAnsi="Times New Roman" w:cs="Times New Roman"/>
          <w:sz w:val="28"/>
          <w:szCs w:val="28"/>
        </w:rPr>
        <w:t xml:space="preserve"> </w:t>
      </w:r>
      <w:r w:rsidRPr="00BF08CE">
        <w:rPr>
          <w:rFonts w:ascii="Times New Roman" w:hAnsi="Times New Roman" w:cs="Times New Roman"/>
          <w:sz w:val="28"/>
          <w:szCs w:val="28"/>
        </w:rPr>
        <w:t>возбуждения [17]</w:t>
      </w:r>
      <w:r w:rsidR="00416B07">
        <w:rPr>
          <w:rFonts w:ascii="Times New Roman" w:hAnsi="Times New Roman" w:cs="Times New Roman"/>
          <w:sz w:val="28"/>
          <w:szCs w:val="28"/>
        </w:rPr>
        <w:t xml:space="preserve">. </w:t>
      </w:r>
      <w:r w:rsidRPr="00BF08CE">
        <w:rPr>
          <w:rFonts w:ascii="Times New Roman" w:hAnsi="Times New Roman" w:cs="Times New Roman"/>
          <w:sz w:val="28"/>
          <w:szCs w:val="28"/>
        </w:rPr>
        <w:t>профилактика возникновения возбуждения у пациентов в ОАРИТ включает следующие мероприятия: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>адекватное обезболивание;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своевременное проведение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седативной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416B07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предпочтение легкой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при отсутствии показаний к глубокой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>;</w:t>
      </w:r>
    </w:p>
    <w:p w:rsidR="00BF08CE" w:rsidRPr="00BF08CE" w:rsidRDefault="00BF08CE" w:rsidP="00416B0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 xml:space="preserve"> регулярная оценка уровня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 xml:space="preserve"> или возбуждения с помощью </w:t>
      </w:r>
      <w:proofErr w:type="spellStart"/>
      <w:r w:rsidRPr="00BF08CE">
        <w:rPr>
          <w:rFonts w:ascii="Times New Roman" w:hAnsi="Times New Roman" w:cs="Times New Roman"/>
          <w:sz w:val="28"/>
          <w:szCs w:val="28"/>
        </w:rPr>
        <w:t>оценочныхшкал</w:t>
      </w:r>
      <w:proofErr w:type="spellEnd"/>
      <w:r w:rsidRPr="00BF08CE">
        <w:rPr>
          <w:rFonts w:ascii="Times New Roman" w:hAnsi="Times New Roman" w:cs="Times New Roman"/>
          <w:sz w:val="28"/>
          <w:szCs w:val="28"/>
        </w:rPr>
        <w:t>;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>частое общение медицинского персонала с пациентами, объяснение</w:t>
      </w:r>
    </w:p>
    <w:p w:rsidR="008A04AE" w:rsidRDefault="00BF08CE" w:rsidP="008A04AE">
      <w:pPr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>проводимых процедур лечения и ухода, привлечение родственников;</w:t>
      </w:r>
    </w:p>
    <w:p w:rsidR="00BF08CE" w:rsidRPr="00BF08CE" w:rsidRDefault="008A04AE" w:rsidP="008A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08CE" w:rsidRPr="00BF08CE">
        <w:rPr>
          <w:rFonts w:ascii="Times New Roman" w:hAnsi="Times New Roman" w:cs="Times New Roman"/>
          <w:sz w:val="28"/>
          <w:szCs w:val="28"/>
        </w:rPr>
        <w:t xml:space="preserve"> ориентировка пациентов во времени и пространстве;</w:t>
      </w:r>
    </w:p>
    <w:p w:rsidR="00BF08CE" w:rsidRPr="00BF08CE" w:rsidRDefault="00BF08CE" w:rsidP="00BF08C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F08CE">
        <w:rPr>
          <w:rFonts w:ascii="Times New Roman" w:hAnsi="Times New Roman" w:cs="Times New Roman"/>
          <w:sz w:val="28"/>
          <w:szCs w:val="28"/>
        </w:rPr>
        <w:t>физическая активность, ранняя мобилизация пациентов;</w:t>
      </w:r>
    </w:p>
    <w:p w:rsidR="00BF08CE" w:rsidRPr="00BF08CE" w:rsidRDefault="008A04AE" w:rsidP="008A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08CE" w:rsidRPr="00BF08CE">
        <w:rPr>
          <w:rFonts w:ascii="Times New Roman" w:hAnsi="Times New Roman" w:cs="Times New Roman"/>
          <w:sz w:val="28"/>
          <w:szCs w:val="28"/>
        </w:rPr>
        <w:t>избегание ненужной фиксации пациентов;</w:t>
      </w:r>
    </w:p>
    <w:p w:rsidR="00BF08CE" w:rsidRDefault="008A04AE" w:rsidP="008A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08CE" w:rsidRPr="00BF08CE">
        <w:rPr>
          <w:rFonts w:ascii="Times New Roman" w:hAnsi="Times New Roman" w:cs="Times New Roman"/>
          <w:sz w:val="28"/>
          <w:szCs w:val="28"/>
        </w:rPr>
        <w:t>уменьшение шума; обеспечение ночного сна.</w:t>
      </w:r>
    </w:p>
    <w:p w:rsidR="00910FA0" w:rsidRDefault="00910FA0" w:rsidP="008A04AE">
      <w:pPr>
        <w:rPr>
          <w:rFonts w:ascii="Times New Roman" w:hAnsi="Times New Roman" w:cs="Times New Roman"/>
          <w:sz w:val="28"/>
          <w:szCs w:val="28"/>
        </w:rPr>
      </w:pPr>
    </w:p>
    <w:p w:rsidR="00910FA0" w:rsidRDefault="00910FA0" w:rsidP="008A04AE">
      <w:pPr>
        <w:rPr>
          <w:rFonts w:ascii="Times New Roman" w:hAnsi="Times New Roman" w:cs="Times New Roman"/>
          <w:sz w:val="28"/>
          <w:szCs w:val="28"/>
        </w:rPr>
      </w:pPr>
    </w:p>
    <w:p w:rsidR="00910FA0" w:rsidRDefault="00910FA0" w:rsidP="008A04AE">
      <w:pPr>
        <w:rPr>
          <w:rFonts w:ascii="Times New Roman" w:hAnsi="Times New Roman" w:cs="Times New Roman"/>
          <w:sz w:val="28"/>
          <w:szCs w:val="28"/>
        </w:rPr>
      </w:pPr>
    </w:p>
    <w:p w:rsidR="00910FA0" w:rsidRDefault="00910FA0" w:rsidP="008A04AE">
      <w:pPr>
        <w:rPr>
          <w:rFonts w:ascii="Times New Roman" w:hAnsi="Times New Roman" w:cs="Times New Roman"/>
          <w:sz w:val="28"/>
          <w:szCs w:val="28"/>
        </w:rPr>
      </w:pPr>
    </w:p>
    <w:p w:rsidR="00910FA0" w:rsidRDefault="00910FA0" w:rsidP="008A04AE">
      <w:pPr>
        <w:rPr>
          <w:rFonts w:ascii="Times New Roman" w:hAnsi="Times New Roman" w:cs="Times New Roman"/>
          <w:sz w:val="28"/>
          <w:szCs w:val="28"/>
        </w:rPr>
      </w:pPr>
    </w:p>
    <w:p w:rsidR="00910FA0" w:rsidRDefault="00910FA0" w:rsidP="008A04AE">
      <w:pPr>
        <w:rPr>
          <w:rFonts w:ascii="Times New Roman" w:hAnsi="Times New Roman" w:cs="Times New Roman"/>
          <w:sz w:val="28"/>
          <w:szCs w:val="28"/>
        </w:rPr>
      </w:pPr>
    </w:p>
    <w:p w:rsidR="00910FA0" w:rsidRDefault="00910FA0" w:rsidP="008A04AE">
      <w:pPr>
        <w:rPr>
          <w:rFonts w:ascii="Times New Roman" w:hAnsi="Times New Roman" w:cs="Times New Roman"/>
          <w:sz w:val="28"/>
          <w:szCs w:val="28"/>
        </w:rPr>
      </w:pPr>
    </w:p>
    <w:p w:rsidR="00910FA0" w:rsidRDefault="00910FA0" w:rsidP="00910FA0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Riker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R.R., Fraser G.L.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Altering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intensive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paradigms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patient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outcomes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Clin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>. — 2009. — Vol. 25. — P. 527–538.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2. The San Diego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Patient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Council. ICU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Guidelines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>. — 2009.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3. Fraser G.L., Prato B.S.,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Riker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R.R.,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Berthiaume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D., Wilkins M.L.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agitation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in ICU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Incidence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severity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versus the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elderly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Pharmacotherapy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>, 2000. — Vol. 20. — P. 75–82.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Belda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J.F.,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Soro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M.,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Badenes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R. et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predictive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pharmacokinetic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manually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adjusted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infusion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liquid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sevofluorane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with the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Anesthetic-Conserving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Device (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AnaConDa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): a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Anesth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Analg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>. — 2008. — Vol. 106. — P. 1207–1214.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/ Еd. J.L. Vincent et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6th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ed. — 1698 p.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DeBiasi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Akgün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K. M.,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Pisani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Agitation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in the ICU.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Semin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Respir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2015;36:899–913.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7. Devlin J.W., Fraser G.L, Ely W.,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Kress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J. P. et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Pharmacological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Delirium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inMechanically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Ventilated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ICU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Remaining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Evidence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Gaps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Controversies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Semin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Respir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2013;34:201–215.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8. Козлов И.А. Современные подходы к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в отделениях реанимации и интенсивной терапии // Медицинский алфавит. Неотложная медицина. — 2013. — No1. — С. 22–31.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Rivosecchi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RM, Kane-Gill SL,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Svec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S, et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nonpharmacologic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prevent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intensive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delirium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J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2016; 31:206211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Shehabi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Y, Chan L,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Kadiman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S, et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Intensive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(SPICE) Study Group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Investigators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depth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long-term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mortality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mechanically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ventilated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critically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ill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adults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prospective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longitudinal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multicentre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cohort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Intensive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2013; 39:910918.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11. Yang KS, Habib AS, Lu M, et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prospective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incidence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adverse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events in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nurse-administered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moderate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guided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scores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bispectral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Anesth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Analg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2014; 119:4348.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Shehabi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Y,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Bellomo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R,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Reade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MC, et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Intensive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(SPICE) Study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Investigators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; ANZICS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Trials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Group: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intensive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predicts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long-term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mortality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ventilated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critically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ill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Am J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Respir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2012; 186:724731.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13. Овечкин А.М.,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Кориенко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И.Б., Уваров Д.Н. Анальгезия и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в интенсивной терапии // Интенсивная терапия. Краткое издание / под ред.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Б.Р.Гельфанда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И.Б.Заболотских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>. – М.: ГЭОТАР-Медиа. – 2012. No 4. С.152-164.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14. Walsh TS,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Kydonaki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K, Antonelli J, et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Intensive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(DESIST) Study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Investigators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Staff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analgesia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lastRenderedPageBreak/>
        <w:t>feedback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, and a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analgesia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critically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ill,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mechanically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ventilated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randomised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trial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Lancet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Respir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2016; 4:807817.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Treggiari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M: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Randomized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trial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versus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illness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2010, 38(1):349-350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16. Cohen D.,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Horiuchi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K., Kemper M. et.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Modulating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propofol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metabolic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cardiopulmonary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responses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stressful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intensive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unit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proce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dures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>. — 1996. — Vol. 24. — P. 612–617.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17. Vincent JL. 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Shehabi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Y.,. Walsh T. S.,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Pandharipande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P.P, et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Comfort and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patient‐centred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excessive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: the eCASH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Intensive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(2016) 42:962–971.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DAS-Taskforce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2015, Baron R,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Binder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Biniek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R,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Braune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Buerkle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H et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(2015)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Evidence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consensus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guideline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for the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delirium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analgesia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intensive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Revision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2015 (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DAS-Guideline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2015)—short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Ger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Sci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13:Doc19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>.</w:t>
      </w:r>
    </w:p>
    <w:p w:rsidR="00910FA0" w:rsidRPr="00910FA0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19. Oddo M.,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Crippa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I.A., Mehta S.,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Menon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D.,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Payen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J.-F.,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Taccone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F.S.,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Citerio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Optimizing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sedation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acute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injury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(2016) 20:128/DOI 10.1186/s13054-016-1294-5/</w:t>
      </w:r>
    </w:p>
    <w:p w:rsidR="00910FA0" w:rsidRPr="00672D65" w:rsidRDefault="00910FA0" w:rsidP="00910F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0FA0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Papazian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Forel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JM,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Gacouin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A, et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Neuromuscular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blockers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acute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respiratory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distress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. N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Engl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910FA0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10FA0">
        <w:rPr>
          <w:rFonts w:ascii="Times New Roman" w:hAnsi="Times New Roman" w:cs="Times New Roman"/>
          <w:sz w:val="28"/>
          <w:szCs w:val="28"/>
        </w:rPr>
        <w:t xml:space="preserve"> 2010;363:1107-16.</w:t>
      </w:r>
    </w:p>
    <w:sectPr w:rsidR="00910FA0" w:rsidRPr="0067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027F" w:rsidRDefault="00CA027F" w:rsidP="00CA027F">
      <w:r>
        <w:separator/>
      </w:r>
    </w:p>
  </w:endnote>
  <w:endnote w:type="continuationSeparator" w:id="0">
    <w:p w:rsidR="00CA027F" w:rsidRDefault="00CA027F" w:rsidP="00C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027F" w:rsidRDefault="00CA027F" w:rsidP="00CA027F">
      <w:r>
        <w:separator/>
      </w:r>
    </w:p>
  </w:footnote>
  <w:footnote w:type="continuationSeparator" w:id="0">
    <w:p w:rsidR="00CA027F" w:rsidRDefault="00CA027F" w:rsidP="00CA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2E"/>
    <w:rsid w:val="00013348"/>
    <w:rsid w:val="00052730"/>
    <w:rsid w:val="001037FE"/>
    <w:rsid w:val="00142216"/>
    <w:rsid w:val="002122C2"/>
    <w:rsid w:val="00220A9F"/>
    <w:rsid w:val="002300B2"/>
    <w:rsid w:val="0026358D"/>
    <w:rsid w:val="003929C9"/>
    <w:rsid w:val="00416B07"/>
    <w:rsid w:val="004253D9"/>
    <w:rsid w:val="00440B8D"/>
    <w:rsid w:val="004703AF"/>
    <w:rsid w:val="00504D1A"/>
    <w:rsid w:val="006047E3"/>
    <w:rsid w:val="0063472E"/>
    <w:rsid w:val="006474C8"/>
    <w:rsid w:val="00672D65"/>
    <w:rsid w:val="00757CED"/>
    <w:rsid w:val="00796F2C"/>
    <w:rsid w:val="007B0035"/>
    <w:rsid w:val="007B1B48"/>
    <w:rsid w:val="00827C31"/>
    <w:rsid w:val="0085742A"/>
    <w:rsid w:val="00887C83"/>
    <w:rsid w:val="008A04AE"/>
    <w:rsid w:val="008A35F0"/>
    <w:rsid w:val="008C5928"/>
    <w:rsid w:val="008C595D"/>
    <w:rsid w:val="00910FA0"/>
    <w:rsid w:val="0096320F"/>
    <w:rsid w:val="00982863"/>
    <w:rsid w:val="00A91B40"/>
    <w:rsid w:val="00AA5483"/>
    <w:rsid w:val="00BB48C5"/>
    <w:rsid w:val="00BE4231"/>
    <w:rsid w:val="00BE778D"/>
    <w:rsid w:val="00BF08CE"/>
    <w:rsid w:val="00BF4902"/>
    <w:rsid w:val="00C63147"/>
    <w:rsid w:val="00CA027F"/>
    <w:rsid w:val="00DC3C70"/>
    <w:rsid w:val="00DC46B4"/>
    <w:rsid w:val="00E06922"/>
    <w:rsid w:val="00ED2482"/>
    <w:rsid w:val="00F00F5C"/>
    <w:rsid w:val="00F11513"/>
    <w:rsid w:val="00F27097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04B98"/>
  <w15:chartTrackingRefBased/>
  <w15:docId w15:val="{0116D546-E1CB-D645-8179-37C36A1F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8A35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8A35F0"/>
  </w:style>
  <w:style w:type="character" w:customStyle="1" w:styleId="apple-converted-space">
    <w:name w:val="apple-converted-space"/>
    <w:basedOn w:val="a0"/>
    <w:rsid w:val="008A35F0"/>
  </w:style>
  <w:style w:type="paragraph" w:styleId="a3">
    <w:name w:val="endnote text"/>
    <w:basedOn w:val="a"/>
    <w:link w:val="a4"/>
    <w:uiPriority w:val="99"/>
    <w:semiHidden/>
    <w:unhideWhenUsed/>
    <w:rsid w:val="00CA027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A027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A0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5574</Words>
  <Characters>31774</Characters>
  <Application>Microsoft Office Word</Application>
  <DocSecurity>0</DocSecurity>
  <Lines>264</Lines>
  <Paragraphs>74</Paragraphs>
  <ScaleCrop>false</ScaleCrop>
  <Company/>
  <LinksUpToDate>false</LinksUpToDate>
  <CharactersWithSpaces>37274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mb_me.mary@mail.ru</dc:creator>
  <cp:keywords/>
  <dc:description/>
  <cp:lastModifiedBy>Мария Бондаренко</cp:lastModifiedBy>
  <cp:revision>2</cp:revision>
  <dcterms:created xsi:type="dcterms:W3CDTF">2021-01-06T09:10:00Z</dcterms:created>
  <dcterms:modified xsi:type="dcterms:W3CDTF">2021-01-06T09:10:00Z</dcterms:modified>
</cp:coreProperties>
</file>