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7F" w:rsidRDefault="002962F8">
      <w:pPr>
        <w:spacing w:after="1" w:line="259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 </w:t>
      </w:r>
    </w:p>
    <w:p w:rsidR="001C397F" w:rsidRDefault="002962F8">
      <w:pPr>
        <w:spacing w:after="1" w:line="259" w:lineRule="auto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b/>
          <w:sz w:val="26"/>
        </w:rPr>
        <w:t>ВЫСШЕГО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397F" w:rsidRDefault="002962F8">
      <w:pPr>
        <w:spacing w:line="259" w:lineRule="auto"/>
        <w:ind w:left="143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КРАСНОЯРСКИЙ  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 МЕДИЦИНСКИЙ  УНИВЕРСИТЕТ ИМЕНИ ПРОФЕССОРА </w:t>
      </w:r>
    </w:p>
    <w:p w:rsidR="001C397F" w:rsidRDefault="002962F8">
      <w:pPr>
        <w:spacing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В.Ф. ВОЙНО-ЯСЕНЕЦКОГО» </w:t>
      </w:r>
    </w:p>
    <w:p w:rsidR="001C397F" w:rsidRDefault="002962F8">
      <w:pPr>
        <w:spacing w:after="924" w:line="498" w:lineRule="auto"/>
        <w:ind w:left="2071" w:right="637" w:hanging="364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МИНИСТЕРСТВА ЗДРАВООХРАНЕНИЯ РОССИЙСКОЙ ФЕДЕРАЦИИ </w:t>
      </w:r>
      <w:r>
        <w:rPr>
          <w:rFonts w:ascii="Times New Roman" w:eastAsia="Times New Roman" w:hAnsi="Times New Roman" w:cs="Times New Roman"/>
          <w:sz w:val="28"/>
        </w:rPr>
        <w:t xml:space="preserve">Кафедра общей хирургии им. проф. </w:t>
      </w:r>
      <w:proofErr w:type="spellStart"/>
      <w:r>
        <w:rPr>
          <w:rFonts w:ascii="Times New Roman" w:eastAsia="Times New Roman" w:hAnsi="Times New Roman" w:cs="Times New Roman"/>
          <w:sz w:val="28"/>
        </w:rPr>
        <w:t>М.И.Гульмана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397F" w:rsidRDefault="002962F8">
      <w:pPr>
        <w:spacing w:line="259" w:lineRule="auto"/>
        <w:ind w:left="0" w:right="6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РЕФЕРАТ: </w:t>
      </w:r>
    </w:p>
    <w:p w:rsidR="001C397F" w:rsidRDefault="002962F8">
      <w:pPr>
        <w:spacing w:after="3282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Анальная трещина </w:t>
      </w:r>
    </w:p>
    <w:p w:rsidR="001C397F" w:rsidRDefault="002962F8">
      <w:pPr>
        <w:spacing w:after="10" w:line="267" w:lineRule="auto"/>
        <w:ind w:left="5522" w:right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Выполнил: ординатор </w:t>
      </w:r>
    </w:p>
    <w:p w:rsidR="009E48EC" w:rsidRDefault="009E48EC">
      <w:pPr>
        <w:spacing w:after="10" w:line="267" w:lineRule="auto"/>
        <w:ind w:left="5522" w:right="0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Сагаан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Чаян Яковлевич</w:t>
      </w:r>
    </w:p>
    <w:p w:rsidR="001C397F" w:rsidRDefault="002962F8">
      <w:pPr>
        <w:spacing w:after="10" w:line="267" w:lineRule="auto"/>
        <w:ind w:left="5522" w:right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Проверил: д.м.н. профессор </w:t>
      </w:r>
      <w:proofErr w:type="gramStart"/>
      <w:r>
        <w:rPr>
          <w:rFonts w:ascii="Times New Roman" w:eastAsia="Times New Roman" w:hAnsi="Times New Roman" w:cs="Times New Roman"/>
          <w:sz w:val="28"/>
        </w:rPr>
        <w:t>кафедры  общей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хирургии </w:t>
      </w:r>
      <w:proofErr w:type="spellStart"/>
      <w:r>
        <w:rPr>
          <w:rFonts w:ascii="Times New Roman" w:eastAsia="Times New Roman" w:hAnsi="Times New Roman" w:cs="Times New Roman"/>
          <w:sz w:val="28"/>
        </w:rPr>
        <w:t>им.проф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C397F" w:rsidRDefault="002962F8">
      <w:pPr>
        <w:spacing w:after="4097" w:line="259" w:lineRule="auto"/>
        <w:ind w:left="0" w:right="824" w:firstLine="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М.И.Гульмана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Захарченко А.А. </w:t>
      </w:r>
    </w:p>
    <w:p w:rsidR="009E48EC" w:rsidRDefault="009E48EC">
      <w:pPr>
        <w:spacing w:line="259" w:lineRule="auto"/>
        <w:ind w:left="0" w:right="7" w:firstLine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E48EC" w:rsidRDefault="009E48EC">
      <w:pPr>
        <w:spacing w:line="259" w:lineRule="auto"/>
        <w:ind w:left="0" w:right="7" w:firstLine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E48EC" w:rsidRDefault="009E48EC">
      <w:pPr>
        <w:spacing w:line="259" w:lineRule="auto"/>
        <w:ind w:left="0" w:right="7" w:firstLine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E48EC" w:rsidRDefault="009E48EC">
      <w:pPr>
        <w:spacing w:line="259" w:lineRule="auto"/>
        <w:ind w:left="0" w:right="7" w:firstLine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1C397F" w:rsidRDefault="002962F8">
      <w:pPr>
        <w:spacing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Красноярск 2016 </w:t>
      </w:r>
    </w:p>
    <w:p w:rsidR="001C397F" w:rsidRDefault="002962F8">
      <w:pPr>
        <w:spacing w:after="378"/>
        <w:ind w:left="-5" w:right="0"/>
      </w:pPr>
      <w:r>
        <w:t xml:space="preserve">Причины возникновения и механизмы развития анальных трещин разнообразны. По мнению </w:t>
      </w:r>
      <w:proofErr w:type="gramStart"/>
      <w:r>
        <w:t>большинства исследователей</w:t>
      </w:r>
      <w:proofErr w:type="gramEnd"/>
      <w:r>
        <w:t xml:space="preserve"> наиболее частая причина возникновения трещин — механическая. При этом большое значение имеют не только консистенция каловых масс, но и анатомическ</w:t>
      </w:r>
      <w:r>
        <w:t>ие особенности строения мужского и женского таза (в первом случае в основном возникают задние трещины, в то время как у женщин, которые по статистике болеют чаще мужчин, преобладают передние анальные трещины). На первом этапе возникает дефект слизистой обо</w:t>
      </w:r>
      <w:r>
        <w:t xml:space="preserve">лочки анального канала, а затем последовательно происходит его инфицирование, очищение и заживление дефекта. Как показали научные исследования, основную роль в процессе регенерации играет местный иммунитет, а </w:t>
      </w:r>
      <w:proofErr w:type="spellStart"/>
      <w:r>
        <w:t>хронизация</w:t>
      </w:r>
      <w:proofErr w:type="spellEnd"/>
      <w:r>
        <w:t xml:space="preserve"> трещин является следствием нарушения</w:t>
      </w:r>
      <w:r>
        <w:t xml:space="preserve"> функции последней. </w:t>
      </w:r>
      <w:proofErr w:type="spellStart"/>
      <w:r>
        <w:t>Повидимому</w:t>
      </w:r>
      <w:proofErr w:type="spellEnd"/>
      <w:r>
        <w:t>, в ряде случаев первопричиной развития трещин могут быть и воспалительные процессы в анальном канале, связанные с нарушением местного иммунитета. У некоторых больных фактором риска развития заболевания являются сосудистые изм</w:t>
      </w:r>
      <w:r>
        <w:t>енения. Действительно, анальные трещины часто сочетаются с геморроем. Ликвидация застоя крови и улучшение кровотока, то есть основных проявлений геморроя, способствуют заживлению трещин. Весьма существенной, хотя и наиболее неизученной остается роль нейроц</w:t>
      </w:r>
      <w:r>
        <w:t xml:space="preserve">иркуляторных нарушений, ответственных за возникновение спазма сфинктеров. Возможность воздействия на это звено патогенеза с помощью </w:t>
      </w:r>
      <w:proofErr w:type="spellStart"/>
      <w:r>
        <w:t>нитропрепаратов</w:t>
      </w:r>
      <w:proofErr w:type="spellEnd"/>
      <w:r>
        <w:t xml:space="preserve"> подтвердило важность ликвидации спазма для заживления раны. Дальнейшее исследование механизмов возникновения</w:t>
      </w:r>
      <w:r>
        <w:t xml:space="preserve"> трещин будет способствовать улучшению результатов лечения. </w:t>
      </w:r>
    </w:p>
    <w:p w:rsidR="001C397F" w:rsidRDefault="002962F8">
      <w:pPr>
        <w:spacing w:after="372"/>
        <w:ind w:left="-5" w:right="0"/>
      </w:pPr>
      <w:r>
        <w:t xml:space="preserve">Распространенность </w:t>
      </w:r>
    </w:p>
    <w:p w:rsidR="001C397F" w:rsidRDefault="002962F8">
      <w:pPr>
        <w:spacing w:after="378"/>
        <w:ind w:left="-5" w:right="0"/>
      </w:pPr>
      <w:r>
        <w:t xml:space="preserve">Примерно 10–15% больных, обращающихся за помощью к проктологу, страдают анальными трещинами. На протяжении </w:t>
      </w:r>
      <w:proofErr w:type="gramStart"/>
      <w:r>
        <w:t>многих лет это</w:t>
      </w:r>
      <w:proofErr w:type="gramEnd"/>
      <w:r>
        <w:t xml:space="preserve"> заболевание занимает третье место по обращаемости пос</w:t>
      </w:r>
      <w:r>
        <w:t xml:space="preserve">ле синдрома раздраженной кишки и геморроя. Более 60% пациентов с анальной трещиной составляют женщины. </w:t>
      </w:r>
    </w:p>
    <w:p w:rsidR="001C397F" w:rsidRDefault="002962F8">
      <w:pPr>
        <w:ind w:left="-5" w:right="0"/>
      </w:pPr>
      <w:r>
        <w:t xml:space="preserve">Классификация анальных трещин </w:t>
      </w:r>
    </w:p>
    <w:p w:rsidR="001C397F" w:rsidRDefault="002962F8">
      <w:pPr>
        <w:ind w:left="-5" w:right="0"/>
      </w:pPr>
      <w:r>
        <w:lastRenderedPageBreak/>
        <w:t>Классификация анальных трещин отсутствует. По течению заболевания выделяют острые и хронические трещины. По локализации р</w:t>
      </w:r>
      <w:r>
        <w:t xml:space="preserve">азличают передние, расположенные на 12 часах по циферблату часов, и задние на 6 часах (копчиковая стенка анального канала), последние встречаются почти у 90% пациентов.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pStyle w:val="1"/>
        <w:ind w:left="-5"/>
      </w:pPr>
      <w:r>
        <w:t>Клиническая картина заболевания</w:t>
      </w:r>
      <w:r>
        <w:rPr>
          <w:b w:val="0"/>
        </w:rPr>
        <w:t xml:space="preserve">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ind w:left="-5" w:right="0"/>
      </w:pPr>
      <w:r>
        <w:t>Наиболее частым проявлением анальной трещины явля</w:t>
      </w:r>
      <w:r>
        <w:t>ется боль, связанная с дефекацией. Как правило, она возникает в момент опорожнения кишки и продолжается после завершения этого процесса около получаса. Такие клинические проявления чаще всего соответствуют острой анальной трещине. Иногда боли появляются пр</w:t>
      </w:r>
      <w:r>
        <w:t>и позыве на стул или носят постоянный характер. Продолжительный болевой синдром и малый эффект от анальгезирующей терапии, как правило, указывают на развитие спазма сфинктера. Последний сам способен усиливать боли при дефекации, что может привести к возник</w:t>
      </w:r>
      <w:r>
        <w:t>новению порочного круга, проявляющегося развитием стойкого спазма. Кровотечение чаще возникает в момент образования острой трещины и редко бывает обильным, хотя в первые сутки возможны даже выделения небольших сгустков крови. В дальнейшем выделение крови о</w:t>
      </w:r>
      <w:r>
        <w:t>тмечаются на туалетной бумаге, реже кровь капает в унитаз. При хронических анальных трещинах кровотечения часто связаны исключительно с нарушениями стула и редко вызывают сильные боли и спазм. Как и при геморрое, теряемая кровь чаще имеет алый цвет. При оп</w:t>
      </w:r>
      <w:r>
        <w:t>росе больных можно выявить факт нарушения стула, при этом следует помнить, что диарея приводит к возникновению трещин не реже, чем запор. Не менее опасен в плане возникновения трещины «тяжелый» грубый стул, спровоцированный приемом большого количества груб</w:t>
      </w:r>
      <w:r>
        <w:t>ой клетчатки без достаточного количества жидкости. В современных условиях при сборе анамнеза следует уточнить возможность анального секса, что позволяет не только установить причину заболевания, но и предпринять меры для исключения специфического характера</w:t>
      </w:r>
      <w:r>
        <w:t xml:space="preserve"> поражения. Прежде чем осмотреть больного, следует запомнить несколько неукоснительных правил. Следует строго соблюдать очередность проведения диагностических манипуляций, которые всегда начинаются с осмотра, проведение которого в положении стоя недопустим</w:t>
      </w:r>
      <w:r>
        <w:t xml:space="preserve">о. Пальцевое исследование анального канала следует </w:t>
      </w:r>
      <w:r>
        <w:lastRenderedPageBreak/>
        <w:t xml:space="preserve">проводить с использованием геля, содержащего </w:t>
      </w:r>
      <w:proofErr w:type="spellStart"/>
      <w:r>
        <w:t>лидокаин</w:t>
      </w:r>
      <w:proofErr w:type="spellEnd"/>
      <w:r>
        <w:t xml:space="preserve">, начиная манипуляцию со стороны здоровой стенки. Отсутствие визуальных признаков заболевания не является поводом для отказа от пальцевого исследования </w:t>
      </w:r>
      <w:r>
        <w:t xml:space="preserve">и дальнейшего лечения больного с предположительным диагнозом. Обнаруженные изменения следует интерпретировать с учетом давности заболевания и проведенного лечения.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ind w:left="-5" w:right="0"/>
      </w:pPr>
      <w:r>
        <w:t>При осмотре ануса следует правильно установить больного. Осмотр в положении на боку требу</w:t>
      </w:r>
      <w:r>
        <w:t xml:space="preserve">ет большого навыка и является вынужденной мерой. Предпочтительнее проводить осмотр на гинекологическом кресле или в коленно‐локтевом положении с хорошим прогибом спины внутрь. Последний прием позволяет хорошо раздвинуть ягодицы, кроме того, следует слегка </w:t>
      </w:r>
      <w:r>
        <w:t>растянуть кожу, и тогда на переходной слизистой может быть обнаружен дефект, иногда переходящий на кожу. Протяженность трещины обычно не превышает 1 см, хотя в ряде случаев дефект может достигать длины анального канала. При острой трещине дефект может быть</w:t>
      </w:r>
      <w:r>
        <w:t xml:space="preserve"> овальной формы, поверхностный, с ровными краями, в некоторых случаях дном трещины может быть сфинктер. Атипичное боковое расположение трещин, особенно в сочетании с множественным характером поражения чаще соответствует неправильному сексуальному контакту.</w:t>
      </w:r>
      <w:r>
        <w:t xml:space="preserve"> В случае хронической трещины могут быть обнаружены рубцы, иногда с проявлениями гиперкератоза, края трещины приподняты, дно ее ровное, иногда блестящее, покрытое «лаковыми грануляциями». Инфицированная трещина имеет тусклое дно и подрытые края. Исследован</w:t>
      </w:r>
      <w:r>
        <w:t>ие анального рефлекса, несмотря на простоту исполнения, затруднительно в части интерпретации полученных результатов. Результаты пальцевого исследования также во многом зависят от индивидуальных навыков, однако в любом случае форсированное введение пальца в</w:t>
      </w:r>
      <w:r>
        <w:t xml:space="preserve"> анальный канал недопустимо. Минимально при острой трещине удается обнаружить болезненность стенки анального канала и проявление спазма в момент ее осмотра, особенно ярко выраженного при вовлечении в процесс зоны зубчатой линии (граница прямой кишки и анал</w:t>
      </w:r>
      <w:r>
        <w:t xml:space="preserve">ьного канала). При достаточном опыте можно выявить дефект слизистой, в случае уплотнения краев трещины, и обнаружить сторожевой бугорок или гипертрофированный анальный сосочек. Дополнительное визуальное исследование анального канала с помощью зеркала или </w:t>
      </w:r>
      <w:proofErr w:type="spellStart"/>
      <w:r>
        <w:t>а</w:t>
      </w:r>
      <w:r>
        <w:t>носкопа</w:t>
      </w:r>
      <w:proofErr w:type="spellEnd"/>
      <w:r>
        <w:t xml:space="preserve"> проводится специалистами‐проктологами. </w:t>
      </w:r>
    </w:p>
    <w:p w:rsidR="001C397F" w:rsidRDefault="002962F8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:rsidR="001C397F" w:rsidRDefault="002962F8">
      <w:pPr>
        <w:pStyle w:val="1"/>
        <w:ind w:left="-5"/>
      </w:pPr>
      <w:r>
        <w:t>Осложнения анальной трещины</w:t>
      </w:r>
      <w:r>
        <w:rPr>
          <w:b w:val="0"/>
        </w:rPr>
        <w:t xml:space="preserve">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ind w:left="-5" w:right="0"/>
      </w:pPr>
      <w:r>
        <w:t xml:space="preserve">К наиболее частым осложнениям анальной трещины относят развитие стойкого спазма сфинктера, как правило, сопровождающееся нарушением процесса дефекации, иногда приводящее к </w:t>
      </w:r>
      <w:proofErr w:type="spellStart"/>
      <w:r>
        <w:t>коп</w:t>
      </w:r>
      <w:r>
        <w:t>ростазу</w:t>
      </w:r>
      <w:proofErr w:type="spellEnd"/>
      <w:r>
        <w:t>. Острый парапроктит встречается значительно реже, иногда трещина становится причиной возникновения неполного внутреннего свища прямой кишки. Массивные кишечные кровотечения возникают крайне редко, в основном в случае травматического характера разви</w:t>
      </w:r>
      <w:r>
        <w:t xml:space="preserve">тия трещины.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pStyle w:val="1"/>
        <w:ind w:left="-5"/>
      </w:pPr>
      <w:r>
        <w:t>Дифференциальная диагностика</w:t>
      </w:r>
      <w:r>
        <w:rPr>
          <w:b w:val="0"/>
        </w:rPr>
        <w:t xml:space="preserve"> </w:t>
      </w:r>
    </w:p>
    <w:p w:rsidR="001C397F" w:rsidRDefault="002962F8">
      <w:pPr>
        <w:ind w:left="-5" w:right="0"/>
      </w:pPr>
      <w:r>
        <w:t xml:space="preserve">Клинические проявления анальной трещины не отличаются специфичностью симптомов. При острой трещине или ее осложнениях дифференциальный диагноз проводится с острым геморроем, парапроктитом, криптитом, выпадением прямой кишки. Следует помнить, что криптит и </w:t>
      </w:r>
      <w:r>
        <w:t xml:space="preserve">геморрой весьма часто сочетаются с анальной трещиной. Поэтому для проведения дифференциальной диагностики следует полагаться не только на тщательный сбор анамнеза и пальцевое исследование (требующее большого навыка), но и на проведение визуального осмотра </w:t>
      </w:r>
      <w:r>
        <w:t xml:space="preserve">с помощью </w:t>
      </w:r>
      <w:proofErr w:type="spellStart"/>
      <w:r>
        <w:t>аноскопа</w:t>
      </w:r>
      <w:proofErr w:type="spellEnd"/>
      <w:r>
        <w:t xml:space="preserve"> или ректального зеркала. В случае выявления глубокой трещины с подрытыми краями, похожей на язву, следует исключать поражение анального канала болезнью Крона, специфические половые инфекции или развитие опухоли анального канала. У больны</w:t>
      </w:r>
      <w:r>
        <w:t>х, имевших половой анальный контакт, следует исключать травму сфинктера, прямой кишки или наличие инородного тела. В случае любого обращения больного с трещиной к терапевту или врачу общей практики, кроме назначения простого консервативного лечения, он дол</w:t>
      </w:r>
      <w:r>
        <w:t xml:space="preserve">жен получить направление на консультацию к специалисту‐проктологу.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pStyle w:val="1"/>
        <w:ind w:left="-5"/>
      </w:pPr>
      <w:r>
        <w:t>Консервативное лечение</w:t>
      </w:r>
      <w:r>
        <w:rPr>
          <w:b w:val="0"/>
        </w:rPr>
        <w:t xml:space="preserve"> </w:t>
      </w:r>
    </w:p>
    <w:p w:rsidR="001C397F" w:rsidRDefault="002962F8">
      <w:pPr>
        <w:ind w:left="-5" w:right="0"/>
      </w:pPr>
      <w:r>
        <w:t xml:space="preserve">Выбор способа лечения анальной трещины, как правило, определяется стадией заболевания или характером </w:t>
      </w:r>
      <w:proofErr w:type="spellStart"/>
      <w:r>
        <w:t>развившихся</w:t>
      </w:r>
      <w:proofErr w:type="spellEnd"/>
      <w:r>
        <w:t xml:space="preserve"> осложнений. Диета для больных с трещиной исключае</w:t>
      </w:r>
      <w:r>
        <w:t xml:space="preserve">т употребление алкоголя, специй, жареных продуктов. Как правило, рекомендуется </w:t>
      </w:r>
      <w:proofErr w:type="spellStart"/>
      <w:r>
        <w:t>белково</w:t>
      </w:r>
      <w:proofErr w:type="spellEnd"/>
      <w:r>
        <w:t xml:space="preserve">‐растительная диета 3 (стол с высоким содержанием клетчатки и употреблением повышенного </w:t>
      </w:r>
      <w:r>
        <w:lastRenderedPageBreak/>
        <w:t xml:space="preserve">количества жидкости для достижения мягкой консистенции каловых масс). У больных с </w:t>
      </w:r>
      <w:r>
        <w:t xml:space="preserve">хроническими запорами или «овечьим калом» допустимо на период лечения, но не более трех недель рекомендовать прием вазелинового масла или жидких парафинов. У пациентов с сопутствующими заболеваниями толстой кишки, </w:t>
      </w:r>
      <w:proofErr w:type="gramStart"/>
      <w:r>
        <w:t>как то</w:t>
      </w:r>
      <w:proofErr w:type="gramEnd"/>
      <w:r>
        <w:t xml:space="preserve"> синдром раздраженной толстой кишки,</w:t>
      </w:r>
      <w:r>
        <w:t xml:space="preserve"> </w:t>
      </w:r>
      <w:proofErr w:type="spellStart"/>
      <w:r>
        <w:t>дивертикулярная</w:t>
      </w:r>
      <w:proofErr w:type="spellEnd"/>
      <w:r>
        <w:t xml:space="preserve"> болезнь или неспецифические колиты, диета должна быть направлена на нормализацию стула.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ind w:left="-5" w:right="0"/>
      </w:pPr>
      <w:r>
        <w:t>Особое внимание больных следует обратить на выполнение гигиенических мероприятий. В острый период заболевания следует рекомендовать негорячий душ 2–</w:t>
      </w:r>
      <w:r>
        <w:t>3 раза в сутки и обязательно после стула, при этом необходимо промывать не только кожу промежности и анальное отверстие, но и сам анальный канал. В тех случаях, когда водные процедуры недоступны, следует рекомендовать применение специальных влажных гигиени</w:t>
      </w:r>
      <w:r>
        <w:t xml:space="preserve">ческих салфеток. </w:t>
      </w:r>
    </w:p>
    <w:p w:rsidR="001C397F" w:rsidRDefault="002962F8">
      <w:pPr>
        <w:ind w:left="-5" w:right="0"/>
      </w:pPr>
      <w:r>
        <w:t xml:space="preserve">В случае сочетания трещины с геморроем для лечения последнего следует назначить препараты, содержащие </w:t>
      </w:r>
      <w:proofErr w:type="spellStart"/>
      <w:r>
        <w:t>биофлаваноиды</w:t>
      </w:r>
      <w:proofErr w:type="spellEnd"/>
      <w:r>
        <w:t xml:space="preserve"> (</w:t>
      </w:r>
      <w:proofErr w:type="spellStart"/>
      <w:r>
        <w:t>диосмин</w:t>
      </w:r>
      <w:proofErr w:type="spellEnd"/>
      <w:r>
        <w:t xml:space="preserve"> и </w:t>
      </w:r>
      <w:proofErr w:type="spellStart"/>
      <w:r>
        <w:t>гесперидин</w:t>
      </w:r>
      <w:proofErr w:type="spellEnd"/>
      <w:r>
        <w:t xml:space="preserve">). </w:t>
      </w:r>
    </w:p>
    <w:p w:rsidR="001C397F" w:rsidRDefault="002962F8">
      <w:pPr>
        <w:pStyle w:val="1"/>
        <w:ind w:left="-5"/>
      </w:pPr>
      <w:r>
        <w:t xml:space="preserve">Местная терапия </w:t>
      </w:r>
    </w:p>
    <w:p w:rsidR="001C397F" w:rsidRDefault="002962F8">
      <w:pPr>
        <w:ind w:left="-5" w:right="0"/>
      </w:pPr>
      <w:r>
        <w:t xml:space="preserve">Цель местного лечения: снятие воспаления, </w:t>
      </w:r>
      <w:proofErr w:type="spellStart"/>
      <w:r>
        <w:t>cтимуляция</w:t>
      </w:r>
      <w:proofErr w:type="spellEnd"/>
      <w:r>
        <w:t xml:space="preserve"> процессов репарации и аналг</w:t>
      </w:r>
      <w:r>
        <w:t xml:space="preserve">езия. Для решения первых двух поставленных задач можно рекомендовать мазь </w:t>
      </w:r>
      <w:proofErr w:type="spellStart"/>
      <w:r>
        <w:t>Постеризан</w:t>
      </w:r>
      <w:proofErr w:type="spellEnd"/>
      <w:r>
        <w:t xml:space="preserve"> форте (или свечи аналогичного названия). Препарат содержит в себе суспензию культуры кишечной палочки и гидрокортизон. Метаболиты кишечной палочки способны усиливать местн</w:t>
      </w:r>
      <w:r>
        <w:t xml:space="preserve">ые иммунные реакции, сопровождающиеся освобождением цитокинов, особенно интралейкина‐1. Кроме того, суспензия культуры бактерий вызывает образование специфического иммуноглобулина А, который образует нежную пленку </w:t>
      </w:r>
      <w:proofErr w:type="gramStart"/>
      <w:r>
        <w:t>на слизистой кишечника</w:t>
      </w:r>
      <w:proofErr w:type="gramEnd"/>
      <w:r>
        <w:t>, выполняющую роль м</w:t>
      </w:r>
      <w:r>
        <w:t>естного защитного барьера. Гидрокортизон, являющийся вторым составляющим препарата, способствует скорейшему подавлению воспаления и ускоряет процессы регенерации тканей, индуцируемой суспензией культуры кишечной палочки. Мазь следует вводить с помощью спец</w:t>
      </w:r>
      <w:r>
        <w:t xml:space="preserve">иального аппликатора в положении лежа. Препарат назначается 2 раза в день, а в случае тяжелого воспалительного процесса, </w:t>
      </w:r>
      <w:proofErr w:type="gramStart"/>
      <w:r>
        <w:t>например</w:t>
      </w:r>
      <w:proofErr w:type="gramEnd"/>
      <w:r>
        <w:t xml:space="preserve"> у больных с неспецифическими колитами, кратность введения можно увеличить с учетом частоты стула. </w:t>
      </w:r>
      <w:r>
        <w:lastRenderedPageBreak/>
        <w:t>Максимальная продолжительнос</w:t>
      </w:r>
      <w:r>
        <w:t xml:space="preserve">ть лечения, как правило, не превышает трех недель. При необходимости продолжать терапию возможно использование свечей или мази </w:t>
      </w:r>
      <w:proofErr w:type="spellStart"/>
      <w:r>
        <w:t>Постеризан</w:t>
      </w:r>
      <w:proofErr w:type="spellEnd"/>
      <w:r>
        <w:t xml:space="preserve">, содержащих исключительно суспензию культуры бактерий. </w:t>
      </w:r>
    </w:p>
    <w:p w:rsidR="001C397F" w:rsidRDefault="002962F8">
      <w:pPr>
        <w:ind w:left="-5" w:right="0"/>
      </w:pPr>
      <w:r>
        <w:t xml:space="preserve"> Среди препаратов, обладающих </w:t>
      </w:r>
      <w:proofErr w:type="spellStart"/>
      <w:r>
        <w:t>аналгезирующим</w:t>
      </w:r>
      <w:proofErr w:type="spellEnd"/>
      <w:r>
        <w:t xml:space="preserve"> и </w:t>
      </w:r>
      <w:proofErr w:type="spellStart"/>
      <w:r>
        <w:t>репаративным</w:t>
      </w:r>
      <w:proofErr w:type="spellEnd"/>
      <w:r>
        <w:t xml:space="preserve"> эф</w:t>
      </w:r>
      <w:r>
        <w:t xml:space="preserve">фектом, следует рекомендовать свечи </w:t>
      </w:r>
      <w:proofErr w:type="spellStart"/>
      <w:r>
        <w:t>Релиф</w:t>
      </w:r>
      <w:proofErr w:type="spellEnd"/>
      <w:r>
        <w:t xml:space="preserve"> </w:t>
      </w:r>
      <w:proofErr w:type="spellStart"/>
      <w:r>
        <w:t>Адванс</w:t>
      </w:r>
      <w:proofErr w:type="spellEnd"/>
      <w:r>
        <w:t xml:space="preserve">. В состав входит 10,3% </w:t>
      </w:r>
      <w:proofErr w:type="spellStart"/>
      <w:r>
        <w:t>бензокаин</w:t>
      </w:r>
      <w:proofErr w:type="spellEnd"/>
      <w:r>
        <w:t xml:space="preserve">, обладающий быстрым </w:t>
      </w:r>
      <w:proofErr w:type="spellStart"/>
      <w:r>
        <w:t>аналгизирующим</w:t>
      </w:r>
      <w:proofErr w:type="spellEnd"/>
      <w:r>
        <w:t xml:space="preserve"> эффектом, кроме того, масло печени акулы, содержащее жирорастворимые витамины, свободные жирные кислоты, </w:t>
      </w:r>
      <w:proofErr w:type="spellStart"/>
      <w:r>
        <w:t>сквален</w:t>
      </w:r>
      <w:proofErr w:type="spellEnd"/>
      <w:r>
        <w:t xml:space="preserve"> и </w:t>
      </w:r>
      <w:proofErr w:type="spellStart"/>
      <w:r>
        <w:t>алкилглицерол</w:t>
      </w:r>
      <w:proofErr w:type="spellEnd"/>
      <w:r>
        <w:t>, являющиес</w:t>
      </w:r>
      <w:r>
        <w:t xml:space="preserve">я мощными </w:t>
      </w:r>
      <w:proofErr w:type="spellStart"/>
      <w:r>
        <w:t>репарантами</w:t>
      </w:r>
      <w:proofErr w:type="spellEnd"/>
      <w:r>
        <w:t>, что позволяет рекомендовать их даже для применения в послеоперационном периоде у больных, перенесших вмешательство по поводу трещин, кратность введения 3–5 раз в сутки. У больных с затруднениями дефекации свечи можно назначать непоср</w:t>
      </w:r>
      <w:r>
        <w:t xml:space="preserve">едственно перед стулом. При отсутствии или исчезновении болевого синдрома можно перейти на использование свечей или мази </w:t>
      </w:r>
      <w:proofErr w:type="spellStart"/>
      <w:r>
        <w:t>Релиф</w:t>
      </w:r>
      <w:proofErr w:type="spellEnd"/>
      <w:r>
        <w:t xml:space="preserve"> без обезболивающих добавок. Препарат обладает высокой эффективностью, хорошо переносим и редко дает побочные реакции, что позволя</w:t>
      </w:r>
      <w:r>
        <w:t>ет его применять даже на всех сроках беременности. Консервативное лечение больных с выраженным болевым синдромом или спазмом сфинктера, а также в случаях рецидива заболевания или сочетания с неспецифическими колитами должно осуществляться проктологом, поск</w:t>
      </w:r>
      <w:r>
        <w:t xml:space="preserve">ольку риск развития осложнений или </w:t>
      </w:r>
      <w:proofErr w:type="spellStart"/>
      <w:r>
        <w:t>хронизации</w:t>
      </w:r>
      <w:proofErr w:type="spellEnd"/>
      <w:r>
        <w:t xml:space="preserve"> трещины у этих пациентов крайне велик. Применение </w:t>
      </w:r>
      <w:proofErr w:type="spellStart"/>
      <w:r>
        <w:t>нитропрепаратов</w:t>
      </w:r>
      <w:proofErr w:type="spellEnd"/>
      <w:r>
        <w:t xml:space="preserve"> для лечения трещины, сопровождающейся спазмом </w:t>
      </w:r>
      <w:proofErr w:type="spellStart"/>
      <w:r>
        <w:t>сфиктера</w:t>
      </w:r>
      <w:proofErr w:type="spellEnd"/>
      <w:r>
        <w:t xml:space="preserve">, сдерживается отсутствием официальных препаратов, допущенных для использования по новому </w:t>
      </w:r>
      <w:r>
        <w:t xml:space="preserve">назначению.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pStyle w:val="1"/>
        <w:ind w:left="-5"/>
      </w:pPr>
      <w:r>
        <w:t>Хирургическое лечение трещины</w:t>
      </w:r>
      <w:r>
        <w:rPr>
          <w:b w:val="0"/>
        </w:rPr>
        <w:t xml:space="preserve">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ind w:left="-5" w:right="0"/>
      </w:pPr>
      <w:r>
        <w:t xml:space="preserve">Показания к хирургическому лечению анальной трещины возникают в случае </w:t>
      </w:r>
      <w:proofErr w:type="spellStart"/>
      <w:r>
        <w:t>хронизации</w:t>
      </w:r>
      <w:proofErr w:type="spellEnd"/>
      <w:r>
        <w:t xml:space="preserve"> процесса. При этом важно оценить адекватность проведенного консервативного лечения, а также характер местных изменений. Весьма</w:t>
      </w:r>
      <w:r>
        <w:t xml:space="preserve"> часто больные отождествляют заживление анальной трещины с исчезновением ее клинических проявлений, что является весьма распространенным заблуждением. Поэтому исчезновение симптомов заболевания не является основанием для отказа от повторного осмотра пациен</w:t>
      </w:r>
      <w:r>
        <w:t xml:space="preserve">та. Кроме того, в ряде случаев заживление может </w:t>
      </w:r>
      <w:r>
        <w:lastRenderedPageBreak/>
        <w:t>сопровождаться формированием весьма грубого рубца или «сторожевого» бугорка, то есть небольшого выбухания слизистой у основания трещины. Сохраняющийся спазм сфинктера также свидетельствует об отсутствии эффек</w:t>
      </w:r>
      <w:r>
        <w:t>та от консервативного лечения. Во всех подобных ситуациях пациент должен быть направлен к проктологу для решения о выборе дальнейшего метода лечения. К малоинвазивным манипуляциям в этом случае можно отнести проведение блокады с анестетиком и гормонами или</w:t>
      </w:r>
      <w:r>
        <w:t xml:space="preserve"> инъекции </w:t>
      </w:r>
      <w:proofErr w:type="spellStart"/>
      <w:r>
        <w:t>Ботекса</w:t>
      </w:r>
      <w:proofErr w:type="spellEnd"/>
      <w:r>
        <w:t>. Применение последнего является крайне дорогостоящим методом лечения. Операция при анальной трещине предполагает иссечение тканевого дефекта с последующим ведением раны открытым способом до полного заживления. В случаях, когда имеется выр</w:t>
      </w:r>
      <w:r>
        <w:t xml:space="preserve">аженный спазм сфинктера, иссечение трещины дополняется дозированным рассечением сфинктера, так называемой боковой подслизистой </w:t>
      </w:r>
      <w:proofErr w:type="spellStart"/>
      <w:r>
        <w:t>сфинктеротомией</w:t>
      </w:r>
      <w:proofErr w:type="spellEnd"/>
      <w:r>
        <w:t>. Длительность нетрудоспособности в послеоперационном периоде определяется темпами заживления послеоперационной ра</w:t>
      </w:r>
      <w:r>
        <w:t xml:space="preserve">ны и зависит от ее размеров и индивидуальных особенностей регенерации. Как правило, до момента полной </w:t>
      </w:r>
      <w:proofErr w:type="spellStart"/>
      <w:r>
        <w:t>эпителизации</w:t>
      </w:r>
      <w:proofErr w:type="spellEnd"/>
      <w:r>
        <w:t xml:space="preserve"> раны проходят 3–4 недели. Рецидивы после операции встречаются весьма редко. </w:t>
      </w:r>
    </w:p>
    <w:p w:rsidR="001C397F" w:rsidRDefault="002962F8">
      <w:pPr>
        <w:spacing w:line="259" w:lineRule="auto"/>
        <w:ind w:left="0" w:right="0" w:firstLine="0"/>
        <w:jc w:val="left"/>
      </w:pPr>
      <w:r>
        <w:t xml:space="preserve"> </w:t>
      </w:r>
    </w:p>
    <w:p w:rsidR="001C397F" w:rsidRDefault="002962F8">
      <w:pPr>
        <w:tabs>
          <w:tab w:val="center" w:pos="2042"/>
        </w:tabs>
        <w:ind w:left="-15" w:right="0" w:firstLine="0"/>
        <w:jc w:val="left"/>
      </w:pPr>
      <w:r>
        <w:t xml:space="preserve">Литература </w:t>
      </w:r>
      <w:r>
        <w:tab/>
        <w:t xml:space="preserve"> </w:t>
      </w:r>
    </w:p>
    <w:p w:rsidR="001C397F" w:rsidRDefault="002962F8">
      <w:pPr>
        <w:spacing w:after="9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397F" w:rsidRDefault="002962F8">
      <w:pPr>
        <w:spacing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C397F">
      <w:footerReference w:type="even" r:id="rId6"/>
      <w:footerReference w:type="default" r:id="rId7"/>
      <w:footerReference w:type="first" r:id="rId8"/>
      <w:pgSz w:w="11904" w:h="16840"/>
      <w:pgMar w:top="628" w:right="561" w:bottom="10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F8" w:rsidRDefault="002962F8">
      <w:pPr>
        <w:spacing w:line="240" w:lineRule="auto"/>
      </w:pPr>
      <w:r>
        <w:separator/>
      </w:r>
    </w:p>
  </w:endnote>
  <w:endnote w:type="continuationSeparator" w:id="0">
    <w:p w:rsidR="002962F8" w:rsidRDefault="0029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7F" w:rsidRDefault="002962F8">
    <w:pPr>
      <w:spacing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8EC" w:rsidRPr="009E48EC">
      <w:rPr>
        <w:rFonts w:ascii="Times New Roman" w:eastAsia="Times New Roman" w:hAnsi="Times New Roman" w:cs="Times New Roman"/>
        <w:noProof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7F" w:rsidRDefault="002962F8">
    <w:pPr>
      <w:tabs>
        <w:tab w:val="right" w:pos="10210"/>
      </w:tabs>
      <w:spacing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E48EC" w:rsidRPr="009E48EC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7F" w:rsidRDefault="001C397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F8" w:rsidRDefault="002962F8">
      <w:pPr>
        <w:spacing w:line="240" w:lineRule="auto"/>
      </w:pPr>
      <w:r>
        <w:separator/>
      </w:r>
    </w:p>
  </w:footnote>
  <w:footnote w:type="continuationSeparator" w:id="0">
    <w:p w:rsidR="002962F8" w:rsidRDefault="002962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7F"/>
    <w:rsid w:val="001C397F"/>
    <w:rsid w:val="002962F8"/>
    <w:rsid w:val="009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01629-88E1-4239-B712-2D74576F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right="3" w:hanging="10"/>
      <w:jc w:val="both"/>
    </w:pPr>
    <w:rPr>
      <w:rFonts w:ascii="Calibri" w:eastAsia="Calibri" w:hAnsi="Calibri" w:cs="Calibri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&lt;4D6963726F736F667420576F7264202D20E0EDE0EBFCEDE0FF20F2F0E5F9E8EDE020202E646F63&gt;</vt:lpstr>
    </vt:vector>
  </TitlesOfParts>
  <Company/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&lt;4D6963726F736F667420576F7264202D20E0EDE0EBFCEDE0FF20F2F0E5F9E8EDE020202E646F63&gt;</dc:title>
  <dc:subject/>
  <dc:creator>Eshek</dc:creator>
  <cp:keywords/>
  <cp:lastModifiedBy>мвидео</cp:lastModifiedBy>
  <cp:revision>2</cp:revision>
  <dcterms:created xsi:type="dcterms:W3CDTF">2018-07-09T05:15:00Z</dcterms:created>
  <dcterms:modified xsi:type="dcterms:W3CDTF">2018-07-09T05:15:00Z</dcterms:modified>
</cp:coreProperties>
</file>