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63ABF" w14:textId="28692F35" w:rsidR="00773703" w:rsidRPr="00773703" w:rsidRDefault="00773703" w:rsidP="000729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едеральное государственное бюджетное образовательное учреждение</w:t>
      </w:r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имени профессора В.Ф. </w:t>
      </w:r>
      <w:proofErr w:type="spellStart"/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Войно-Ясенецкого</w:t>
      </w:r>
      <w:proofErr w:type="spellEnd"/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14:paraId="429899D6" w14:textId="77777777" w:rsidR="00773703" w:rsidRPr="00773703" w:rsidRDefault="00773703" w:rsidP="000729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14:paraId="735288AC" w14:textId="0138522C" w:rsidR="00773703" w:rsidRPr="00773703" w:rsidRDefault="00773703" w:rsidP="000729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</w:t>
      </w:r>
      <w:r w:rsidR="0007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="0007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клиника хирургических болезней </w:t>
      </w:r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им. проф. А.М. </w:t>
      </w:r>
      <w:proofErr w:type="spellStart"/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</w:t>
      </w:r>
      <w:r w:rsidR="0007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эндоскопии и </w:t>
      </w:r>
      <w:proofErr w:type="spellStart"/>
      <w:r w:rsidR="0007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эндохирургии</w:t>
      </w:r>
      <w:proofErr w:type="spellEnd"/>
      <w:r w:rsidRPr="0077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</w:p>
    <w:p w14:paraId="3EEC1D81" w14:textId="61A13C4A" w:rsidR="00341847" w:rsidRPr="003F4212" w:rsidRDefault="00341847" w:rsidP="000729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8DC6BE" w14:textId="58D5D5F6" w:rsidR="000729CD" w:rsidRDefault="00773703" w:rsidP="000729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</w:t>
      </w:r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29C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Тема: </w:t>
      </w:r>
      <w:r w:rsidR="0039322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Острое нарушение </w:t>
      </w:r>
      <w:proofErr w:type="spellStart"/>
      <w:r w:rsidR="0039322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мезентериального</w:t>
      </w:r>
      <w:proofErr w:type="spellEnd"/>
      <w:r w:rsidR="0039322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кровообращения</w:t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</w:t>
      </w:r>
      <w:r w:rsidR="00986549"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</w:t>
      </w:r>
    </w:p>
    <w:p w14:paraId="15B070CB" w14:textId="77777777" w:rsidR="000729CD" w:rsidRDefault="000729CD" w:rsidP="000729CD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2CE3CC00" w14:textId="77777777" w:rsidR="000729CD" w:rsidRDefault="000729CD" w:rsidP="000729CD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A95CBA4" w14:textId="2780A4C7" w:rsidR="00773703" w:rsidRPr="003F4212" w:rsidRDefault="00773703" w:rsidP="000729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Выполнила:</w:t>
      </w:r>
      <w:r w:rsidR="00986549"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729C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ординатор 1 года Карих Елена Максимовна</w:t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</w:t>
      </w:r>
      <w:r w:rsidR="00986549"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Провер</w:t>
      </w:r>
      <w:r w:rsidR="00986549"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ила</w:t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5" w:history="1">
        <w:r w:rsidRPr="003F42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ДМН</w:t>
        </w:r>
      </w:hyperlink>
      <w:r w:rsidRPr="003F4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history="1">
        <w:r w:rsidR="00986549" w:rsidRPr="003F42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r w:rsidRPr="003F42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рофессор</w:t>
        </w:r>
      </w:hyperlink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: Первова</w:t>
      </w:r>
      <w:r w:rsidR="00072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Владимировна</w:t>
      </w:r>
    </w:p>
    <w:p w14:paraId="57CDEC70" w14:textId="11F46F3D" w:rsidR="00773703" w:rsidRPr="003F4212" w:rsidRDefault="00773703" w:rsidP="000729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C35DF" w14:textId="187EDB04" w:rsidR="00773703" w:rsidRPr="003F4212" w:rsidRDefault="00773703" w:rsidP="000729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4D88E" w14:textId="3014B0F4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E2C265" w14:textId="6848958C" w:rsidR="00773703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28C53" w14:textId="77777777" w:rsidR="000729CD" w:rsidRPr="003F4212" w:rsidRDefault="000729CD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9E1B9D" w14:textId="23962443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9EA17" w14:textId="7B9666B1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E9B8C" w14:textId="03D21E75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E724C1" w14:textId="7479C711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D6D7E6" w14:textId="13259528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D7EA16" w14:textId="2D3C1D91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4719C4" w14:textId="20B46918" w:rsidR="00773703" w:rsidRPr="003F4212" w:rsidRDefault="00773703" w:rsidP="00072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AC228" w14:textId="77777777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425B2C" w14:textId="1AAE56FF" w:rsidR="000729CD" w:rsidRPr="000729CD" w:rsidRDefault="00773703" w:rsidP="000729CD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4212">
        <w:rPr>
          <w:rFonts w:ascii="Times New Roman" w:hAnsi="Times New Roman" w:cs="Times New Roman"/>
          <w:sz w:val="28"/>
          <w:szCs w:val="28"/>
        </w:rPr>
        <w:t>Красноярск 2020</w:t>
      </w:r>
    </w:p>
    <w:p w14:paraId="02E1C36E" w14:textId="7892F65F" w:rsidR="00986549" w:rsidRPr="003F4212" w:rsidRDefault="00986549" w:rsidP="000729CD">
      <w:pPr>
        <w:tabs>
          <w:tab w:val="left" w:pos="28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42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9028296" w14:textId="221805CA" w:rsidR="0050057F" w:rsidRPr="003F4212" w:rsidRDefault="000729CD" w:rsidP="000729CD">
      <w:pPr>
        <w:pStyle w:val="a4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0057F" w:rsidRPr="003F4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1AFE3" w14:textId="5442F246" w:rsidR="00986549" w:rsidRPr="003F4212" w:rsidRDefault="00986549" w:rsidP="000729CD">
      <w:pPr>
        <w:pStyle w:val="a4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проблемы.</w:t>
      </w:r>
    </w:p>
    <w:p w14:paraId="4A2EC74B" w14:textId="1D47B9BC" w:rsidR="00986549" w:rsidRPr="003F4212" w:rsidRDefault="00986549" w:rsidP="000729CD">
      <w:pPr>
        <w:pStyle w:val="a4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Этиология и патогенез.</w:t>
      </w:r>
    </w:p>
    <w:p w14:paraId="63AD2242" w14:textId="7FC1062D" w:rsidR="0050057F" w:rsidRPr="003F4212" w:rsidRDefault="0050057F" w:rsidP="000729CD">
      <w:pPr>
        <w:pStyle w:val="a4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Классификация</w:t>
      </w:r>
    </w:p>
    <w:p w14:paraId="5231EA2E" w14:textId="319624B2" w:rsidR="00986549" w:rsidRPr="003F4212" w:rsidRDefault="00986549" w:rsidP="000729CD">
      <w:pPr>
        <w:pStyle w:val="a4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Диагностика и клиническая картина.</w:t>
      </w:r>
    </w:p>
    <w:p w14:paraId="1C85B555" w14:textId="2D4C3E71" w:rsidR="00986549" w:rsidRPr="003F4212" w:rsidRDefault="00986549" w:rsidP="000729CD">
      <w:pPr>
        <w:pStyle w:val="a4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Виды хирургических вмешательств и результаты хирургического лечения патологии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мезентериальных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артерий.</w:t>
      </w:r>
    </w:p>
    <w:p w14:paraId="2F109570" w14:textId="07C3A87F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3D7D7" w14:textId="121C4CCB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ABA9F" w14:textId="30964C6A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FE5281" w14:textId="07AFEA18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45C49" w14:textId="5C450D85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49F94" w14:textId="780ACFB2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EE52F" w14:textId="093B304B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B85628" w14:textId="40CE1D1D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3FC08B" w14:textId="2ECA7AA0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F15B5" w14:textId="2B808278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9F488" w14:textId="0AC6F56D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C21F5B" w14:textId="6B39A7D8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8F5BE" w14:textId="0D283FA3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DF9E0" w14:textId="0507DFEB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5F02C" w14:textId="3C7B8B7F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353DC" w14:textId="16D51F21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7E04D" w14:textId="74049CFF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7D739" w14:textId="77D897D2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4545B4" w14:textId="3B8FF251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FE4CB" w14:textId="400911A5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6AEE0" w14:textId="309F893D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0B609" w14:textId="60345F0B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F18DD" w14:textId="2DD9B765" w:rsidR="00986549" w:rsidRPr="003F4212" w:rsidRDefault="00986549" w:rsidP="000729CD">
      <w:pPr>
        <w:tabs>
          <w:tab w:val="left" w:pos="28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5D60C1" w14:textId="5D559564" w:rsidR="00986549" w:rsidRPr="003F4212" w:rsidRDefault="00986549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A15DF7" w14:textId="1A2EC02B" w:rsidR="00986549" w:rsidRPr="003F4212" w:rsidRDefault="000729CD" w:rsidP="000729CD">
      <w:pPr>
        <w:pStyle w:val="a4"/>
        <w:numPr>
          <w:ilvl w:val="0"/>
          <w:numId w:val="3"/>
        </w:num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Введение.</w:t>
      </w:r>
      <w:r w:rsidR="00986549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6549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6549" w:rsidRPr="003F4212">
        <w:rPr>
          <w:rFonts w:ascii="Times New Roman" w:hAnsi="Times New Roman" w:cs="Times New Roman"/>
          <w:sz w:val="28"/>
          <w:szCs w:val="28"/>
        </w:rPr>
        <w:t xml:space="preserve">Острая </w:t>
      </w:r>
      <w:proofErr w:type="spellStart"/>
      <w:r w:rsidR="00986549" w:rsidRPr="003F4212">
        <w:rPr>
          <w:rFonts w:ascii="Times New Roman" w:hAnsi="Times New Roman" w:cs="Times New Roman"/>
          <w:sz w:val="28"/>
          <w:szCs w:val="28"/>
        </w:rPr>
        <w:t>мезентериальная</w:t>
      </w:r>
      <w:proofErr w:type="spellEnd"/>
      <w:r w:rsidR="00986549" w:rsidRPr="003F4212">
        <w:rPr>
          <w:rFonts w:ascii="Times New Roman" w:hAnsi="Times New Roman" w:cs="Times New Roman"/>
          <w:sz w:val="28"/>
          <w:szCs w:val="28"/>
        </w:rPr>
        <w:t xml:space="preserve"> ишемия (ОМИ) — острое нарушение магистрального и органного кровотока в бассейне брюшной аорты и ее непарных висцеральных ветвей.</w:t>
      </w:r>
    </w:p>
    <w:p w14:paraId="186225C4" w14:textId="77777777" w:rsidR="00986549" w:rsidRPr="003F4212" w:rsidRDefault="00986549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613E43" w14:textId="77777777" w:rsidR="0050057F" w:rsidRPr="003F4212" w:rsidRDefault="00986549" w:rsidP="000729CD">
      <w:pPr>
        <w:pStyle w:val="a4"/>
        <w:numPr>
          <w:ilvl w:val="0"/>
          <w:numId w:val="3"/>
        </w:num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проблемы.</w:t>
      </w:r>
    </w:p>
    <w:p w14:paraId="229E83CE" w14:textId="77777777" w:rsidR="0050057F" w:rsidRPr="003F4212" w:rsidRDefault="0050057F" w:rsidP="000729CD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BADC8D" w14:textId="5B44CC5F" w:rsidR="00986549" w:rsidRPr="003F4212" w:rsidRDefault="00986549" w:rsidP="000729CD">
      <w:pPr>
        <w:pStyle w:val="a4"/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Острая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</w:rPr>
        <w:t>мезентериальная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 ишемия является потенциально опасной сосудистой патологией с общей смертностью 60-80 % и ее постоянным ростом на 1-5 % в год. Острая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</w:rPr>
        <w:t>мезентериальная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 ишемия включается в группу патофизиологических процессов, которые приводят к некрозу кишечника. Основной причиной низкой выживаемости остается сложность в диагностике этого состояния. Проявления заболевания в большинстве случаев неспецифичны, нередко имеется несоответствие между тяжелой абдоминальной болью и минимальными клиническими проявлениями;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</w:rPr>
        <w:t>физикальный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 осмотр не позволяет достоверно различить ишемию и инфаркт кишечника; такие осложнения, как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</w:rPr>
        <w:t>илеус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, перитонит, панкреатит и желудочно-кишечные кровотечения, могут маскировать первоначальные признаки и симптомы болезни. Факторы риска и клиническая картина различаются в зависимости от основного патологического механизма развития заболевания. Поскольку острая ишемия кишечника быстро прогрессирует до необратимого некроза, возникают серьезные метаболические расстройства, приводящие к множественной органной дисфункции и смерти. Своевременное использование диагностических и оперативных методов для быстрого восстановления кровотока является ключом к снижению высокой смертности, связанной с осложнениями острой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</w:rPr>
        <w:t>мезентериальной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 ишемии.</w:t>
      </w:r>
    </w:p>
    <w:p w14:paraId="5B55B88B" w14:textId="029582F8" w:rsidR="00986549" w:rsidRPr="003F4212" w:rsidRDefault="00986549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CE08BC" w14:textId="5B3B7BE3" w:rsidR="00986549" w:rsidRPr="003F4212" w:rsidRDefault="00986549" w:rsidP="000729CD">
      <w:pPr>
        <w:pStyle w:val="a4"/>
        <w:numPr>
          <w:ilvl w:val="0"/>
          <w:numId w:val="3"/>
        </w:numPr>
        <w:tabs>
          <w:tab w:val="left" w:pos="2835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Этиология.</w:t>
      </w:r>
    </w:p>
    <w:p w14:paraId="16516724" w14:textId="27972A03" w:rsidR="00986549" w:rsidRPr="003F4212" w:rsidRDefault="0050057F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Среди разнообразных причин нарушения кровообращения в брыжеечных сосудах, приводящих к развитию инфаркта кишки, можно выделить следующие: механические (ущемление брыжейки, заворот), закрытая травма </w:t>
      </w:r>
      <w:r w:rsidRPr="003F42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живота с повреждением кишки или ранением стенки брыжеечных сосудов, инфекция брюшной полости (абсцессы,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</w:rPr>
        <w:t>пилефлебиты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</w:rPr>
        <w:t>), декомпенсация сердечной деятельности, прием лекарственных препаратов (гормональных, гипотензивных), заболевания крови (тромбоцитоз, полицитемия), портальная гипертензия, злокачественные новообразования.</w:t>
      </w:r>
    </w:p>
    <w:p w14:paraId="5E2B3647" w14:textId="3ACE3183" w:rsidR="0050057F" w:rsidRPr="003F4212" w:rsidRDefault="0050057F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AE9BFA" w14:textId="42945E66" w:rsidR="0050057F" w:rsidRPr="003F4212" w:rsidRDefault="0050057F" w:rsidP="000729CD">
      <w:pPr>
        <w:pStyle w:val="a4"/>
        <w:numPr>
          <w:ilvl w:val="0"/>
          <w:numId w:val="3"/>
        </w:numPr>
        <w:tabs>
          <w:tab w:val="left" w:pos="2835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Классификация</w:t>
      </w:r>
      <w:r w:rsidR="003B3482"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14:paraId="54A2A98D" w14:textId="30DA6B5E" w:rsidR="0050057F" w:rsidRPr="003F4212" w:rsidRDefault="0050057F" w:rsidP="000729CD">
      <w:pPr>
        <w:pStyle w:val="a5"/>
        <w:spacing w:line="276" w:lineRule="auto"/>
        <w:rPr>
          <w:color w:val="000000"/>
          <w:sz w:val="28"/>
          <w:szCs w:val="28"/>
        </w:rPr>
      </w:pPr>
      <w:r w:rsidRPr="003F4212">
        <w:rPr>
          <w:color w:val="000000"/>
          <w:sz w:val="28"/>
          <w:szCs w:val="28"/>
        </w:rPr>
        <w:t xml:space="preserve">Острое нарушение </w:t>
      </w:r>
      <w:proofErr w:type="spellStart"/>
      <w:r w:rsidRPr="003F4212">
        <w:rPr>
          <w:color w:val="000000"/>
          <w:sz w:val="28"/>
          <w:szCs w:val="28"/>
        </w:rPr>
        <w:t>мезентериального</w:t>
      </w:r>
      <w:proofErr w:type="spellEnd"/>
      <w:r w:rsidRPr="003F4212">
        <w:rPr>
          <w:color w:val="000000"/>
          <w:sz w:val="28"/>
          <w:szCs w:val="28"/>
        </w:rPr>
        <w:t xml:space="preserve"> кровообращения (ОНМК) в зависимости от механизма нарушения делятся на </w:t>
      </w:r>
      <w:proofErr w:type="spellStart"/>
      <w:r w:rsidRPr="003F4212">
        <w:rPr>
          <w:color w:val="000000"/>
          <w:sz w:val="28"/>
          <w:szCs w:val="28"/>
        </w:rPr>
        <w:t>окклюзионные</w:t>
      </w:r>
      <w:proofErr w:type="spellEnd"/>
      <w:r w:rsidRPr="003F4212">
        <w:rPr>
          <w:color w:val="000000"/>
          <w:sz w:val="28"/>
          <w:szCs w:val="28"/>
        </w:rPr>
        <w:t xml:space="preserve"> и </w:t>
      </w:r>
      <w:proofErr w:type="spellStart"/>
      <w:r w:rsidRPr="003F4212">
        <w:rPr>
          <w:color w:val="000000"/>
          <w:sz w:val="28"/>
          <w:szCs w:val="28"/>
        </w:rPr>
        <w:t>неокклюзионные</w:t>
      </w:r>
      <w:proofErr w:type="spellEnd"/>
      <w:r w:rsidRPr="003F4212">
        <w:rPr>
          <w:color w:val="000000"/>
          <w:sz w:val="28"/>
          <w:szCs w:val="28"/>
        </w:rPr>
        <w:t xml:space="preserve"> поражения. К </w:t>
      </w:r>
      <w:proofErr w:type="spellStart"/>
      <w:r w:rsidRPr="003F4212">
        <w:rPr>
          <w:color w:val="000000"/>
          <w:sz w:val="28"/>
          <w:szCs w:val="28"/>
        </w:rPr>
        <w:t>окклюзионным</w:t>
      </w:r>
      <w:proofErr w:type="spellEnd"/>
      <w:r w:rsidRPr="003F4212">
        <w:rPr>
          <w:color w:val="000000"/>
          <w:sz w:val="28"/>
          <w:szCs w:val="28"/>
        </w:rPr>
        <w:t xml:space="preserve"> нарушениям кровоснабжения кишечника относят эмболию </w:t>
      </w:r>
      <w:proofErr w:type="spellStart"/>
      <w:r w:rsidRPr="003F4212">
        <w:rPr>
          <w:color w:val="000000"/>
          <w:sz w:val="28"/>
          <w:szCs w:val="28"/>
        </w:rPr>
        <w:t>мезентериальных</w:t>
      </w:r>
      <w:proofErr w:type="spellEnd"/>
      <w:r w:rsidRPr="003F4212">
        <w:rPr>
          <w:color w:val="000000"/>
          <w:sz w:val="28"/>
          <w:szCs w:val="28"/>
        </w:rPr>
        <w:t xml:space="preserve"> сосудов (50 %), тромбоз артерий (25 %), тромбоз вен (10 %), стеноз или окклюзию устья артерий вследствие атеросклероза или тромбоза, окклюзию артерий в результате расслоения стенки аорты, сдавление либо прорастание сосудов опухолью, ятрогенную перевязку сосудов. </w:t>
      </w:r>
      <w:proofErr w:type="spellStart"/>
      <w:r w:rsidRPr="003F4212">
        <w:rPr>
          <w:color w:val="000000"/>
          <w:sz w:val="28"/>
          <w:szCs w:val="28"/>
        </w:rPr>
        <w:t>Неокклюзионные</w:t>
      </w:r>
      <w:proofErr w:type="spellEnd"/>
      <w:r w:rsidRPr="003F4212">
        <w:rPr>
          <w:color w:val="000000"/>
          <w:sz w:val="28"/>
          <w:szCs w:val="28"/>
        </w:rPr>
        <w:t xml:space="preserve"> нарушения (20-30 %) возникают вследствие стеноза артерий или ангиоспазма, либо снижения сердечного выброса или централизации гемодинамики.</w:t>
      </w:r>
    </w:p>
    <w:p w14:paraId="7F4F56FE" w14:textId="77777777" w:rsidR="0050057F" w:rsidRPr="003F4212" w:rsidRDefault="0050057F" w:rsidP="000729CD">
      <w:pPr>
        <w:pStyle w:val="a5"/>
        <w:spacing w:line="276" w:lineRule="auto"/>
        <w:rPr>
          <w:color w:val="000000"/>
          <w:sz w:val="28"/>
          <w:szCs w:val="28"/>
        </w:rPr>
      </w:pPr>
      <w:r w:rsidRPr="003F4212">
        <w:rPr>
          <w:color w:val="000000"/>
          <w:sz w:val="28"/>
          <w:szCs w:val="28"/>
        </w:rPr>
        <w:t xml:space="preserve">По этиологическим и патогенетическим механизмам острую </w:t>
      </w:r>
      <w:proofErr w:type="spellStart"/>
      <w:r w:rsidRPr="003F4212">
        <w:rPr>
          <w:color w:val="000000"/>
          <w:sz w:val="28"/>
          <w:szCs w:val="28"/>
        </w:rPr>
        <w:t>мезентериальную</w:t>
      </w:r>
      <w:proofErr w:type="spellEnd"/>
      <w:r w:rsidRPr="003F4212">
        <w:rPr>
          <w:color w:val="000000"/>
          <w:sz w:val="28"/>
          <w:szCs w:val="28"/>
        </w:rPr>
        <w:t xml:space="preserve"> ишемию (ОМИ) разделяют на три типа:</w:t>
      </w:r>
    </w:p>
    <w:p w14:paraId="42940D28" w14:textId="155166ED" w:rsidR="0050057F" w:rsidRPr="003F4212" w:rsidRDefault="0050057F" w:rsidP="000729CD">
      <w:pPr>
        <w:pStyle w:val="a5"/>
        <w:spacing w:line="276" w:lineRule="auto"/>
        <w:rPr>
          <w:color w:val="000000"/>
          <w:sz w:val="28"/>
          <w:szCs w:val="28"/>
        </w:rPr>
      </w:pPr>
      <w:r w:rsidRPr="003F4212">
        <w:rPr>
          <w:color w:val="000000"/>
          <w:sz w:val="28"/>
          <w:szCs w:val="28"/>
        </w:rPr>
        <w:t xml:space="preserve">1. Тромботическую – результат острого артериального тромбоза, чаще в устье ВБА на фоне сердечной недостаточности, травмы, приема оральных противозачаточных препаратов, </w:t>
      </w:r>
      <w:proofErr w:type="spellStart"/>
      <w:r w:rsidRPr="003F4212">
        <w:rPr>
          <w:color w:val="000000"/>
          <w:sz w:val="28"/>
          <w:szCs w:val="28"/>
        </w:rPr>
        <w:t>гиперкоагуляции</w:t>
      </w:r>
      <w:proofErr w:type="spellEnd"/>
      <w:r w:rsidRPr="003F4212">
        <w:rPr>
          <w:color w:val="000000"/>
          <w:sz w:val="28"/>
          <w:szCs w:val="28"/>
        </w:rPr>
        <w:t>, полицитемии, панкреатита или опухолевых процессов.</w:t>
      </w:r>
    </w:p>
    <w:p w14:paraId="47492FBF" w14:textId="6EE6414D" w:rsidR="0050057F" w:rsidRPr="003F4212" w:rsidRDefault="0050057F" w:rsidP="000729CD">
      <w:pPr>
        <w:pStyle w:val="a5"/>
        <w:spacing w:line="276" w:lineRule="auto"/>
        <w:rPr>
          <w:color w:val="000000"/>
          <w:sz w:val="28"/>
          <w:szCs w:val="28"/>
        </w:rPr>
      </w:pPr>
      <w:r w:rsidRPr="003F4212">
        <w:rPr>
          <w:color w:val="000000"/>
          <w:sz w:val="28"/>
          <w:szCs w:val="28"/>
        </w:rPr>
        <w:t xml:space="preserve">2. Эмболическую – вследствие окклюзии </w:t>
      </w:r>
      <w:proofErr w:type="spellStart"/>
      <w:r w:rsidRPr="003F4212">
        <w:rPr>
          <w:color w:val="000000"/>
          <w:sz w:val="28"/>
          <w:szCs w:val="28"/>
        </w:rPr>
        <w:t>эмболом</w:t>
      </w:r>
      <w:proofErr w:type="spellEnd"/>
      <w:r w:rsidRPr="003F4212">
        <w:rPr>
          <w:color w:val="000000"/>
          <w:sz w:val="28"/>
          <w:szCs w:val="28"/>
        </w:rPr>
        <w:t xml:space="preserve"> на фоне ишемической болезни сердца (ИБС), фибрилляции предсердий, </w:t>
      </w:r>
      <w:proofErr w:type="spellStart"/>
      <w:r w:rsidRPr="003F4212">
        <w:rPr>
          <w:color w:val="000000"/>
          <w:sz w:val="28"/>
          <w:szCs w:val="28"/>
        </w:rPr>
        <w:t>коагулопатий</w:t>
      </w:r>
      <w:proofErr w:type="spellEnd"/>
      <w:r w:rsidRPr="003F4212">
        <w:rPr>
          <w:color w:val="000000"/>
          <w:sz w:val="28"/>
          <w:szCs w:val="28"/>
        </w:rPr>
        <w:t xml:space="preserve">, аневризмы аорты. При этом </w:t>
      </w:r>
      <w:proofErr w:type="spellStart"/>
      <w:r w:rsidRPr="003F4212">
        <w:rPr>
          <w:color w:val="000000"/>
          <w:sz w:val="28"/>
          <w:szCs w:val="28"/>
        </w:rPr>
        <w:t>эмболы</w:t>
      </w:r>
      <w:proofErr w:type="spellEnd"/>
      <w:r w:rsidRPr="003F4212">
        <w:rPr>
          <w:color w:val="000000"/>
          <w:sz w:val="28"/>
          <w:szCs w:val="28"/>
        </w:rPr>
        <w:t xml:space="preserve"> могут фрагментироваться и смещаться в дистальные отделы сосуда, вызывая сегментарный тип ишемии.</w:t>
      </w:r>
    </w:p>
    <w:p w14:paraId="21C94723" w14:textId="342D41FC" w:rsidR="0050057F" w:rsidRPr="003F4212" w:rsidRDefault="0050057F" w:rsidP="000729CD">
      <w:pPr>
        <w:pStyle w:val="a5"/>
        <w:spacing w:line="276" w:lineRule="auto"/>
        <w:rPr>
          <w:color w:val="000000"/>
          <w:sz w:val="28"/>
          <w:szCs w:val="28"/>
        </w:rPr>
      </w:pPr>
      <w:r w:rsidRPr="003F4212">
        <w:rPr>
          <w:color w:val="000000"/>
          <w:sz w:val="28"/>
          <w:szCs w:val="28"/>
        </w:rPr>
        <w:t xml:space="preserve">3. </w:t>
      </w:r>
      <w:proofErr w:type="spellStart"/>
      <w:r w:rsidRPr="003F4212">
        <w:rPr>
          <w:color w:val="000000"/>
          <w:sz w:val="28"/>
          <w:szCs w:val="28"/>
        </w:rPr>
        <w:t>Неокклюзивную</w:t>
      </w:r>
      <w:proofErr w:type="spellEnd"/>
      <w:r w:rsidRPr="003F4212">
        <w:rPr>
          <w:color w:val="000000"/>
          <w:sz w:val="28"/>
          <w:szCs w:val="28"/>
        </w:rPr>
        <w:t xml:space="preserve"> – на фоне резкого снижения системного кровотока, обусловленного атеросклерозом, низким сердечным выбросом, </w:t>
      </w:r>
      <w:proofErr w:type="spellStart"/>
      <w:r w:rsidRPr="003F4212">
        <w:rPr>
          <w:color w:val="000000"/>
          <w:sz w:val="28"/>
          <w:szCs w:val="28"/>
        </w:rPr>
        <w:t>гиповолемией</w:t>
      </w:r>
      <w:proofErr w:type="spellEnd"/>
      <w:r w:rsidRPr="003F4212">
        <w:rPr>
          <w:color w:val="000000"/>
          <w:sz w:val="28"/>
          <w:szCs w:val="28"/>
        </w:rPr>
        <w:t xml:space="preserve"> как результата шока, сепсиса или острой кровопотери, дегидратации, спазма брыжеечных сосудов.</w:t>
      </w:r>
    </w:p>
    <w:p w14:paraId="02532F52" w14:textId="115DCC75" w:rsidR="0050057F" w:rsidRPr="003F4212" w:rsidRDefault="0076476F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Возможны комбинации этих факторов на фоне тяжелого заболевания. В зависимости от компенсации,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</w:rPr>
        <w:t>субкомпенсации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</w:rPr>
        <w:t xml:space="preserve"> или декомпенсации кровотока </w:t>
      </w:r>
      <w:r w:rsidRPr="003F42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реализуются последовательно три патогенетические стадии – ишемия, инфаркт или перитонит, соответственно.</w:t>
      </w:r>
    </w:p>
    <w:p w14:paraId="31A8F7E0" w14:textId="0E6FD59C" w:rsidR="0076476F" w:rsidRPr="003F4212" w:rsidRDefault="0076476F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271D9" w14:textId="77777777" w:rsidR="002B6E51" w:rsidRPr="003F4212" w:rsidRDefault="002B6E51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239A4A" w14:textId="5886E098" w:rsidR="0076476F" w:rsidRPr="003F4212" w:rsidRDefault="0076476F" w:rsidP="000729CD">
      <w:pPr>
        <w:pStyle w:val="a4"/>
        <w:numPr>
          <w:ilvl w:val="0"/>
          <w:numId w:val="3"/>
        </w:numPr>
        <w:tabs>
          <w:tab w:val="left" w:pos="2835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Клиническая картина и диагностика.</w:t>
      </w:r>
    </w:p>
    <w:p w14:paraId="74742850" w14:textId="273B7010" w:rsidR="0076476F" w:rsidRPr="003F4212" w:rsidRDefault="0076476F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46D7FA" w14:textId="4FDF62AB" w:rsidR="0076476F" w:rsidRPr="003F4212" w:rsidRDefault="003B3482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Диагностика ОМИ трудна из-за отсутствия патогномоничных симптомов в первые часы заболевания и начинается со сбора анамнеза жизни. В стадию ишемии </w:t>
      </w:r>
      <w:r w:rsidRPr="003F4212">
        <w:rPr>
          <w:rFonts w:ascii="Times New Roman" w:hAnsi="Times New Roman" w:cs="Times New Roman"/>
          <w:sz w:val="28"/>
          <w:szCs w:val="28"/>
        </w:rPr>
        <w:t xml:space="preserve">характерны резкая интенсивная боль при отсутствии напряжения мышц передней брюшной стенки и отсутствии симптомов раздражения брюшины, рефлекторная тошнота и рвота, жидкий стул («ишемическое опорожнение к и ш е ч н и к </w:t>
      </w:r>
      <w:proofErr w:type="gramStart"/>
      <w:r w:rsidRPr="003F4212">
        <w:rPr>
          <w:rFonts w:ascii="Times New Roman" w:hAnsi="Times New Roman" w:cs="Times New Roman"/>
          <w:sz w:val="28"/>
          <w:szCs w:val="28"/>
        </w:rPr>
        <w:t>а »</w:t>
      </w:r>
      <w:proofErr w:type="gramEnd"/>
      <w:r w:rsidRPr="003F4212">
        <w:rPr>
          <w:rFonts w:ascii="Times New Roman" w:hAnsi="Times New Roman" w:cs="Times New Roman"/>
          <w:sz w:val="28"/>
          <w:szCs w:val="28"/>
        </w:rPr>
        <w:t xml:space="preserve"> ) , возникающие на фоне кардиологических расстройств, а также наличие указаний на эпизоды сосудистых эмболий в других сосудистых бассейнах. </w:t>
      </w:r>
      <w:r w:rsidRPr="003F42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сборе</w:t>
      </w:r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анамнеза акцент необходимо сделать на ССЗ, патологию системы свертывания крови и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гемопоэза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Лабораторные показатели неспецифичны и зависят от патогенеза, продолжительности заболевания и сопутствующей патологии. В общем анализе крови отмечается повышение уровня эритроцитов, гемоглобина и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гемоконцентрация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наиболее ранние признаки при ОНМК. В стадию ишемии лейкоцитоз может отсутствовать, но затем характерно быстрое его нарастание с выраженным лейкоцитарным сдвигом влево, что указывает на необратимые ишемические изменения. В большинстве случаев у больных с ОМИ наблюдаются признаки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гиперкоагуляции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(снижение АЧТВ, повышение уровня D-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димера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в анализах мочи в 96,1 % случаев отмечается протеинурия, объяснимая развитием токсического нефроза на фоне некроза кишечника. В стадии инфаркта (некроза) кишки </w:t>
      </w:r>
      <w:r w:rsidRPr="003F4212">
        <w:rPr>
          <w:rFonts w:ascii="Times New Roman" w:hAnsi="Times New Roman" w:cs="Times New Roman"/>
          <w:sz w:val="28"/>
          <w:szCs w:val="28"/>
        </w:rPr>
        <w:t xml:space="preserve">характерны уменьшение интенсивности боли, появление локальной болезненности, напряжения мышц передней брюшной стенки и других симптомов раздражения брюшины, явлений интоксикации и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>, кровянистой слизи в испражнениях, резкого ослабления или отсутствия перистальтических шумов.</w:t>
      </w:r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Неспецифичны и биохимические показатели крови. Характерно повышение уровня лактатдегидрогеназы-3, щелочной фосфомоноэстеразы-3, малатдегидрогеназы-2, снижение малатдегидрогеназы-1. </w:t>
      </w:r>
      <w:r w:rsidR="002B6E51"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стадии перитонита отмечается появление воспалительных реакций. </w:t>
      </w:r>
      <w:r w:rsidR="002B6E51" w:rsidRPr="003F4212">
        <w:rPr>
          <w:rFonts w:ascii="Times New Roman" w:hAnsi="Times New Roman" w:cs="Times New Roman"/>
          <w:sz w:val="28"/>
          <w:szCs w:val="28"/>
        </w:rPr>
        <w:t xml:space="preserve">По распространенности: местный - </w:t>
      </w:r>
      <w:proofErr w:type="gramStart"/>
      <w:r w:rsidR="002B6E51" w:rsidRPr="003F4212">
        <w:rPr>
          <w:rFonts w:ascii="Times New Roman" w:hAnsi="Times New Roman" w:cs="Times New Roman"/>
          <w:sz w:val="28"/>
          <w:szCs w:val="28"/>
        </w:rPr>
        <w:t>отграниченный</w:t>
      </w:r>
      <w:r w:rsidR="002B6E51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B6E51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6E51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неотграниченный</w:t>
      </w:r>
      <w:proofErr w:type="spellEnd"/>
      <w:r w:rsidR="002B6E51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распространенный — диффузный, </w:t>
      </w:r>
      <w:r w:rsidR="002B6E51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разлитой. По характеру экссудата (серозный, серозно-фибринозный, гнойный). По выраженности системной воспалительной реакции (абдоминальный сепсис, тяжелый абдоминальный сепсис, септический шок).</w:t>
      </w:r>
    </w:p>
    <w:p w14:paraId="65CB02FB" w14:textId="2D77684B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Лабораторная диагностика: содержание лейкоцитов, </w:t>
      </w:r>
      <w:proofErr w:type="gram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эритроцитов,  гемоглобина</w:t>
      </w:r>
      <w:proofErr w:type="gram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периферической крови (общий анализ крови), анализ мочи (физико-химические свойства, микроскопия осадка), биохимический анализ крови (билирубин, глюкоза, мочевина), определение группы крови и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Rh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-фактора, кардиолипиновая реакция (RW), длительность кровотечения, свертываемость, ПТИ (протромбин по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Квику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МНО), при наличии технической возможности — фибриноген,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тромбоэластограмма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6371B5" w14:textId="0B5A5C9A" w:rsidR="002B6E51" w:rsidRPr="003F4212" w:rsidRDefault="002B6E51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Инструментальные методы </w:t>
      </w:r>
      <w:proofErr w:type="gram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диагностики:</w:t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78A7"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Обзорная</w:t>
      </w:r>
      <w:proofErr w:type="gramEnd"/>
      <w:r w:rsidR="001978A7"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рентгенография живота информативна у 1/4 пациентов с ОМИ и позволяет выявлять н</w:t>
      </w:r>
      <w:r w:rsidR="001978A7" w:rsidRPr="003F42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еспецифические проявления ОМИ – признаки кишечной непроходимости, отек стенки кишечника, </w:t>
      </w:r>
      <w:r w:rsidR="001978A7"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выраженную </w:t>
      </w:r>
      <w:proofErr w:type="spellStart"/>
      <w:r w:rsidR="001978A7"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пневматизацию</w:t>
      </w:r>
      <w:proofErr w:type="spellEnd"/>
      <w:r w:rsidR="001978A7"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тонкой кишки, реже – уровни жидкости.</w:t>
      </w:r>
    </w:p>
    <w:p w14:paraId="608A7EA5" w14:textId="3DA1CBBE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Компьютерная томография позволяет выявить раздутые петли кишечника, отек подслизистого слоя кишки с кровоизлияниями, отек брыжейки,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внутристеночный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 кишечника, наличие пузырьков газа в воротной и брыжеечных венах, асцит, инфаркты печени и селезенки, а также окклюзию и стеноз брыжеечных сосудов, его протяженность, определить сдавление или прорастание сосудов опухолью.</w:t>
      </w:r>
    </w:p>
    <w:p w14:paraId="3C297162" w14:textId="12641173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Спиральная компьютерная томография с использованием контраста имеет более выраженную специфичность, которая достигает 92-94 % при чувствительности 64-96 %, </w:t>
      </w:r>
      <w:r w:rsidR="00A374A9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выявить ранние признаки ОМИ.</w:t>
      </w:r>
    </w:p>
    <w:p w14:paraId="1CEF9698" w14:textId="1E933E4C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КТ-ангиография позволяет в кратчайшие сроки после госпитализации больного подтвердить или опровергнуть наличие ОНМК, определить характер нарушений (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окклюзионное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неокклюзионное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), визуализировать анатомическое строение брыжеечных сосудов, определить уровень окклюзии, оценить состояние стенки кишки, выявить наличие осложнений, т.е. поставить точный диагноз, определить тактику лечения, объем оперативного вмешательства, оценить прогноз заболевания.</w:t>
      </w:r>
    </w:p>
    <w:p w14:paraId="2E70FE77" w14:textId="19AB3290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Ангиография в настоящее время является «золотым стандартом» диагностики ОМИ и позволяет верифицировать заболевание в 85-95 % случаях. При этом правильный выбор методики – брюшная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аортография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селективная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мезентерикография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оказывает влияние на </w:t>
      </w: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достоверность полученных результатов. Брюшная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аортография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эффективна при окклюзии I сегмента ВБА, пристеночных и восходящих тромбозах аорты с окклюзией устья брыжеечных артерий, аневризмах.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Мезентерикография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при окклюзии II-III сегментов ВБА,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неокклюзионных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нарушениях висцерального кровообращения и венозных тромбозах.</w:t>
      </w:r>
    </w:p>
    <w:p w14:paraId="3FDEEC61" w14:textId="2D59DB8D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МРТ-ангиография обладает высокой информативностью, позволяя выявить степень ишемии кишки, обладает такой же чувствительностью и специфичностью, как и КТ, а преимуществом является отсутствие ионизирующей радиации.</w:t>
      </w:r>
    </w:p>
    <w:p w14:paraId="661F1436" w14:textId="5A0771F8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3D магнитно-резонансная ангиография (МРА) является высокоинформативным и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неинвазивным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методом, позволяет локализовать уровень окклюзии артерии или вены в 100 % случаев, а также выявить степень ишемии кишки.</w:t>
      </w:r>
    </w:p>
    <w:p w14:paraId="1AE8356B" w14:textId="7BBD939E" w:rsidR="001978A7" w:rsidRPr="003F4212" w:rsidRDefault="001978A7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Лапароскопия наиболее информативна при выраженной ишемии (инфаркт) но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малоинформативна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ранних стадиях, а достоверные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лапароскопические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признаки ОМИ появляются позже ангиографических на 1-3 часа. Чувствительность и точность лапароскопии в диагностике </w:t>
      </w:r>
      <w:proofErr w:type="spellStart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мезентериального</w:t>
      </w:r>
      <w:proofErr w:type="spellEnd"/>
      <w:r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тромбоза составляет 100 %</w:t>
      </w:r>
      <w:r w:rsidR="00A374A9" w:rsidRPr="003F4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FB6689" w14:textId="77777777" w:rsidR="002B6E51" w:rsidRPr="003F4212" w:rsidRDefault="002B6E51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E366F2" w14:textId="45B9B1A6" w:rsidR="00A374A9" w:rsidRPr="003F4212" w:rsidRDefault="00A374A9" w:rsidP="000729CD">
      <w:pPr>
        <w:pStyle w:val="a4"/>
        <w:numPr>
          <w:ilvl w:val="0"/>
          <w:numId w:val="3"/>
        </w:numPr>
        <w:tabs>
          <w:tab w:val="left" w:pos="2835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Виды хирургических вмешательств и результаты лечения и хирургического лечения патологии </w:t>
      </w:r>
      <w:proofErr w:type="spellStart"/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мезентериальных</w:t>
      </w:r>
      <w:proofErr w:type="spellEnd"/>
      <w:r w:rsidRPr="003F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артерий.</w:t>
      </w:r>
    </w:p>
    <w:p w14:paraId="064550B9" w14:textId="3BAAEFEB" w:rsidR="002B6E51" w:rsidRPr="003F4212" w:rsidRDefault="003D70D1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Оперативное лечение при неэффективности консервативных мероприятий решает следующие задачи: 1) восстановление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мезентериального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кровотока; 2) удаление участков кишечника, подвергшихся деструкции; 3) борьба с перитонитом, тяжелым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эндотоксикозом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последствиями, нарушением внутриорганной микроциркуляции и синдрома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полиорганной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недостаточности.</w:t>
      </w:r>
    </w:p>
    <w:p w14:paraId="2D2040CB" w14:textId="23FE209A" w:rsidR="00DD5941" w:rsidRPr="003F4212" w:rsidRDefault="003D70D1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Эндоваскулярное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лечение может быть представлено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ангиопластикой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стентированием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эндопротезированием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брахитерапией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чрезпросветной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атерэктомией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тромбэмболэктомией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тромболизисом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Эффективность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эндоваскулярного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вмешательства определяется следующими критериями: сохраняющийся стеноз не более 20 % по данным ангиографии, улучшение кровотока и пульсации в дистальном отделе артерии, снижение градиента артериального давления между пре- и </w:t>
      </w:r>
      <w:proofErr w:type="spellStart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постстенотическими</w:t>
      </w:r>
      <w:proofErr w:type="spellEnd"/>
      <w:r w:rsidRPr="003F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участками.</w:t>
      </w:r>
    </w:p>
    <w:p w14:paraId="64131882" w14:textId="77777777" w:rsidR="00DD5941" w:rsidRPr="003F4212" w:rsidRDefault="00DD5941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C2DE38" w14:textId="12B5F48C" w:rsidR="003D70D1" w:rsidRPr="003F4212" w:rsidRDefault="00DD5941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4212">
        <w:rPr>
          <w:rFonts w:ascii="Times New Roman" w:hAnsi="Times New Roman" w:cs="Times New Roman"/>
          <w:sz w:val="28"/>
          <w:szCs w:val="28"/>
        </w:rPr>
        <w:lastRenderedPageBreak/>
        <w:t xml:space="preserve">При ограниченных инфарктах кишки сосудистые операции по восстановлению кровотока нецелесообразны. Рекомендуется резекция пораженных участков кишечной трубки. При определении показаний к резекции кишки должны приниматься во внимание данные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интраоперационных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методов контроля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жизнеспособности: клиническая оценка (окраска, перистальтика, пальпируемая пульсация),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Dopplerопределение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кровотока,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флуоресциновый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тест, для определения распространенности ишемических изменений. При эмболии ВБА на стадии ишемии (6 — 10 часов от начала заболевания) целесообразна попытка восстановления кровотока путем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эмболэктомии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, при тромбозе — чаще требуются более сложные вмешательства с привлечением сосудистых хирургов. Как правило, ствол ВБА обнажается ниже ободочной кишки. Ориентиром может служить зона перекрещивания с нисходящей частью двенадцатиперстной кишки. После системной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гепаринизации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(5000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) и проксимального пережатия сосуда выполняется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артериотомия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на отрезке артерии, лишенном пульса. Катетером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Fogarty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, который вводится проксимально и дистально, можно удалить эмболический материал и после ушить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артериотомию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монофиламентный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нерассасывающийся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атравматический шовный материал 5/0 или 6/0). Чтобы проконтролировать состояние соответствующего сегмента кишки после артериальной реконструкции или определить границы резекции нежизнеспособных отделов кишечника, необходимо наблюдение в течение 20 — 30 минут. Показания для операции «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» должны планироваться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интраоперационно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212">
        <w:rPr>
          <w:rFonts w:ascii="Times New Roman" w:hAnsi="Times New Roman" w:cs="Times New Roman"/>
          <w:sz w:val="28"/>
          <w:szCs w:val="28"/>
        </w:rPr>
        <w:t>при</w:t>
      </w:r>
      <w:r w:rsidR="00FC6C74" w:rsidRPr="003F4212">
        <w:rPr>
          <w:rFonts w:ascii="Times New Roman" w:hAnsi="Times New Roman" w:cs="Times New Roman"/>
          <w:sz w:val="28"/>
          <w:szCs w:val="28"/>
        </w:rPr>
        <w:t xml:space="preserve"> </w:t>
      </w:r>
      <w:r w:rsidRPr="003F4212">
        <w:rPr>
          <w:rFonts w:ascii="Times New Roman" w:hAnsi="Times New Roman" w:cs="Times New Roman"/>
          <w:sz w:val="28"/>
          <w:szCs w:val="28"/>
        </w:rPr>
        <w:t>первом вмешательстве</w:t>
      </w:r>
      <w:proofErr w:type="gramEnd"/>
      <w:r w:rsidRPr="003F4212">
        <w:rPr>
          <w:rFonts w:ascii="Times New Roman" w:hAnsi="Times New Roman" w:cs="Times New Roman"/>
          <w:sz w:val="28"/>
          <w:szCs w:val="28"/>
        </w:rPr>
        <w:t xml:space="preserve"> и она должна выполняться в течение 24 часов. Резекция кишки (после вмешательства на сосудах или без него) может проводиться с первичным восстановлением непрерывности желудочно-кишечного тракта только при уверенности в наличии хорошего кровоснабжения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анастомозируемых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петель. При тяжелом состоянии пациента и неясном состоянии кровоснабжения целесообразна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резекция с формированием постоянной концевой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назо-интестинальная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интубация наглухо ушитой приводящей культи кишки. Восстановление непрерывности пищеварительного тракта при этом возможно в процессе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релапаротомий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типа «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» или в более поздние сроки после значительного улучшения состояния больного (исключение — высокий уровень прерывания кишечного пассажа и большие потери по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назогастральному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зонду). При неясном прогнозе ишемии или обширных изменениях, требующих несовместимых с жизнью резекций тонкой кишки, возможно завершение вмешательства без </w:t>
      </w:r>
      <w:r w:rsidRPr="003F4212">
        <w:rPr>
          <w:rFonts w:ascii="Times New Roman" w:hAnsi="Times New Roman" w:cs="Times New Roman"/>
          <w:sz w:val="28"/>
          <w:szCs w:val="28"/>
        </w:rPr>
        <w:lastRenderedPageBreak/>
        <w:t xml:space="preserve">резекции или удалением только явно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участков,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ушиванием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образующихся культей или формированием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энтеростом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>, назначением консервативной терапии и планированием «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4212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F4212">
        <w:rPr>
          <w:rFonts w:ascii="Times New Roman" w:hAnsi="Times New Roman" w:cs="Times New Roman"/>
          <w:sz w:val="28"/>
          <w:szCs w:val="28"/>
        </w:rPr>
        <w:t xml:space="preserve">лапаротомии через 24 часа. Наличие тотальной гангрены тонкой и правой половины толстой кишки свидетельствуют о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неоперабельности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патологического процесса.</w:t>
      </w:r>
    </w:p>
    <w:p w14:paraId="25F0A719" w14:textId="1C472C65" w:rsidR="00D41869" w:rsidRPr="003F4212" w:rsidRDefault="00D41869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17EEF03" w14:textId="0B9FD716" w:rsidR="00D41869" w:rsidRPr="003F4212" w:rsidRDefault="00D41869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4212">
        <w:rPr>
          <w:rFonts w:ascii="Times New Roman" w:hAnsi="Times New Roman" w:cs="Times New Roman"/>
          <w:sz w:val="28"/>
          <w:szCs w:val="28"/>
        </w:rPr>
        <w:t xml:space="preserve">Постоянная послеоперационная системная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антикоагулянтная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терапия рекомендуется пациентам при наличии венозного компонента острой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мезентериальной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ишемии и у пациентов с гематологическими заболеваниями, такими как дефицит протеинов C, S или AT III, так же и у оперированных с аритмией и патологией клапанов сердца. Пациенты после артериальной </w:t>
      </w:r>
      <w:proofErr w:type="spellStart"/>
      <w:r w:rsidRPr="003F4212">
        <w:rPr>
          <w:rFonts w:ascii="Times New Roman" w:hAnsi="Times New Roman" w:cs="Times New Roman"/>
          <w:sz w:val="28"/>
          <w:szCs w:val="28"/>
        </w:rPr>
        <w:t>тромбэктомии</w:t>
      </w:r>
      <w:proofErr w:type="spellEnd"/>
      <w:r w:rsidRPr="003F4212">
        <w:rPr>
          <w:rFonts w:ascii="Times New Roman" w:hAnsi="Times New Roman" w:cs="Times New Roman"/>
          <w:sz w:val="28"/>
          <w:szCs w:val="28"/>
        </w:rPr>
        <w:t xml:space="preserve"> лечатся аналогично пациентам с периферическими артериальными окклюзиями. Общий анализ крови назначается на 3 — 4 сутки после операции. Швы снимают на 10 — 11 сутки после любого способа лапаротомии. Среднее пребывание больных в стационаре после лапаротомии 14 — 15 суток.</w:t>
      </w:r>
    </w:p>
    <w:p w14:paraId="0E0B16BA" w14:textId="5A7385BB" w:rsidR="00FC6C74" w:rsidRPr="003F4212" w:rsidRDefault="00FC6C74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CDE3E90" w14:textId="1512D5CF" w:rsidR="00FC6C74" w:rsidRPr="003F4212" w:rsidRDefault="00FC6C74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EA12238" w14:textId="56AA84C6" w:rsidR="00FC6C74" w:rsidRPr="003F4212" w:rsidRDefault="00FC6C74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6B4963D" w14:textId="38F49B18" w:rsidR="00FC6C74" w:rsidRPr="003F4212" w:rsidRDefault="00FC6C74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AEEC801" w14:textId="557B9180" w:rsidR="00FC6C74" w:rsidRPr="003F4212" w:rsidRDefault="00FC6C74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2D8BE7E" w14:textId="7684BB57" w:rsidR="00FC6C74" w:rsidRDefault="00FC6C74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13F43C" w14:textId="618D96E8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FE33ED1" w14:textId="1BED870F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630798" w14:textId="2C270E17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15440DA" w14:textId="4848DA64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EEF716" w14:textId="4389C8C8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E86691" w14:textId="49B38E35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6376AD" w14:textId="6ACC8224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2A9A13B" w14:textId="009B1B8B" w:rsid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AC27126" w14:textId="77777777" w:rsidR="003F4212" w:rsidRPr="003F4212" w:rsidRDefault="003F4212" w:rsidP="000729CD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C6EDE4" w14:textId="3E6EBCB7" w:rsidR="00FC6C74" w:rsidRPr="003F4212" w:rsidRDefault="00FC6C74" w:rsidP="000729CD">
      <w:pPr>
        <w:tabs>
          <w:tab w:val="left" w:pos="2835"/>
        </w:tabs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421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литературы.</w:t>
      </w:r>
    </w:p>
    <w:p w14:paraId="505F645F" w14:textId="769A74FD" w:rsidR="00FC6C74" w:rsidRPr="003F4212" w:rsidRDefault="00FC6C74" w:rsidP="000729CD">
      <w:pPr>
        <w:tabs>
          <w:tab w:val="left" w:pos="283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E86FE01" w14:textId="62CF4927" w:rsidR="00FC6C74" w:rsidRPr="003F4212" w:rsidRDefault="00A65C4E" w:rsidP="000729C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Артамонова З.А.,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Намоконов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Е.В.  «Клинико-лабораторные особенности течения острой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мезентериальной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ишемии».</w:t>
      </w:r>
    </w:p>
    <w:p w14:paraId="45364253" w14:textId="68B18967" w:rsidR="00A65C4E" w:rsidRPr="003F4212" w:rsidRDefault="00A65C4E" w:rsidP="000729C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Боцула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О.Н.  «Способ формирования компрессионного тонкокишечного анастомоза при острой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мезентериальной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ишемии».</w:t>
      </w:r>
    </w:p>
    <w:p w14:paraId="7DF1330B" w14:textId="65C08FCD" w:rsidR="00A65C4E" w:rsidRPr="003F4212" w:rsidRDefault="003F4212" w:rsidP="000729C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Багдасаров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В.В.,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Багдасарова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Е.А., Чернооков А.И.  «Лечебно-диагностическая тактика при острой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интестинальной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ишемии» //Хирургия.</w:t>
      </w:r>
    </w:p>
    <w:p w14:paraId="27599499" w14:textId="50530D37" w:rsidR="003F4212" w:rsidRPr="003F4212" w:rsidRDefault="003F4212" w:rsidP="000729C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Ермолов А.С., Лебедев А.Г., Ярцев П.А.,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Алексеечкина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О.А., Селина И.Е.,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Раскатова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Е.В.  «Диагностика и лечение нарушений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мезентериального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кровообращения».</w:t>
      </w:r>
    </w:p>
    <w:p w14:paraId="1D2EC4DD" w14:textId="242449E9" w:rsidR="003F4212" w:rsidRPr="003F4212" w:rsidRDefault="003F4212" w:rsidP="000729C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Курбонов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К.М.,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Абдуллоев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Ф.М., Рахимов Р.Р.  «Современные технологии в диагностике и лечении острого нарушения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мезентериального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кровообращения».</w:t>
      </w:r>
    </w:p>
    <w:p w14:paraId="1190955A" w14:textId="0E8DE6E0" w:rsidR="003F4212" w:rsidRPr="003F4212" w:rsidRDefault="003F4212" w:rsidP="000729C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Лубянский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В.Г.,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Жариков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А.Н.,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Кантеева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Ю.Л.  «Хирургическое лечение больных острым </w:t>
      </w:r>
      <w:proofErr w:type="spellStart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мезентериальным</w:t>
      </w:r>
      <w:proofErr w:type="spellEnd"/>
      <w:r w:rsidRPr="003F4212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тромбозом с некрозом кишки и перитонитом».</w:t>
      </w:r>
    </w:p>
    <w:p w14:paraId="78321AB3" w14:textId="77777777" w:rsidR="00A65C4E" w:rsidRPr="003F4212" w:rsidRDefault="00A65C4E" w:rsidP="000729C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65C4E" w:rsidRPr="003F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42E6"/>
    <w:multiLevelType w:val="hybridMultilevel"/>
    <w:tmpl w:val="253E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BE4"/>
    <w:multiLevelType w:val="hybridMultilevel"/>
    <w:tmpl w:val="6D4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A08EB"/>
    <w:multiLevelType w:val="hybridMultilevel"/>
    <w:tmpl w:val="8292B33E"/>
    <w:lvl w:ilvl="0" w:tplc="D7FC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A697D"/>
    <w:multiLevelType w:val="hybridMultilevel"/>
    <w:tmpl w:val="893A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0DDE"/>
    <w:multiLevelType w:val="hybridMultilevel"/>
    <w:tmpl w:val="E242B71A"/>
    <w:lvl w:ilvl="0" w:tplc="9D8EBF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47"/>
    <w:rsid w:val="000729CD"/>
    <w:rsid w:val="00180FD9"/>
    <w:rsid w:val="001978A7"/>
    <w:rsid w:val="002B6E51"/>
    <w:rsid w:val="00341847"/>
    <w:rsid w:val="00393221"/>
    <w:rsid w:val="003B3482"/>
    <w:rsid w:val="003D70D1"/>
    <w:rsid w:val="003F4212"/>
    <w:rsid w:val="0050057F"/>
    <w:rsid w:val="0076476F"/>
    <w:rsid w:val="00773703"/>
    <w:rsid w:val="00986549"/>
    <w:rsid w:val="00A374A9"/>
    <w:rsid w:val="00A65C4E"/>
    <w:rsid w:val="00D41869"/>
    <w:rsid w:val="00DD5941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3088"/>
  <w15:chartTrackingRefBased/>
  <w15:docId w15:val="{14D552EA-9ACB-42FF-9430-7CE73F74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7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65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576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53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search&amp;cat=user&amp;c%5bscititle%5d=2" TargetMode="External"/><Relationship Id="rId5" Type="http://schemas.openxmlformats.org/officeDocument/2006/relationships/hyperlink" Target="https://krasgmu.ru/index.php?page%5bcommon%5d=search&amp;cat=user&amp;c%5bdegree%5d=2&amp;c%5bdegrees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Нейджек</dc:creator>
  <cp:keywords/>
  <dc:description/>
  <cp:lastModifiedBy>Мурашкина Екатерина Дмитриевн</cp:lastModifiedBy>
  <cp:revision>7</cp:revision>
  <dcterms:created xsi:type="dcterms:W3CDTF">2020-12-19T14:58:00Z</dcterms:created>
  <dcterms:modified xsi:type="dcterms:W3CDTF">2020-12-20T05:49:00Z</dcterms:modified>
</cp:coreProperties>
</file>