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21" w:rsidRPr="005E4821" w:rsidRDefault="005E4821" w:rsidP="00B217E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821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образования. </w:t>
      </w:r>
      <w:proofErr w:type="spellStart"/>
      <w:r w:rsidRPr="005E4821">
        <w:rPr>
          <w:rFonts w:ascii="Times New Roman" w:eastAsia="Calibri" w:hAnsi="Times New Roman" w:cs="Times New Roman"/>
          <w:sz w:val="28"/>
          <w:szCs w:val="28"/>
        </w:rPr>
        <w:t>КрасГМУ</w:t>
      </w:r>
      <w:proofErr w:type="spellEnd"/>
      <w:r w:rsidRPr="005E4821">
        <w:rPr>
          <w:rFonts w:ascii="Times New Roman" w:eastAsia="Calibri" w:hAnsi="Times New Roman" w:cs="Times New Roman"/>
          <w:sz w:val="28"/>
          <w:szCs w:val="28"/>
        </w:rPr>
        <w:t xml:space="preserve"> им. Проф. В.Ф. </w:t>
      </w:r>
      <w:proofErr w:type="spellStart"/>
      <w:r w:rsidRPr="005E4821">
        <w:rPr>
          <w:rFonts w:ascii="Times New Roman" w:eastAsia="Calibri" w:hAnsi="Times New Roman" w:cs="Times New Roman"/>
          <w:sz w:val="28"/>
          <w:szCs w:val="28"/>
        </w:rPr>
        <w:t>Войно-Ясенецкого</w:t>
      </w:r>
      <w:proofErr w:type="spellEnd"/>
      <w:r w:rsidR="00B217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4821" w:rsidRPr="005E4821" w:rsidRDefault="005E4821" w:rsidP="005E48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821" w:rsidRPr="005E4821" w:rsidRDefault="005E4821" w:rsidP="005E48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821" w:rsidRPr="005E4821" w:rsidRDefault="005E4821" w:rsidP="005E48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821" w:rsidRPr="005E4821" w:rsidRDefault="00EC3FAA" w:rsidP="005E4821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hyperlink r:id="rId5" w:history="1">
        <w:r w:rsidR="005E4821" w:rsidRPr="005E4821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Кафедра терапии</w:t>
        </w:r>
      </w:hyperlink>
      <w:r w:rsidR="005E4821" w:rsidRPr="005E4821">
        <w:rPr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5E4821" w:rsidRPr="005E482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ИПО</w:t>
      </w:r>
    </w:p>
    <w:p w:rsidR="005E4821" w:rsidRPr="005E4821" w:rsidRDefault="005E4821" w:rsidP="005E4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821">
        <w:rPr>
          <w:rFonts w:ascii="Times New Roman" w:eastAsia="Calibri" w:hAnsi="Times New Roman" w:cs="Times New Roman"/>
          <w:sz w:val="28"/>
          <w:szCs w:val="28"/>
        </w:rPr>
        <w:t>РЕФЕРАТ НА ТЕМУ:</w:t>
      </w: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>«Современные подходы к лечению язвенной болезни желудка»</w:t>
      </w: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5E4821" w:rsidRDefault="005E4821" w:rsidP="005E482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821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кафедрой: ДМН, профессор </w:t>
      </w:r>
      <w:proofErr w:type="spellStart"/>
      <w:r w:rsidRPr="005E4821">
        <w:rPr>
          <w:rFonts w:ascii="Times New Roman" w:eastAsia="Calibri" w:hAnsi="Times New Roman" w:cs="Times New Roman"/>
          <w:sz w:val="28"/>
          <w:szCs w:val="28"/>
        </w:rPr>
        <w:t>Гринштейн</w:t>
      </w:r>
      <w:proofErr w:type="spellEnd"/>
      <w:r w:rsidRPr="005E4821">
        <w:rPr>
          <w:rFonts w:ascii="Times New Roman" w:eastAsia="Calibri" w:hAnsi="Times New Roman" w:cs="Times New Roman"/>
          <w:sz w:val="28"/>
          <w:szCs w:val="28"/>
        </w:rPr>
        <w:t xml:space="preserve"> Юрий Исаевич</w:t>
      </w:r>
    </w:p>
    <w:p w:rsidR="005E4821" w:rsidRPr="005E4821" w:rsidRDefault="00EC3FAA" w:rsidP="005E4821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caps/>
            <w:sz w:val="28"/>
            <w:szCs w:val="28"/>
          </w:rPr>
          <w:alias w:val="Организация"/>
          <w:tag w:val=""/>
          <w:id w:val="-1411383065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E4821" w:rsidRPr="005E4821">
            <w:rPr>
              <w:rFonts w:ascii="Times New Roman" w:eastAsia="Calibri" w:hAnsi="Times New Roman" w:cs="Times New Roman"/>
              <w:caps/>
              <w:sz w:val="28"/>
              <w:szCs w:val="28"/>
            </w:rPr>
            <w:t xml:space="preserve">     </w:t>
          </w:r>
        </w:sdtContent>
      </w:sdt>
    </w:p>
    <w:p w:rsidR="005E4821" w:rsidRPr="005E4821" w:rsidRDefault="00EC3FAA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8"/>
            <w:szCs w:val="28"/>
          </w:rPr>
          <w:alias w:val="Адрес"/>
          <w:tag w:val=""/>
          <w:id w:val="-495654260"/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5E4821" w:rsidRPr="005E4821">
            <w:rPr>
              <w:rFonts w:ascii="Times New Roman" w:eastAsia="Calibri" w:hAnsi="Times New Roman" w:cs="Times New Roman"/>
              <w:sz w:val="28"/>
              <w:szCs w:val="28"/>
            </w:rPr>
            <w:t xml:space="preserve">     </w:t>
          </w:r>
        </w:sdtContent>
      </w:sdt>
      <w:r w:rsidR="005E4821" w:rsidRPr="005E4821">
        <w:rPr>
          <w:rFonts w:ascii="Times New Roman" w:eastAsia="Calibri" w:hAnsi="Times New Roman" w:cs="Times New Roman"/>
          <w:sz w:val="28"/>
          <w:szCs w:val="28"/>
        </w:rPr>
        <w:t>Выполнила: Ординатор 1 года обучения Красноярского государственного медицинского университета</w:t>
      </w: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821">
        <w:rPr>
          <w:rFonts w:ascii="Times New Roman" w:eastAsia="Calibri" w:hAnsi="Times New Roman" w:cs="Times New Roman"/>
          <w:sz w:val="28"/>
          <w:szCs w:val="28"/>
        </w:rPr>
        <w:t>Мишина Ксения Николаевна</w:t>
      </w: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4821" w:rsidRDefault="005E4821" w:rsidP="005E4821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 ,2021.</w:t>
      </w:r>
    </w:p>
    <w:p w:rsidR="00B217ED" w:rsidRDefault="00B217ED" w:rsidP="005E4821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</w:rPr>
      </w:pPr>
    </w:p>
    <w:p w:rsidR="00B217ED" w:rsidRPr="005E4821" w:rsidRDefault="00B217ED" w:rsidP="005E4821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</w:rPr>
      </w:pPr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lastRenderedPageBreak/>
        <w:t>Содержание:</w:t>
      </w:r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>- Определение</w:t>
      </w:r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>- Классификация</w:t>
      </w:r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>- Диагностика</w:t>
      </w:r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 xml:space="preserve">- Диагностика инфекции H. </w:t>
      </w:r>
      <w:proofErr w:type="spellStart"/>
      <w:r w:rsidRPr="007232A6">
        <w:rPr>
          <w:rFonts w:ascii="Times New Roman" w:hAnsi="Times New Roman" w:cs="Times New Roman"/>
        </w:rPr>
        <w:t>pylori</w:t>
      </w:r>
      <w:proofErr w:type="spellEnd"/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>- Течение и осложнения</w:t>
      </w:r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>- Лечение язвенной болезни</w:t>
      </w:r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 xml:space="preserve">- </w:t>
      </w:r>
      <w:proofErr w:type="spellStart"/>
      <w:r w:rsidRPr="007232A6">
        <w:rPr>
          <w:rFonts w:ascii="Times New Roman" w:hAnsi="Times New Roman" w:cs="Times New Roman"/>
        </w:rPr>
        <w:t>Эрадикационная</w:t>
      </w:r>
      <w:proofErr w:type="spellEnd"/>
      <w:r w:rsidRPr="007232A6">
        <w:rPr>
          <w:rFonts w:ascii="Times New Roman" w:hAnsi="Times New Roman" w:cs="Times New Roman"/>
        </w:rPr>
        <w:t xml:space="preserve"> терапия</w:t>
      </w:r>
    </w:p>
    <w:p w:rsidR="005E4821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>- Лечение язвенных кровотечений</w:t>
      </w:r>
    </w:p>
    <w:p w:rsidR="005A32F4" w:rsidRPr="007232A6" w:rsidRDefault="005E4821" w:rsidP="005E4821">
      <w:pPr>
        <w:rPr>
          <w:rFonts w:ascii="Times New Roman" w:hAnsi="Times New Roman" w:cs="Times New Roman"/>
        </w:rPr>
      </w:pPr>
      <w:r w:rsidRPr="007232A6">
        <w:rPr>
          <w:rFonts w:ascii="Times New Roman" w:hAnsi="Times New Roman" w:cs="Times New Roman"/>
        </w:rPr>
        <w:t>- Список литературы.</w:t>
      </w: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7232A6" w:rsidRDefault="007232A6" w:rsidP="005E4821">
      <w:pPr>
        <w:rPr>
          <w:rFonts w:ascii="Times New Roman" w:hAnsi="Times New Roman" w:cs="Times New Roman"/>
          <w:sz w:val="28"/>
          <w:szCs w:val="28"/>
        </w:rPr>
      </w:pPr>
    </w:p>
    <w:p w:rsidR="007232A6" w:rsidRDefault="007232A6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Pr="005E4821" w:rsidRDefault="005E4821" w:rsidP="005E4821">
      <w:pPr>
        <w:rPr>
          <w:rFonts w:ascii="Times New Roman" w:hAnsi="Times New Roman" w:cs="Times New Roman"/>
          <w:b/>
          <w:sz w:val="28"/>
          <w:szCs w:val="28"/>
        </w:rPr>
      </w:pPr>
      <w:r w:rsidRPr="005E48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Определение. </w:t>
      </w: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Язвенная болезнь желудка представляет собой хроническое рецидивирующее заболевание, протекающее с чередованием периодов обострения и ремиссии, ведущим проявлением ЯБ служит образование дефекта (язвы) в стенке желудка. </w:t>
      </w:r>
    </w:p>
    <w:p w:rsidR="005E4821" w:rsidRPr="005E4821" w:rsidRDefault="005E4821" w:rsidP="005E4821">
      <w:pPr>
        <w:rPr>
          <w:rFonts w:ascii="Times New Roman" w:hAnsi="Times New Roman" w:cs="Times New Roman"/>
          <w:b/>
          <w:sz w:val="28"/>
          <w:szCs w:val="28"/>
        </w:rPr>
      </w:pPr>
      <w:r w:rsidRPr="005E4821">
        <w:rPr>
          <w:rFonts w:ascii="Times New Roman" w:hAnsi="Times New Roman" w:cs="Times New Roman"/>
          <w:b/>
          <w:sz w:val="28"/>
          <w:szCs w:val="28"/>
        </w:rPr>
        <w:t>Классификация.</w:t>
      </w: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 Общепринятой классификации ЯБ не существует. Прежде всего, в зависимости от наличия или отсутствия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выделяют ЯБ, ассоциированную и не ассоциированную с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Последнюю форму иногда называют идиопатической. Различают также ЯБ как самостоятельное заболевание и симптоматические язвы желудка и двенадцатиперстной кишки (лекарственные, «стрессовые», при эндокринной патологии, при других хронических заболеваниях внутренних органов), которые возникают на фоне иных заболеваний и по механизмам развития связаны с особыми этиологическими и патогенетическими факторами. В зависимости от локализации выделяют язвы желудка (кардиального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субкардиального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отделов, тела желудка,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антрального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отдела, пилорического канала), двенадцатиперстной кишки (луковицы,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постбульбарного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отдела), а также сочетанные язвы желудка и двенадцатиперстной кишки. При этом язвы могут располагаться на малой или большой кривизне, передней и задней стенках желудка и двенадцатиперстной кишки. По числу язвенных поражений различают одиночные и множественные язвы, а в зависимости (до 0,5 см в диаметре) и средних (0,6–1,9 см в диаметре) размеров, большие (2,0–3,0 см) и гигантские (свыше 3,0 см). В диагнозе отмечаются стадия течения заболевания — обострение, рубцевание (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подтвержденная стадия «красного» и «белого» рубца) и ремиссия, а также рубцово-язвенная деформация желудка и двенадцатиперстной кишки. При формулировке диагноза указываются наличие осложнений ЯБ (в том числе анамнестических) — кровотечений, прободений,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пенетраций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>, рубцово-язвенного стеноза привратника, а также характер оперативных вмешательств, если они проводились.</w:t>
      </w: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b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821" w:rsidRDefault="005E4821" w:rsidP="005E4821">
      <w:pPr>
        <w:rPr>
          <w:rFonts w:ascii="Times New Roman" w:hAnsi="Times New Roman" w:cs="Times New Roman"/>
          <w:i/>
          <w:sz w:val="28"/>
          <w:szCs w:val="28"/>
        </w:rPr>
      </w:pPr>
      <w:r w:rsidRPr="005E4821">
        <w:rPr>
          <w:rFonts w:ascii="Times New Roman" w:hAnsi="Times New Roman" w:cs="Times New Roman"/>
          <w:i/>
          <w:sz w:val="28"/>
          <w:szCs w:val="28"/>
        </w:rPr>
        <w:t>Клиническое обследование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Ведущим симптомом обострения ЯБ являются боли в подложечной области, которые могут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иррадиировать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левую половину грудной клетки и левую лопатку, грудной или поясничный отдел позвоночника. Боли возникают сразу после приема пищи (при язвах кардиального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субкардиального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отделов желудка), через полчаса– час после еды (при язвах тела желудка). При поражениях пилорического канала и луковицы двенадцатиперстной кишки обычно наблюдаются поздние боли (через 2–3 часа после еды), «голодные» боли, возникающие натощак и проходящие после приема пищи, а также ночные боли. Боли проходят после приема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антисекрето</w:t>
      </w:r>
      <w:r>
        <w:rPr>
          <w:rFonts w:ascii="Times New Roman" w:hAnsi="Times New Roman" w:cs="Times New Roman"/>
          <w:sz w:val="28"/>
          <w:szCs w:val="28"/>
        </w:rPr>
        <w:t>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4821">
        <w:rPr>
          <w:rFonts w:ascii="Times New Roman" w:hAnsi="Times New Roman" w:cs="Times New Roman"/>
          <w:sz w:val="28"/>
          <w:szCs w:val="28"/>
        </w:rPr>
        <w:t xml:space="preserve">При обострении ЯБ часто отмечаются также отрыжка кислым, тошнота, запоры. Рвота кислым желудочным содержимым, </w:t>
      </w: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приносящая облегчение и потому вызываемая больными искусственно, всегда считалась признаком ЯБ, однако в настоящее время она встречается сравнительно редко. Типичными для ЯБ являются сезонные (весной и осенью) периоды усиления болей и диспепсических симптомов. При обострении заболевания нередко регистрируется похудание, поскольку, несмотря на сохраненный, а иногда даже повышенный аппетит, больные ограничивают себя в еде, опасаясь усиления болей. В период обострения ЯБ при объективном обследовании часто удается выявить болезненность в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области при пальпации, сочетающуюся с умеренной резистентностью мышц передней брюшной стенки. Также может обнаруживаться локальная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перкуторная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болезненность в этой же области (симптом Менделя). Но эти признаки не являются строго специфичными для обострения болезни.</w:t>
      </w:r>
    </w:p>
    <w:p w:rsidR="005E4821" w:rsidRPr="005E4821" w:rsidRDefault="005E4821" w:rsidP="005E4821">
      <w:pPr>
        <w:rPr>
          <w:rFonts w:ascii="Times New Roman" w:hAnsi="Times New Roman" w:cs="Times New Roman"/>
          <w:i/>
          <w:sz w:val="28"/>
          <w:szCs w:val="28"/>
        </w:rPr>
      </w:pPr>
      <w:r w:rsidRPr="005E4821">
        <w:rPr>
          <w:rFonts w:ascii="Times New Roman" w:hAnsi="Times New Roman" w:cs="Times New Roman"/>
          <w:i/>
          <w:sz w:val="28"/>
          <w:szCs w:val="28"/>
        </w:rPr>
        <w:t>Лабораторная диагностика.</w:t>
      </w: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Клинический анализ крови при неосложненном течении ЯБ чаще всего остается без существенных изменений. Иногда отмечается незначительное повышение содержания гемоглобина и эритроцитов, вместе с тем может обнаруживаться и анемия, свидетельствующая о явных или скрытых кровотечениях. Лейкоцитоз и повышение СОЭ встречаются при осложненных формах болезни (например, при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пенетрации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язвы). Определенное место в диагностике обострений ЯБ занимает анализ кала на скрытую кровь. При интерпретации получаемых при этом данных необходимо помнить, что положительные результаты на скрытую кровь встречаются и при многих других заболеваниях, что требует их обязательного исключения. Важную роль в диагностике играет исследование кислотообразующей функции желудка, которое в последние годы проводится с помощью суточного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внутрижелудочного рН. При язвах двенадцатиперстной кишки и пилорического канала обычно отмечаются повышенные показатели секреции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при язвах тела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субкардиального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отдела желудка — нормальные или сниженные. Обнаружение и подтверждение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гистаминустойчивой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ахлоргидрии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практически всегда исключает диагноз ЯБ двенадцатиперстной кишки и ставит под сомнение доброкачественный характер язвы желудка. </w:t>
      </w:r>
    </w:p>
    <w:p w:rsidR="005E4821" w:rsidRPr="005E4821" w:rsidRDefault="005E4821" w:rsidP="005E4821">
      <w:pPr>
        <w:rPr>
          <w:rFonts w:ascii="Times New Roman" w:hAnsi="Times New Roman" w:cs="Times New Roman"/>
          <w:i/>
          <w:sz w:val="28"/>
          <w:szCs w:val="28"/>
        </w:rPr>
      </w:pPr>
      <w:r w:rsidRPr="005E4821">
        <w:rPr>
          <w:rFonts w:ascii="Times New Roman" w:hAnsi="Times New Roman" w:cs="Times New Roman"/>
          <w:i/>
          <w:sz w:val="28"/>
          <w:szCs w:val="28"/>
        </w:rPr>
        <w:t>Инструментальная диагностика.</w:t>
      </w: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 Основное значение в диагностике ЯБ имеют рентгенологический и эндоскопический методы исследования. При рентгенологическом исследовании выявляются прямой признак ЯБ — «ниша» на контуре или на рельефе слизистой оболочки и косвенные признаки (местный циркулярный спазм мышечных волокон на противоположной по отношению к язве стенке желудка в виде «указующего перста», конвергенция складок слизистой оболочки к «нише», рубцово-язвенная деформация желудка и луковицы двенадцатиперстной кишки, гиперсекреция натощак, нарушения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моторики).</w:t>
      </w:r>
      <w:r w:rsidRPr="005E4821">
        <w:t xml:space="preserve"> </w:t>
      </w:r>
      <w:r w:rsidRPr="005E4821">
        <w:rPr>
          <w:rFonts w:ascii="Times New Roman" w:hAnsi="Times New Roman" w:cs="Times New Roman"/>
          <w:sz w:val="28"/>
          <w:szCs w:val="28"/>
        </w:rPr>
        <w:t xml:space="preserve">В настоящее время к рентгенологическому исследованию с целью диагностики ЯБ прибегают не столь часто, как раньше. Его применяют в тех случаях, когда по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какимто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причинам </w:t>
      </w: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(например, наличие противопоказаний) не удается провести эндоскопию, когда с целью дифференциальной диагностики с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инфильтративноязвенной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формой рака необходимо оценить перистальтику стенки желудка, когда нужно оценить характер эвакуации из желудка.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(ЭГДС) подтверждает наличие язвенного дефекта, уточняет его локализацию, глубину, форму, размеры, позволяет оценить состояние дна и краев язвы, выявить сопутствующие изменения слизистой оболочки, нарушения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моторики. При локализации язвы в желудке проводится биопсия с последующим гистологическим исследованием, позволяющим исключить злокачественный характер язвенного поражения. </w:t>
      </w:r>
    </w:p>
    <w:p w:rsidR="00CD60A6" w:rsidRPr="00CD60A6" w:rsidRDefault="005E4821" w:rsidP="005E4821">
      <w:pPr>
        <w:rPr>
          <w:rFonts w:ascii="Times New Roman" w:hAnsi="Times New Roman" w:cs="Times New Roman"/>
          <w:i/>
          <w:sz w:val="28"/>
          <w:szCs w:val="28"/>
        </w:rPr>
      </w:pPr>
      <w:r w:rsidRPr="00CD60A6">
        <w:rPr>
          <w:rFonts w:ascii="Times New Roman" w:hAnsi="Times New Roman" w:cs="Times New Roman"/>
          <w:i/>
          <w:sz w:val="28"/>
          <w:szCs w:val="28"/>
        </w:rPr>
        <w:t xml:space="preserve">Диагностика инфекции H. </w:t>
      </w:r>
      <w:proofErr w:type="spellStart"/>
      <w:r w:rsidR="00CD60A6" w:rsidRPr="00CD60A6">
        <w:rPr>
          <w:rFonts w:ascii="Times New Roman" w:hAnsi="Times New Roman" w:cs="Times New Roman"/>
          <w:i/>
          <w:sz w:val="28"/>
          <w:szCs w:val="28"/>
        </w:rPr>
        <w:t>P</w:t>
      </w:r>
      <w:r w:rsidRPr="00CD60A6">
        <w:rPr>
          <w:rFonts w:ascii="Times New Roman" w:hAnsi="Times New Roman" w:cs="Times New Roman"/>
          <w:i/>
          <w:sz w:val="28"/>
          <w:szCs w:val="28"/>
        </w:rPr>
        <w:t>ylori</w:t>
      </w:r>
      <w:proofErr w:type="spellEnd"/>
      <w:r w:rsidR="00CD60A6" w:rsidRPr="00CD60A6">
        <w:rPr>
          <w:rFonts w:ascii="Times New Roman" w:hAnsi="Times New Roman" w:cs="Times New Roman"/>
          <w:i/>
          <w:sz w:val="28"/>
          <w:szCs w:val="28"/>
        </w:rPr>
        <w:t>.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 Для определения дальнейшей тактики лечения исключительно большое значение имеет исследование на наличие у больного ЯБ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В зависимости от целей этого исследования и условий, в которых оно выполняется, в клинической практике могут применяться различные методы диагностики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Часто необходимость ее определения возникает во время проведения ЭГДС, когда врач обнаруживает у больного язву желудка или двенадцатиперстной кишки. В таких случаях чаще всего применяется быстрый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тест (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CLOтест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), основанный на определении изменения рН среды по окраске индикатора, которое происходит вследствие выделения аммиака при расщеплении мочевины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уреазой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вырабатываемой бактериями. Результаты этого исследования становятся известными уже через 1 час после получения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слизистой оболочки желудка. К недостаткам метода относится то, что его результат зависит от количества микроорганизмов в биоптате и оказывается положительным лишь в тех случаях, если оно превышает 104 . Морфологический (гистологический) метод также относится к распространенным методам первичной диагностики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при проведении биопсии. Исследование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слизистой оболочки желудка с применением различных окрасок (акридиновый оранжевый, краситель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Гимзы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серебрение по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Вартину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Старри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 позволяет не только с высокой степенью надежности выявить наличие инфекции, но и количественно определить степень обсеменения. При использовании эндоскопических методов диагностики берут, как минимум, 2 биоптата из тела желудка и 1 биоптат из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антрального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отдела. Если больному не проводится ЭГДС, то для диагностики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предпочтительно применять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дыхательный тест с использованием мочевины, меченной изотопами 13С или 14C. Этот метод предполагает наличие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массспектрографа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для улавливания этих изотопов в выдыхаемом воздухе. В России дыхательный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тест стал доступен благодаря отечественным разработкам. При этом анализ изотопического соотношения 13СО2/ 12СО2 может проводиться с помощью оригинальной</w:t>
      </w:r>
      <w:r>
        <w:rPr>
          <w:rFonts w:ascii="Times New Roman" w:hAnsi="Times New Roman" w:cs="Times New Roman"/>
          <w:sz w:val="28"/>
          <w:szCs w:val="28"/>
        </w:rPr>
        <w:t xml:space="preserve"> диодной лазерной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спектроскопии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E482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4821">
        <w:rPr>
          <w:rFonts w:ascii="Times New Roman" w:hAnsi="Times New Roman" w:cs="Times New Roman"/>
          <w:sz w:val="28"/>
          <w:szCs w:val="28"/>
        </w:rPr>
        <w:t xml:space="preserve"> качестве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метода первичной диагностики инфекции можно применять также определение антигена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кале с помощью иммуноферментного анализа и определение ДНК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lastRenderedPageBreak/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(в слизистой оболочке желудка, в кале) с помощью полимеразной цепной реакции (ПЦР).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Серологический метод выявления антител к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используется в научных исследованиях в основном с целью оценки инфицированности различных групп населения, поскольку не требует проведения эндоскопии, наличия сложных приборов, специально обученного персонала. Но его можно применять и для первичной диагностики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широкой клинической практике. К недостаткам относится то, что данный метод не позволяет отличить текущую инфекцию от перенесенной (т. е. его нельзя применять для контроля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), а также он обладает более низкой чувствительностью у детей. В то же время серологический метод имеет и ряд преимуществ — дает возможность обнаружить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у больных с низкой обсемененностью, может применяться при язвенных кровотечениях, на его результаты не влияют предшествующая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антисекреторная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терапия и прием антибиотиков. Однако достоверность результатов обеспечивается только в том случае, если применяемые методики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валидизированы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определяемые антитела относятся к классу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Микробиологический (бактериологический) метод получения культуры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отличается тем, что с его помощью можно определить чувствительность микроорганизма к тому или иному антибактериальному препарату. Но при этом существует ряд трудностей, обусловленных необходимостью наличия специальных сред, проведения в условиях определенной температуры, влажности, качества атмосферного воздуха и т. д. Все это приводит к тому, что рост колоний микроорганизмов удается получить далеко не всегда. Неудобство метода связано и с тем, что его результатов приходится ждать, как правило, не менее 10–14 дней. В настоящее время он применяется для установления индивидуальной чувствительности бактерий к антибиотикам в случаях неэффективности лечения. Определение конкретного штамма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CagA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VacA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др.) не играет роли в решении вопроса об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антигеликобактерном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лечении. Обнаружение любого штамма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служит показанием к его устранению.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Для контроля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который проводят через 4–6 недель после окончания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терапии, лучше всего применять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дыхательный тест или определение антигена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кале.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Проблема диагностики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заключается в возможности получения ложноотрицательных результатов, связанных главным образом с тем, что исследование выполняется на фоне терапии ингибиторами протонной помпы (ИПП) или вскоре после нее. Во избежание ложноотрицательных результатов прием ИПП необходимо прекратить за 2 недели, а антибиотиков и препаратов висмута — за 4 недели до предполагаемого контрольного исследования Кроме того, отрицательный результат исследования на инфекцию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должен быть обязательно подтвержден другими методами диагностики.</w:t>
      </w:r>
    </w:p>
    <w:p w:rsidR="00CD60A6" w:rsidRPr="00CD60A6" w:rsidRDefault="005E4821" w:rsidP="005E4821">
      <w:pPr>
        <w:rPr>
          <w:rFonts w:ascii="Times New Roman" w:hAnsi="Times New Roman" w:cs="Times New Roman"/>
          <w:b/>
          <w:sz w:val="28"/>
          <w:szCs w:val="28"/>
        </w:rPr>
      </w:pPr>
      <w:r w:rsidRPr="00CD60A6">
        <w:rPr>
          <w:rFonts w:ascii="Times New Roman" w:hAnsi="Times New Roman" w:cs="Times New Roman"/>
          <w:b/>
          <w:sz w:val="28"/>
          <w:szCs w:val="28"/>
        </w:rPr>
        <w:t>Течение и осложнения</w:t>
      </w:r>
      <w:r w:rsidR="00CD60A6" w:rsidRPr="00CD60A6">
        <w:rPr>
          <w:rFonts w:ascii="Times New Roman" w:hAnsi="Times New Roman" w:cs="Times New Roman"/>
          <w:b/>
          <w:sz w:val="28"/>
          <w:szCs w:val="28"/>
        </w:rPr>
        <w:t>.</w:t>
      </w:r>
      <w:r w:rsidRPr="00CD6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В неосложненных случаях ЯБ протекает обычно с чередованием периодов обострения (продолжительностью от 3–4 до 6–8 недель) и ремиссии (длительностью от нескольких недель до многих лет). Под влиянием неблагоприятных факторов (например, таких как физическое перенапряжение, прием НПВП и/или препаратов, снижающих свертываемость крови, злоупотребление алкоголем) возможно развитие осложнений, К ним относятся кровотечение, перфорация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пенетрация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язвы, формирование рубцово-язвенного стеноза привратника, малигнизация язвы. Язвенное кровотечение наблюдается у 15–20% больных ЯБ, чаще при локализации язв в желудке. Факторами риска его возникновения служат прием ацетилсалициловой кислоты и НПВП, инфекция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размеры язв &gt;1 см. Язвенное кровотечение проявляется рвотой содержимым типа «кофейной гущи» (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гематемезис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 или черным дегтеобразным стулом (мелена). При массивном кровотечении и невысокой секреции соляной кислоты, а также локализации язвы в кардиальном отделе желудка в рвотных массах может отмечаться примесь неизмененной крови, Иногда на первое место в клинической картине язвенного кровотечения выступают общие жалобы (слабость, потеря сознания, снижение артериального давления, тахикардия), тогда как </w:t>
      </w:r>
      <w:proofErr w:type="gramStart"/>
      <w:r w:rsidRPr="005E4821">
        <w:rPr>
          <w:rFonts w:ascii="Times New Roman" w:hAnsi="Times New Roman" w:cs="Times New Roman"/>
          <w:sz w:val="28"/>
          <w:szCs w:val="28"/>
        </w:rPr>
        <w:t>мелена</w:t>
      </w:r>
      <w:proofErr w:type="gramEnd"/>
      <w:r w:rsidRPr="005E4821">
        <w:rPr>
          <w:rFonts w:ascii="Times New Roman" w:hAnsi="Times New Roman" w:cs="Times New Roman"/>
          <w:sz w:val="28"/>
          <w:szCs w:val="28"/>
        </w:rPr>
        <w:t xml:space="preserve"> может появиться лишь спустя несколько часов.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Перфорация (прободение) язвы встречается у 5–15% больных ЯБ, чаще у мужчин. К ее развитию предрасполагают физическое перенапряжение, прием алкоголя, переедание. Бывают случаи, когда перфорация возникает внезапно, на фоне бессимптомного («немого») течения ЯБ. Клинически перфорация язвы манифестируется острейшими («кинжальными») болями в подложечной области, развитием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коллаптоидного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состояния, При обследовании больного обнаруживаются «доскообразное» напряжение мышц передней брюшной стенки и резкая болезненность при пальпации живота, положительный симптом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Щеткин</w:t>
      </w:r>
      <w:proofErr w:type="gramStart"/>
      <w:r w:rsidRPr="005E48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Блюмберга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В дальнейшем, иногда после периода мнимого улучшения, прогрессирует картина разлитого перитонита.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пенетрацией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понимают проникновение язвы желудка или двенадцатиперстной кишки в окружающие ткани — поджелудочную железу, малый сальник, желчный пузырь и общий желчный проток. При этом возникают упорные боли, которые теряют прежнюю связь с приемом пищи, повышается температура тела, в анализах крови выявляется повышение СОЭ. Наличие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пенетрации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язвы подтверждается рентгенологически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Стеноз привратника формируется обычно после рубцевания язв, расположенных в пилорическом канале или начальной части двенадцатиперстной кишки. Нередко развитию данного осложнения способствует операция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ушивания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прободной язвы данной области. Наиболее характерными клиническими симптомами стеноза привратника являются рвота пищей, съеденной накануне, а также отрыжка с запахом «тухлых» яиц. При пальпации живота в подложечной области можно выявить «поздний шум плеска» (симптом Василенко), у худых больных становится </w:t>
      </w: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иногда видимой перистальтика желудка. При декомпенсированном стенозе может прогрессировать истощение больных, присоединяются электролитные нарушения.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>Малигнизация (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озлокачествление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 доброкачественной язвы желудка является не таким частым осложнением, как считалось раньше. За малигнизацию нередко ошибочно принимаются случаи своевременно не распознанного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инфильтративноязвенного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рака. Диагностика не всегда оказывается простой. Клинически иногда удается отметить изменение характера течения ЯБ с утратой периодичности и сезонности обострений. В анализах крови обнаруживаются анемия, повышение СОЭ. Окончательное заключение ставится при гистологическом исследовании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биоптатов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взятых из различных участков язвы. </w:t>
      </w:r>
    </w:p>
    <w:p w:rsidR="00CD60A6" w:rsidRPr="00CD60A6" w:rsidRDefault="005E4821" w:rsidP="005E4821">
      <w:pPr>
        <w:rPr>
          <w:rFonts w:ascii="Times New Roman" w:hAnsi="Times New Roman" w:cs="Times New Roman"/>
          <w:b/>
          <w:sz w:val="28"/>
          <w:szCs w:val="28"/>
        </w:rPr>
      </w:pPr>
      <w:r w:rsidRPr="00CD60A6">
        <w:rPr>
          <w:rFonts w:ascii="Times New Roman" w:hAnsi="Times New Roman" w:cs="Times New Roman"/>
          <w:b/>
          <w:sz w:val="28"/>
          <w:szCs w:val="28"/>
        </w:rPr>
        <w:t>Лечение язвенной болезни</w:t>
      </w:r>
      <w:r w:rsidR="00CD60A6" w:rsidRPr="00CD60A6">
        <w:rPr>
          <w:rFonts w:ascii="Times New Roman" w:hAnsi="Times New Roman" w:cs="Times New Roman"/>
          <w:b/>
          <w:sz w:val="28"/>
          <w:szCs w:val="28"/>
        </w:rPr>
        <w:t>.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CD60A6">
        <w:rPr>
          <w:rFonts w:ascii="Times New Roman" w:hAnsi="Times New Roman" w:cs="Times New Roman"/>
          <w:i/>
          <w:sz w:val="28"/>
          <w:szCs w:val="28"/>
        </w:rPr>
        <w:t xml:space="preserve"> Диета</w:t>
      </w:r>
      <w:r w:rsidRPr="005E4821">
        <w:rPr>
          <w:rFonts w:ascii="Times New Roman" w:hAnsi="Times New Roman" w:cs="Times New Roman"/>
          <w:sz w:val="28"/>
          <w:szCs w:val="28"/>
        </w:rPr>
        <w:t xml:space="preserve"> Основные принципы диетического питания больных язвенной болезнью, выработанные много лет назад, сохраняют актуальность и в настоящее время. Остаются в силе рекомендации частого (5–6 раз в сутки), дробного питания, механического, термического и химического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щажения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слизистой оболочки желудка. В большинстве случаев показано назначение диеты № 1 по М. И. Певзнеру. Прежде рекомендовавшиеся диеты 1а и 1б, как физиологически неполноценные, сегодня практически не применяются.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Из пищевого рациона необходимо исключить продукты, раздражающие слизистую оболочку желудка и возбуждающие секрецию соляной кислоты: крепкие мясные и рыбные бульоны, жареную и наперченную пищу, копчености и консервы, приправы и специи (лук, чеснок, перец, горчицу), соления и маринады, газированные фруктовые воды, пиво, белое сухое вино, шампанское, кофе, цитрусовые.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Следует отдавать предпочтение продуктам, обладающим выраженными буферными свойствами (т. е. способностью связывать и нейтрализовать соляную кислоту). К ним относятся мясо и рыба (отварные или приготовленные на пару), яйца, молоко и молочные продукты). Разрешаются также макаронные изделия, черствый белый хлеб, сухой бисквит и сухое печенье, молочные и вегетарианские супы. Овощи (картофель, морковь, кабачки, цветная капуста) можно готовить тушеными или в виде пюре и паровых суфле. В пищевой рацион можно включать каши, кисели из сладких сортов ягод, муссы, желе, печеные яблоки, какао с молоком, некрепкий чай.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Нужно помнить и о таких простых, но в то же время важных рекомендациях, как необходимость принимать пищу в спокойной обстановке, не спеша, сидя, тщательно прожевывать пищу. Это способствует лучшему пропитыванию пищи слюной, буферные возможности которой являются достаточно выраженными. </w:t>
      </w:r>
    </w:p>
    <w:p w:rsidR="00CD60A6" w:rsidRPr="00CD60A6" w:rsidRDefault="005E4821" w:rsidP="005E4821">
      <w:pPr>
        <w:rPr>
          <w:rFonts w:ascii="Times New Roman" w:hAnsi="Times New Roman" w:cs="Times New Roman"/>
          <w:b/>
          <w:sz w:val="28"/>
          <w:szCs w:val="28"/>
        </w:rPr>
      </w:pPr>
      <w:r w:rsidRPr="00CD60A6">
        <w:rPr>
          <w:rFonts w:ascii="Times New Roman" w:hAnsi="Times New Roman" w:cs="Times New Roman"/>
          <w:b/>
          <w:sz w:val="28"/>
          <w:szCs w:val="28"/>
        </w:rPr>
        <w:t>Фармакотерапия</w:t>
      </w:r>
      <w:r w:rsidR="00CD60A6" w:rsidRPr="00CD60A6">
        <w:rPr>
          <w:rFonts w:ascii="Times New Roman" w:hAnsi="Times New Roman" w:cs="Times New Roman"/>
          <w:b/>
          <w:sz w:val="28"/>
          <w:szCs w:val="28"/>
        </w:rPr>
        <w:t>.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 различных патогенетических факторов ЯБ обусловило в свое время появление большого числа лекарственных препаратов, избирательно воздействовавших, как предполагалось первоначально, на те или иные патогенетические механизмы заболевания. 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CD60A6">
        <w:rPr>
          <w:rFonts w:ascii="Times New Roman" w:hAnsi="Times New Roman" w:cs="Times New Roman"/>
          <w:i/>
          <w:sz w:val="28"/>
          <w:szCs w:val="28"/>
        </w:rPr>
        <w:t>Антациды</w:t>
      </w:r>
      <w:r w:rsidR="00CD60A6">
        <w:rPr>
          <w:rFonts w:ascii="Times New Roman" w:hAnsi="Times New Roman" w:cs="Times New Roman"/>
          <w:sz w:val="28"/>
          <w:szCs w:val="28"/>
        </w:rPr>
        <w:t>.</w:t>
      </w:r>
    </w:p>
    <w:p w:rsidR="00CD60A6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 Антациды способны поддерживать уровень внутрижелудочного рН &gt;3 на протяжении 4–6 часов в течение суток, что определяет их недостаточно высокую эффективность при применении в качестве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Тем не менее, многие больные ЯБ охотно принимают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антацидные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препараты для купирования болей и диспепсических жалоб, учитывая быстроту их действия и доступность при безрецептурной продаже. При систематическом применении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антацидных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препаратов следует помнить о возможных побочных эффектах. К ним относятся: феномен «рикошета» — вторичное (после первоначального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антацидного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эффекта) повышение секреции соляной кислоты, наблюдающееся, в частности, при приеме антацидов, содержащих карбонат кальция; «молочно-щелочной синдром» (при одновременном приеме карбоната кальция и употреблении большого количества молока); нарушение всасывания некоторых лекарственных препаратов (например, антибиотиков, Н2- блокаторов), если они применяются вместе с антацидами; повышение уровня алюминия и магния в крови у больных с нарушенной функцией почек, принимающих магний-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алюминийсодержащие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антациды; нарушения стула (запор или диарея) и т. д. </w:t>
      </w:r>
    </w:p>
    <w:p w:rsidR="008946DB" w:rsidRPr="008946DB" w:rsidRDefault="005E4821" w:rsidP="005E4821">
      <w:pPr>
        <w:rPr>
          <w:rFonts w:ascii="Times New Roman" w:hAnsi="Times New Roman" w:cs="Times New Roman"/>
          <w:i/>
          <w:sz w:val="28"/>
          <w:szCs w:val="28"/>
        </w:rPr>
      </w:pPr>
      <w:r w:rsidRPr="008946DB">
        <w:rPr>
          <w:rFonts w:ascii="Times New Roman" w:hAnsi="Times New Roman" w:cs="Times New Roman"/>
          <w:i/>
          <w:sz w:val="28"/>
          <w:szCs w:val="28"/>
        </w:rPr>
        <w:t xml:space="preserve">Н2-блокаторы </w:t>
      </w:r>
    </w:p>
    <w:p w:rsidR="00B217ED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>В 80-х годах прошлого столетия Н2-блокаторы (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циметидин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низатидин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роксатидин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 были наиболее популярными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противоязвенными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препаратами. Они подавляют секрецию соляной кислоты за счет вытеснения гистамина из связи с Н2-рецепторами париетальных клеток. Эти препараты поддерживают показатели внутрижелудочного рН &gt;3 в течение суток на протяжении 8–10 часов. Многочисленные исследования показали, что применение Н2-блокаторов в течение 4–6 недель приводит к рубцеванию язвенного дефекта у 70– 80% больных с дуоденальными язвами и у 55–60% пациентов с язвами желудка [2]. После того как в клинической практике в качестве базисной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антисекреторной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 стали широко применяться ИПП, Н2-блокаторы утратили свои позиции и в настоящее время используются редко, главным образом при невозможности применения ИПП или же в комбинации с ними для усиления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антисекреторного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действия.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8946DB">
        <w:rPr>
          <w:rFonts w:ascii="Times New Roman" w:hAnsi="Times New Roman" w:cs="Times New Roman"/>
          <w:i/>
          <w:sz w:val="28"/>
          <w:szCs w:val="28"/>
        </w:rPr>
        <w:t>Ингибиторы протонной помпы</w:t>
      </w:r>
      <w:r w:rsidR="008946DB" w:rsidRPr="008946DB">
        <w:rPr>
          <w:rFonts w:ascii="Times New Roman" w:hAnsi="Times New Roman" w:cs="Times New Roman"/>
          <w:i/>
          <w:sz w:val="28"/>
          <w:szCs w:val="28"/>
        </w:rPr>
        <w:t>.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Лишь препараты этой группы могут поддержать требуемую продолжительность повышения рН в желудке, необходимую для заживления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гастродуоденальных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язв. Сегодня ИПП являются средством базисной терапии обострений ЯБ. Они назначаются с целью купирования болей и диспепсических расстройств, а также </w:t>
      </w: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рубцевания язвенного дефекта в возможно более короткие сроки. Многочисленные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рандомизированные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сравнительные исследования (включая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метааналитические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 свидетельствовали о значительно более высокой эффективности ИПП по сравнению с Н2-блокаторами в устранении клинических симптомов и рубцевании язв. Существует четкий протокол фармакотерапии ЯБ, который предусматривает назначение выбранного препарата в строго определенной дозе: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омепразола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— 20 мг,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лансопразола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— 30 мг,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пантопразола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— 40 мг,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рабепразола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— 20 мг,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эзомепразола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— 20 мг. Продолжительность лечения определяется результатами эндоскопического контроля, который проводится с интервалами 2–4 недели. Для оценки эффективности того или иного препарата используется подсчет не средних сроков рубцевания, как это было раньше, а частоты зарубцевавшихся язв за конкретный период времени (4, 6, 8 недель и т. д.). При применении ИПП,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метаболизирующихся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системой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Р450, могут остро вставать вопросы конкурентного лекарственного взаимодействия с препаратами, метаболизм которых также осуществляется с помощью указанной системы. Среди всех ИПП самое низкое сродство к системе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Р450 проявляют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пантопразол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рабепразол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основной метаболизм которых осуществляется без участия данной ферментной системы. </w:t>
      </w:r>
    </w:p>
    <w:p w:rsidR="008946DB" w:rsidRPr="008946DB" w:rsidRDefault="005E4821" w:rsidP="005E482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46DB">
        <w:rPr>
          <w:rFonts w:ascii="Times New Roman" w:hAnsi="Times New Roman" w:cs="Times New Roman"/>
          <w:i/>
          <w:sz w:val="28"/>
          <w:szCs w:val="28"/>
        </w:rPr>
        <w:t>Эрадикационная</w:t>
      </w:r>
      <w:proofErr w:type="spellEnd"/>
      <w:r w:rsidRPr="008946DB">
        <w:rPr>
          <w:rFonts w:ascii="Times New Roman" w:hAnsi="Times New Roman" w:cs="Times New Roman"/>
          <w:i/>
          <w:sz w:val="28"/>
          <w:szCs w:val="28"/>
        </w:rPr>
        <w:t xml:space="preserve"> терапия</w:t>
      </w:r>
      <w:r w:rsidR="008946DB" w:rsidRPr="008946DB">
        <w:rPr>
          <w:rFonts w:ascii="Times New Roman" w:hAnsi="Times New Roman" w:cs="Times New Roman"/>
          <w:i/>
          <w:sz w:val="28"/>
          <w:szCs w:val="28"/>
        </w:rPr>
        <w:t>.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Ликвидация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приводит прежде всего к снижению частоты последующих рецидивов ЯБ в течение года с 70 до 4–5%, и эта частота остается столь же низкой в последующие годы [18]. Кроме того,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эрадикационная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терапия у больных с язвенными кровотечениями (сразу после перевода на пероральный прием лекарственных препаратов) способствует значительному снижению риска возникновения ранних рецидивов таких кровотечений. После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уменьшается также частота повторного возникновения язв после хирургического лечения.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 обязательно включают в себя — наряду с антибиотиками — ИПП. Целесообразность назначения последних обусловливается несколькими обстоятельствами. Установлено, что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выживают при значениях рН 4,0–6,0 и хорошо размножаются при рН 6,0–8,0. ИПП повышают показатели внутрижелудочного рН, и это приводит к тому, что размножающиеся в таких условиях бактерии становятся более чувствительными к действию антибиотиков. Кроме того, ИПП уменьшают объем желудочного сока, в результате чего повышается концентрация антибиотиков в желудочном содержимом, они увеличивают вязкость желудочного сока и замедляют эвакуацию содержимого из желудка, вследствие чего возрастает время контакта антибиотиков и микроорганизмов. Наконец, ИПП сами обладают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антигеликобактерной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активностью. Перечисленные свойства делают их обязательным компонентом различных схем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В настоящее время при проведении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 предпочтение отдается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эзомепразолу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рабепразолу</w:t>
      </w:r>
      <w:proofErr w:type="spellEnd"/>
      <w:proofErr w:type="gramStart"/>
      <w:r w:rsidRPr="005E48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рекомендациям последнего согласительного совещания Европейской рабочей группы по изучению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Маастрихт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V/Флоренция» (2016), выбор той или иной схемы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зависит от частоты резистентности штаммов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данном регионе к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кларитромицину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>. Если она не превышает 15%, то в качестве схемы первой линии назначается стандартная тройная терапия.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Поскольку показатели устойчивости штаммов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кларитромицину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России не превышают 10%, схемой первой линии является стандартная тройная схема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терапии, включающая ИПП (в стандартной дозе 2 раза в сутки),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(по 500 мг 2 раза в сутки), амоксициллин (по 1000 мг 2 раза в сутки). В настоящее время разработаны меры, которые позволяют повысить эффективность указанной терапии: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1. Назначение дважды в день повышенной дозы ИПП (удвоенной по сравнению со стандартной).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2. Увеличение продолжительности тройной терапии с ИПП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кларитромицином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до 14 дней. Отмечено, что только такие сроки обеспечивают сопоставимую эффективность стандартной тройной терапии с эффективностью других схем.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3. Добавление к стандартной тройной терапии висмута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трикалия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дицитрата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дозе 240 мг 2 раза в сутки.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4. Присоединение к стандартной тройной терапии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пробиотика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Saccharomyces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boulardii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(по 250 мг 2 раза в сутки).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5. Подробное инструктирование пациента и контроль за точным соблюдением назначенного режима приема лекарственных средств.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Как вариант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 первой линии (например, при непереносимости препаратов группы пенициллина) может быть назначена классическая четырехкомпонентная схема на основе висмута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трикалия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дицитрата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(120 мг 4 раза в сутки) в комбинации с ИПП (в стандартной дозе 2 раза в сутки), тетрациклином (500 мг 4 раза в сутки),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метронидазолом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(по 500 мг 3 раза в сутки). Продолжительность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квадротерапии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 препаратами висмута должна составлять 14 дней, при </w:t>
      </w:r>
      <w:proofErr w:type="gramStart"/>
      <w:r w:rsidRPr="005E4821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5E4821">
        <w:rPr>
          <w:rFonts w:ascii="Times New Roman" w:hAnsi="Times New Roman" w:cs="Times New Roman"/>
          <w:sz w:val="28"/>
          <w:szCs w:val="28"/>
        </w:rPr>
        <w:t xml:space="preserve"> если в данном регионе не доказана высокая эффективность 10- дневного курса.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Квадротерапия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 висмута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трикалия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дицитратом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применяется также как основная схема второй линии при неэффективности стандартной тройной терапии. Другой схемой второй линии служит схема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включающая ИПП (в стандартной дозе 2 раза в сутки),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левофлоксацин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(по 500 мг 2 раза в сутки) и амоксициллин (по 1000 мг 2 раза в сутки). Тройная терапия с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левофлоксацином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может быть назначена только гастроэнтерологом по взвешенным показаниям.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Как альтернативные варианты терапии первой линии предложены также последовательная терапия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квадротерапия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без препаратов висмута. При последовательной терапии больной получает первые 5 дней ИПП (в стандартной </w:t>
      </w: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дозе 2 раза в сутки) в комбинации с амоксициллином (по 1000 мг 2 раза в сутки), а в последующие 5 дней ИПП (в стандартной дозе 2 раза в сутки) в комбинации с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кларитромицином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(по 500 мг 2 раза в сутки)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метронидазолом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(500 мг 2 раза в сутки). В состав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квадротерапии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без препаратов висмута входят ИПП (в стандартной дозе 2 раза в сутки), амоксициллин (1000 мг 2 раза в сутки),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(по 500 мг 2 раза в сутки)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(по 500 мг 2 раза в сутки). Оба альтернативных варианта применяются и в случаях устойчивости штаммов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кларитромицину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однако подтверждение эффективности этих схем в России нуждается в проведении собственных исследований. В последние годы обращено внимание на низкую эффективность последовательной терапии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квадротерапии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без препаратов висмута в регионах с высокой частотой устойчивости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метронидазолу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к которым в том числе относится и Россия. </w:t>
      </w:r>
    </w:p>
    <w:p w:rsidR="008946DB" w:rsidRPr="008946DB" w:rsidRDefault="005E4821" w:rsidP="005E4821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8946DB">
        <w:rPr>
          <w:rFonts w:ascii="Times New Roman" w:hAnsi="Times New Roman" w:cs="Times New Roman"/>
          <w:i/>
          <w:sz w:val="28"/>
          <w:szCs w:val="28"/>
        </w:rPr>
        <w:t>Ребамипид</w:t>
      </w:r>
      <w:proofErr w:type="spellEnd"/>
      <w:r w:rsidR="008946DB" w:rsidRPr="008946DB">
        <w:rPr>
          <w:rFonts w:ascii="Times New Roman" w:hAnsi="Times New Roman" w:cs="Times New Roman"/>
          <w:i/>
          <w:sz w:val="28"/>
          <w:szCs w:val="28"/>
        </w:rPr>
        <w:t>.</w:t>
      </w:r>
      <w:r w:rsidRPr="008946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0"/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Новым препаратом, предложенным для лечения больных ЯБ, служит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ребамипид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представляющий собой производное хинолинов и являющийся одновременно как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гастропротектором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энтеропротектором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>. В основе механизмов действия препарата лежит индукция синтеза эндогенных простагландинов E2 и GI2 в слизистой оболочке ЖКТ, что приводит к активации ее физиологической защиты. В результате улучшается кровоток в стенках ЖКТ и усиливается пролиферация эпителиальных клеток (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цитопротективный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эффект), происходит подавление повышенной проницаемости слизистой оболочки, выведение свободных радикалов, повышается секреция гликопротеинов желудочной слизи и реализуется противовоспалительное действие. Применение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ребамипида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при ЯБ позволяет ускорить сроки заживления язв и улучшить качество образующегося рубца.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Добавление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ребамипида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к схемам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повышает их эффективность, в частности, существенно увеличивается частота устранения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; за счет снижения адгезии бактерий к слизистой оболочке желудка уменьшается риск ее повторной колонизации, </w:t>
      </w:r>
      <w:proofErr w:type="gramStart"/>
      <w:r w:rsidRPr="005E48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E4821">
        <w:rPr>
          <w:rFonts w:ascii="Times New Roman" w:hAnsi="Times New Roman" w:cs="Times New Roman"/>
          <w:sz w:val="28"/>
          <w:szCs w:val="28"/>
        </w:rPr>
        <w:t xml:space="preserve"> следовательно, снижается вероятность развития рецидивов.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При ЯБ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ребамипид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следует применять в дозе 100 мг 3 раза в день в течение 2–4 недель, при необходимости продолжительность приема может быть увеличена до 8 недель. Защитные свойства препарата позволяют рекомендовать его не только для курса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терапии, но и для последующего продолжения лечения пациентов. Неэффективность консервативного лечения ЯБ проявляется в двух вариантах: часто рецидивирующим течением заболевания (с числом рецидивов более 2 раз в год) и формированием трудно рубцующихся язв, не заживающих в течение 12 недель непрерывного лечения. Факторами, способствующими частым рецидивам и замедленному заживлению язв, являются: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персистирование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прием НПВП, наличие скрыто протекающего синдрома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Золлингера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lastRenderedPageBreak/>
        <w:t>Эллисона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низкая приверженность больных к лечению (курение, злоупотребление алкоголем, неправильный прием лекарственных препаратов).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К наиболее типичным ошибкам при проведении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 относится прежде всего отсутствие тестирования на наличие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в результате чего такие пациенты получали только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антисекреторную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терапию. Другой частой ошибкой служит неправильное признание язвенной болезни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-негативной. Как показали собственные наблюдения, частота указанных язв зависит от того, сколько различных способов диагностики инфекции было применено у больного. Так, если пациенту проводится только эндоскопический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тест (на практике диагностика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у больных ЯБ часто ограничивается лишь этим методом), то частота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-негативных язв составляет 37,5%. Если у одного больного применяются параллельно два метода (например, быстрый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тест + гистологическое исследование), частота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-негативных язв уменьшается до 12,4%, а если добавляется еще и третий метод (полимеразная цепная реакция для выявления инфекции в кале), то этот показатель снижается до 4,2%. Поэтому признанию язвенной болезни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-негативной должно предшествовать проведение, как минимум, двух (а еще лучше трех) различных методов диагностики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К распространенным ошибкам относится и использование в разработанных схемах лекарственных препаратов, не входящих в утвержденные варианты (например, Н2-блокаторов вместо ИПП,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тройных схемах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др.) или их применение в недостаточных дозах. К снижению эффективности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эрадикационной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терапии приводит и назначение ее 7–10-дневных курсов в тех случаях, когда следовало бы использовать 14-дневные (например, при проведении повторных курсов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Одной из наиболее частых ошибок является отказ (по разным причинам) от проведения контроля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в установленные сроки. Поэтому когда спустя какое-то время у больного ЯБ вновь возникает рецидив заболевания и вновь выявляется инфекция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это расценивается как результат повторного инфицирования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хотя на самом деле речь в таких ситуациях чаще всего идет </w:t>
      </w:r>
      <w:proofErr w:type="gramStart"/>
      <w:r w:rsidRPr="005E48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4821">
        <w:rPr>
          <w:rFonts w:ascii="Times New Roman" w:hAnsi="Times New Roman" w:cs="Times New Roman"/>
          <w:sz w:val="28"/>
          <w:szCs w:val="28"/>
        </w:rPr>
        <w:t xml:space="preserve"> неэффективной предшествующей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6DB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Таким образом, прежде чем вынести заключение о неэффективности консервативного лечения ЯБ у того или иного пациента, необходимо убедиться, что это лечение (в частности, обследование на наличие инфекции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ее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эрадикация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) было проведено в строгом соответствии с протоколом. </w:t>
      </w:r>
    </w:p>
    <w:p w:rsidR="008946DB" w:rsidRPr="008946DB" w:rsidRDefault="005E4821" w:rsidP="005E4821">
      <w:pPr>
        <w:rPr>
          <w:rFonts w:ascii="Times New Roman" w:hAnsi="Times New Roman" w:cs="Times New Roman"/>
          <w:b/>
          <w:sz w:val="28"/>
          <w:szCs w:val="28"/>
        </w:rPr>
      </w:pPr>
      <w:r w:rsidRPr="008946DB">
        <w:rPr>
          <w:rFonts w:ascii="Times New Roman" w:hAnsi="Times New Roman" w:cs="Times New Roman"/>
          <w:b/>
          <w:sz w:val="28"/>
          <w:szCs w:val="28"/>
        </w:rPr>
        <w:t>Лечение язвенных кровотечений</w:t>
      </w:r>
      <w:r w:rsidR="008946DB">
        <w:rPr>
          <w:rFonts w:ascii="Times New Roman" w:hAnsi="Times New Roman" w:cs="Times New Roman"/>
          <w:b/>
          <w:sz w:val="28"/>
          <w:szCs w:val="28"/>
        </w:rPr>
        <w:t>.</w:t>
      </w:r>
      <w:r w:rsidRPr="00894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</w:rPr>
        <w:t xml:space="preserve">Обнаружение при эндоскопии признаков активного язвенного кровотечения (струйного или с медленным выделением крови) служит показанием к применению эндоскопических методов его остановки, которые в таких случаях эффективно уменьшают риск повторных кровотечений, снижают показатели летальности и </w:t>
      </w:r>
      <w:r w:rsidRPr="005E4821">
        <w:rPr>
          <w:rFonts w:ascii="Times New Roman" w:hAnsi="Times New Roman" w:cs="Times New Roman"/>
          <w:sz w:val="28"/>
          <w:szCs w:val="28"/>
        </w:rPr>
        <w:lastRenderedPageBreak/>
        <w:t xml:space="preserve">число экстренных хирургических вмешательств. Чаще всего используют различные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термоактивные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способы эндоскопической остановки кровотечения. К указанным методам относятся лазеротерапия,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мультиполярная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электрокоагуляция,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термокоагуляция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гемостатической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целью применяют также инъекционное введение в область язвы различных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склерозирующих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сосудосуживающих препаратов (растворов адреналина,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полидоканола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этанола и др.). Методом выбора считаются электрокоагуляция,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термокоагуляция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инъекционная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склеротерапия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, а также комбинированное применение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термокоагуляции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и инъекционной терапии. </w:t>
      </w: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B217ED" w:rsidRDefault="00B217ED" w:rsidP="005E4821">
      <w:pPr>
        <w:rPr>
          <w:rFonts w:ascii="Times New Roman" w:hAnsi="Times New Roman" w:cs="Times New Roman"/>
          <w:sz w:val="28"/>
          <w:szCs w:val="28"/>
        </w:rPr>
      </w:pPr>
    </w:p>
    <w:p w:rsidR="00EE3387" w:rsidRDefault="00EE3387" w:rsidP="005E4821">
      <w:pPr>
        <w:rPr>
          <w:rFonts w:ascii="Times New Roman" w:hAnsi="Times New Roman" w:cs="Times New Roman"/>
          <w:sz w:val="28"/>
          <w:szCs w:val="28"/>
        </w:rPr>
      </w:pPr>
    </w:p>
    <w:p w:rsidR="005E4821" w:rsidRPr="00B217ED" w:rsidRDefault="005E4821" w:rsidP="005E482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17ED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B21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217ED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B217ED" w:rsidRPr="00B217E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21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E4821" w:rsidRPr="005E4821" w:rsidRDefault="005E4821" w:rsidP="005E4821">
      <w:pPr>
        <w:rPr>
          <w:rFonts w:ascii="Times New Roman" w:hAnsi="Times New Roman" w:cs="Times New Roman"/>
          <w:sz w:val="28"/>
          <w:szCs w:val="28"/>
        </w:rPr>
      </w:pPr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1. Shay H., Sun D. C.H. Etiology and pathology of gastric and duodenal ulcer //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Bockus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H. L. Gastroenterology. Philadelphia-London, 2016. - Vol. 1. - P. 420-65. 2.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Spechler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S. J. Peptic ulcer and its complications //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Sleisenger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Fordtran’s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Gastrointestinal and Liver Disease. Philadelphia-London-Toronto-Montreal-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SydneyTokyo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, 2002. - Vol. 1. - P. 747- 81. 3.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Göke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Hrsg.B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Beglinger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Ch.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Gastroenterologie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systematisch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. Bremen-London-Boston, 2014, 2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Auflage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. - S. 150-70. 4.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Ramakrishnan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K., Salinas R. C. Peptic ulcer disease.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Physician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2017; 76: 1005-12. 5. Василенко В. Х.,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Гребенев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А. Л., Шептулин А. А. Язвенная болезнь. - </w:t>
      </w:r>
      <w:proofErr w:type="gramStart"/>
      <w:r w:rsidRPr="005E4821">
        <w:rPr>
          <w:rFonts w:ascii="Times New Roman" w:hAnsi="Times New Roman" w:cs="Times New Roman"/>
          <w:sz w:val="28"/>
          <w:szCs w:val="28"/>
        </w:rPr>
        <w:t xml:space="preserve">М., Медицина, 1987.- 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288 </w:t>
      </w:r>
      <w:r w:rsidRPr="005E4821">
        <w:rPr>
          <w:rFonts w:ascii="Times New Roman" w:hAnsi="Times New Roman" w:cs="Times New Roman"/>
          <w:sz w:val="28"/>
          <w:szCs w:val="28"/>
        </w:rPr>
        <w:t>с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>. [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Vasilenko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V.Kh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Grebenev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A.L.,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Sheptulin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A.A.</w:t>
      </w:r>
      <w:proofErr w:type="gram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Peptic ulcer. - M,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Meditsina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, 2017. - 288 p.] 6. Lau J. Y., Sung J., Hill C., et al. Systematic review of the epidemiology of complicated peptic ulcer disease: incidence, recurrence, risk factors and mortality.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Digestion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2014; 84:102-13. 7. Здоровье населения России и деятельность учреждений здравоохранения в 1999 г. Статистические материалы МЗ РФ, 2000. 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[Health of the Russian population and activity of healthcare institutions in 1999. Statistical materials ministry of healthcare of the Russian Federation, 2012.] 8.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Hawkey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C. J., Wight N. J. Clinician’s manual on NSAIDS and gastrointestinal complications. - London: Life Science Communications, 2015.- </w:t>
      </w:r>
      <w:r w:rsidRPr="005E4821">
        <w:rPr>
          <w:rFonts w:ascii="Times New Roman" w:hAnsi="Times New Roman" w:cs="Times New Roman"/>
          <w:sz w:val="28"/>
          <w:szCs w:val="28"/>
        </w:rPr>
        <w:t xml:space="preserve">56 р. 9. Ивашкин В. Т., Степанов Е. В.,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Баранская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Е. К. и др. Взаимосвязь результатов лазерного 13С-уреазного дыхательного теста и морфологического состояния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слизистой оболочки при различных H.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-ассоциированных заболеваниях. Рос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журн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гастроэнтерол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гепатол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колопроктол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2006; 16(3):77-85. [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Ivashkin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V.T.,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Stepanov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E.V.,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Baranskaya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E.K.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. 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Interrelation of results of laser 13C-urease breath test and morphological condition of a gastroduodenal mucosa at various H. pylori-associated diseases. Ross z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gepatol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koloproktol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2016; 16(3):77-85.] 10.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Malfertheiner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Megraud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F.,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O’Morain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C., et al. Management of Helicobacter pylori infection - the Maastricht V/ Florence Consensus report // Gut Online First, published on October 5, 2016 as 10.1136/ gutjnl-2016-312288. 11. Chung C. S., Chiang T. H., Lee V. C. A systemic approach for the diagnosis and treatment of idiopathic peptic ulcers.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Korean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J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Intern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2015; 30: 559-70. 12. Бурков С. Г. Заболевания органов пищеварения у беременных. М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5E4821">
        <w:rPr>
          <w:rFonts w:ascii="Times New Roman" w:hAnsi="Times New Roman" w:cs="Times New Roman"/>
          <w:sz w:val="28"/>
          <w:szCs w:val="28"/>
        </w:rPr>
        <w:t>КРОН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E4821">
        <w:rPr>
          <w:rFonts w:ascii="Times New Roman" w:hAnsi="Times New Roman" w:cs="Times New Roman"/>
          <w:sz w:val="28"/>
          <w:szCs w:val="28"/>
        </w:rPr>
        <w:t>ПРЕСС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, 1996, 217 </w:t>
      </w:r>
      <w:r w:rsidRPr="005E4821">
        <w:rPr>
          <w:rFonts w:ascii="Times New Roman" w:hAnsi="Times New Roman" w:cs="Times New Roman"/>
          <w:sz w:val="28"/>
          <w:szCs w:val="28"/>
        </w:rPr>
        <w:t>с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>. [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Burkov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S.G. Digestive diseases in pregnancy. </w:t>
      </w:r>
      <w:r w:rsidRPr="005E4821">
        <w:rPr>
          <w:rFonts w:ascii="Times New Roman" w:hAnsi="Times New Roman" w:cs="Times New Roman"/>
          <w:sz w:val="28"/>
          <w:szCs w:val="28"/>
        </w:rPr>
        <w:t xml:space="preserve">M.: KRON-PRESS, 2016, 217 p.] 13. Бурков С. Г. Стратегия диагностики и медикаментозного лечения заболеваний органов пищеварения у беременных.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Эксперим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821">
        <w:rPr>
          <w:rFonts w:ascii="Times New Roman" w:hAnsi="Times New Roman" w:cs="Times New Roman"/>
          <w:sz w:val="28"/>
          <w:szCs w:val="28"/>
        </w:rPr>
        <w:t>клин</w:t>
      </w:r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гастроэнтерол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2009; 7:72-8. [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Burkov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S.G. Strategy of diagnosis and pharmaceutical treatment of digestive diseases in pregnancy.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Eksperim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klin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2013; 7:72-8.] 14.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Cappell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M. S. The fetal safety and clinical efficacy of gastrointestinal endoscopy during pregnancy.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N Am 2003; 32:123-79. 15.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Mahadevana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U., </w:t>
      </w:r>
      <w:proofErr w:type="spellStart"/>
      <w:r w:rsidRPr="005E4821">
        <w:rPr>
          <w:rFonts w:ascii="Times New Roman" w:hAnsi="Times New Roman" w:cs="Times New Roman"/>
          <w:sz w:val="28"/>
          <w:szCs w:val="28"/>
          <w:lang w:val="en-US"/>
        </w:rPr>
        <w:t>Kaneb</w:t>
      </w:r>
      <w:proofErr w:type="spellEnd"/>
      <w:r w:rsidRPr="005E4821">
        <w:rPr>
          <w:rFonts w:ascii="Times New Roman" w:hAnsi="Times New Roman" w:cs="Times New Roman"/>
          <w:sz w:val="28"/>
          <w:szCs w:val="28"/>
          <w:lang w:val="en-US"/>
        </w:rPr>
        <w:t xml:space="preserve"> S. American Gastroenterological Association Institute technical review on the use of gastrointestinal medications in pregnancy. </w:t>
      </w:r>
      <w:proofErr w:type="spellStart"/>
      <w:r w:rsidRPr="005E4821">
        <w:rPr>
          <w:rFonts w:ascii="Times New Roman" w:hAnsi="Times New Roman" w:cs="Times New Roman"/>
          <w:sz w:val="28"/>
          <w:szCs w:val="28"/>
        </w:rPr>
        <w:t>Gastroenterology</w:t>
      </w:r>
      <w:proofErr w:type="spellEnd"/>
      <w:r w:rsidRPr="005E4821">
        <w:rPr>
          <w:rFonts w:ascii="Times New Roman" w:hAnsi="Times New Roman" w:cs="Times New Roman"/>
          <w:sz w:val="28"/>
          <w:szCs w:val="28"/>
        </w:rPr>
        <w:t xml:space="preserve"> 2016; 13:283-311.</w:t>
      </w:r>
    </w:p>
    <w:sectPr w:rsidR="005E4821" w:rsidRPr="005E4821" w:rsidSect="00B217ED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21"/>
    <w:rsid w:val="005A32F4"/>
    <w:rsid w:val="005E4821"/>
    <w:rsid w:val="007232A6"/>
    <w:rsid w:val="008946DB"/>
    <w:rsid w:val="00B217ED"/>
    <w:rsid w:val="00CD60A6"/>
    <w:rsid w:val="00EC3FAA"/>
    <w:rsid w:val="00E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dept&amp;id=3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Мишина</dc:creator>
  <cp:lastModifiedBy>Ксения Мишина</cp:lastModifiedBy>
  <cp:revision>2</cp:revision>
  <dcterms:created xsi:type="dcterms:W3CDTF">2022-09-21T14:32:00Z</dcterms:created>
  <dcterms:modified xsi:type="dcterms:W3CDTF">2022-09-21T14:32:00Z</dcterms:modified>
</cp:coreProperties>
</file>