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EC" w:rsidRDefault="00FA7204">
      <w:pPr>
        <w:spacing w:after="0" w:line="268" w:lineRule="auto"/>
        <w:ind w:left="1654" w:hanging="10"/>
        <w:jc w:val="left"/>
      </w:pPr>
      <w:r>
        <w:rPr>
          <w:i w:val="0"/>
          <w:sz w:val="28"/>
        </w:rPr>
        <w:t xml:space="preserve">ФЕДЕРАЛЬНОЕ ГОСУДАРСТВЕННОЕ БЮДЖЕТНОЕ </w:t>
      </w:r>
    </w:p>
    <w:p w:rsidR="00A849EC" w:rsidRDefault="00FA7204">
      <w:pPr>
        <w:spacing w:after="3" w:line="268" w:lineRule="auto"/>
        <w:ind w:left="10" w:right="10" w:hanging="10"/>
        <w:jc w:val="center"/>
      </w:pPr>
      <w:r>
        <w:rPr>
          <w:i w:val="0"/>
          <w:sz w:val="28"/>
        </w:rPr>
        <w:t xml:space="preserve">ОБРАЗОВАТЕЛЬНОЕ УЧРЕЖДЕНИЕ ВЫСШЕГО ОБРАЗОВАНИЯ </w:t>
      </w:r>
    </w:p>
    <w:p w:rsidR="00A849EC" w:rsidRDefault="00FA7204">
      <w:pPr>
        <w:spacing w:after="3" w:line="268" w:lineRule="auto"/>
        <w:ind w:left="10" w:hanging="10"/>
        <w:jc w:val="center"/>
      </w:pPr>
      <w:r>
        <w:rPr>
          <w:i w:val="0"/>
          <w:sz w:val="28"/>
        </w:rPr>
        <w:t xml:space="preserve">«КРАСНОЯРСКИЙ ГОСУДАРСТВЕННЫЙ МЕДИЦИНСКИЙ УНИВЕРСИТЕТ ИМЕНИ ПРОФЕССОРА В.Ф. ВОЙНО-ЯСЕНЕЦКОГО» </w:t>
      </w:r>
    </w:p>
    <w:p w:rsidR="00A849EC" w:rsidRDefault="00FA7204">
      <w:pPr>
        <w:spacing w:after="0" w:line="268" w:lineRule="auto"/>
        <w:ind w:left="204" w:hanging="10"/>
        <w:jc w:val="left"/>
      </w:pPr>
      <w:r>
        <w:rPr>
          <w:i w:val="0"/>
          <w:sz w:val="28"/>
        </w:rPr>
        <w:t xml:space="preserve">МИНИСТЕРСТВА ЗДРАВООХРАНЕНИЯ РОССИЙСКОЙ ФЕДЕРАЦИИ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25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68" w:lineRule="auto"/>
        <w:ind w:left="2067" w:hanging="10"/>
        <w:jc w:val="left"/>
      </w:pPr>
      <w:r>
        <w:rPr>
          <w:i w:val="0"/>
          <w:sz w:val="28"/>
        </w:rPr>
        <w:t xml:space="preserve">Кафедра Анестезиологии и реаниматологии ИПО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68" w:lineRule="auto"/>
        <w:ind w:left="3320" w:hanging="2055"/>
        <w:jc w:val="left"/>
      </w:pPr>
      <w:r>
        <w:rPr>
          <w:i w:val="0"/>
          <w:sz w:val="28"/>
        </w:rPr>
        <w:t>Реферат на тему: «</w:t>
      </w:r>
      <w:proofErr w:type="spellStart"/>
      <w:r>
        <w:rPr>
          <w:i w:val="0"/>
          <w:sz w:val="28"/>
        </w:rPr>
        <w:t>Нутритивная</w:t>
      </w:r>
      <w:proofErr w:type="spellEnd"/>
      <w:r>
        <w:rPr>
          <w:i w:val="0"/>
          <w:sz w:val="28"/>
        </w:rPr>
        <w:t xml:space="preserve"> поддержка пациентов в палате интенсивной терапии»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25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26" w:line="259" w:lineRule="auto"/>
        <w:ind w:left="10" w:right="-4" w:hanging="10"/>
        <w:jc w:val="right"/>
      </w:pPr>
      <w:r>
        <w:rPr>
          <w:i w:val="0"/>
          <w:sz w:val="28"/>
        </w:rPr>
        <w:t xml:space="preserve">Выполнила: ординатор 1 года </w:t>
      </w:r>
    </w:p>
    <w:p w:rsidR="00A849EC" w:rsidRDefault="00FA7204">
      <w:pPr>
        <w:spacing w:after="26" w:line="259" w:lineRule="auto"/>
        <w:ind w:left="10" w:right="-4" w:hanging="10"/>
        <w:jc w:val="right"/>
      </w:pPr>
      <w:r>
        <w:rPr>
          <w:i w:val="0"/>
          <w:sz w:val="28"/>
        </w:rPr>
        <w:t xml:space="preserve">кафедры анестезиологии и реаниматологии ИПО </w:t>
      </w:r>
    </w:p>
    <w:p w:rsidR="00A849EC" w:rsidRDefault="00FA7204">
      <w:pPr>
        <w:spacing w:after="0" w:line="259" w:lineRule="auto"/>
        <w:ind w:left="10" w:right="-4" w:hanging="10"/>
        <w:jc w:val="right"/>
      </w:pPr>
      <w:r>
        <w:rPr>
          <w:i w:val="0"/>
          <w:sz w:val="28"/>
        </w:rPr>
        <w:t>Захарова Анастасия Владимировна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firstLine="0"/>
        <w:jc w:val="left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firstLine="0"/>
        <w:jc w:val="left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63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0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23" w:line="259" w:lineRule="auto"/>
        <w:ind w:left="769" w:firstLine="0"/>
        <w:jc w:val="center"/>
      </w:pPr>
      <w:r>
        <w:rPr>
          <w:i w:val="0"/>
          <w:sz w:val="28"/>
        </w:rPr>
        <w:t xml:space="preserve"> </w:t>
      </w:r>
    </w:p>
    <w:p w:rsidR="00A849EC" w:rsidRDefault="00FA7204">
      <w:pPr>
        <w:spacing w:after="3" w:line="268" w:lineRule="auto"/>
        <w:ind w:left="712" w:hanging="10"/>
        <w:jc w:val="center"/>
      </w:pPr>
      <w:r>
        <w:rPr>
          <w:i w:val="0"/>
          <w:sz w:val="28"/>
        </w:rPr>
        <w:t xml:space="preserve">Красноярск </w:t>
      </w:r>
    </w:p>
    <w:p w:rsidR="00A849EC" w:rsidRDefault="00FA7204">
      <w:pPr>
        <w:spacing w:after="3" w:line="268" w:lineRule="auto"/>
        <w:ind w:left="712" w:hanging="10"/>
        <w:jc w:val="center"/>
      </w:pPr>
      <w:r>
        <w:rPr>
          <w:i w:val="0"/>
          <w:sz w:val="28"/>
        </w:rPr>
        <w:t xml:space="preserve">2022 </w:t>
      </w:r>
    </w:p>
    <w:p w:rsidR="00FA7204" w:rsidRDefault="00FA7204">
      <w:pPr>
        <w:spacing w:after="0" w:line="259" w:lineRule="auto"/>
        <w:ind w:left="699" w:firstLine="0"/>
        <w:jc w:val="center"/>
        <w:rPr>
          <w:b/>
          <w:i w:val="0"/>
        </w:rPr>
      </w:pPr>
    </w:p>
    <w:p w:rsidR="00FA7204" w:rsidRDefault="00FA7204">
      <w:pPr>
        <w:spacing w:after="0" w:line="259" w:lineRule="auto"/>
        <w:ind w:left="699" w:firstLine="0"/>
        <w:jc w:val="center"/>
        <w:rPr>
          <w:b/>
          <w:i w:val="0"/>
        </w:rPr>
      </w:pPr>
    </w:p>
    <w:p w:rsidR="00FA7204" w:rsidRDefault="00FA7204">
      <w:pPr>
        <w:spacing w:after="0" w:line="259" w:lineRule="auto"/>
        <w:ind w:left="699" w:firstLine="0"/>
        <w:jc w:val="center"/>
        <w:rPr>
          <w:b/>
          <w:i w:val="0"/>
        </w:rPr>
      </w:pPr>
    </w:p>
    <w:p w:rsidR="00A849EC" w:rsidRDefault="00FA7204" w:rsidP="00FA7204">
      <w:pPr>
        <w:spacing w:after="0" w:line="259" w:lineRule="auto"/>
        <w:ind w:left="699" w:firstLine="0"/>
        <w:jc w:val="center"/>
      </w:pPr>
      <w:r>
        <w:rPr>
          <w:b/>
          <w:i w:val="0"/>
        </w:rPr>
        <w:lastRenderedPageBreak/>
        <w:t>СОДЕРЖАНИЕ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Введение 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Общие принципы назначения и введения 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Диагностика </w:t>
      </w:r>
      <w:proofErr w:type="spellStart"/>
      <w:r>
        <w:rPr>
          <w:i w:val="0"/>
        </w:rPr>
        <w:t>белково</w:t>
      </w:r>
      <w:proofErr w:type="spellEnd"/>
      <w:r>
        <w:rPr>
          <w:i w:val="0"/>
        </w:rPr>
        <w:t xml:space="preserve">-энергетической недостаточности в </w:t>
      </w:r>
      <w:proofErr w:type="spellStart"/>
      <w:r>
        <w:rPr>
          <w:i w:val="0"/>
        </w:rPr>
        <w:t>периоперационном</w:t>
      </w:r>
      <w:proofErr w:type="spellEnd"/>
      <w:r>
        <w:rPr>
          <w:i w:val="0"/>
        </w:rPr>
        <w:t xml:space="preserve"> периоде 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Противопоказания к проведению </w:t>
      </w:r>
      <w:proofErr w:type="spellStart"/>
      <w:r>
        <w:rPr>
          <w:i w:val="0"/>
        </w:rPr>
        <w:t>нп</w:t>
      </w:r>
      <w:proofErr w:type="spellEnd"/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Критерии назначения </w:t>
      </w:r>
      <w:proofErr w:type="spellStart"/>
      <w:r>
        <w:rPr>
          <w:i w:val="0"/>
        </w:rPr>
        <w:t>нутритивной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поддежки</w:t>
      </w:r>
      <w:proofErr w:type="spellEnd"/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Состав сред для </w:t>
      </w:r>
      <w:proofErr w:type="spellStart"/>
      <w:r>
        <w:rPr>
          <w:i w:val="0"/>
        </w:rPr>
        <w:t>нутритиционной</w:t>
      </w:r>
      <w:proofErr w:type="spellEnd"/>
      <w:r>
        <w:rPr>
          <w:i w:val="0"/>
        </w:rPr>
        <w:t xml:space="preserve"> поддержки 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Применение </w:t>
      </w:r>
    </w:p>
    <w:p w:rsidR="00A849EC" w:rsidRDefault="00FA7204">
      <w:pPr>
        <w:numPr>
          <w:ilvl w:val="0"/>
          <w:numId w:val="1"/>
        </w:numPr>
        <w:spacing w:after="12" w:line="270" w:lineRule="auto"/>
        <w:ind w:firstLine="708"/>
      </w:pPr>
      <w:r>
        <w:rPr>
          <w:i w:val="0"/>
        </w:rPr>
        <w:t xml:space="preserve">Список литературы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pStyle w:val="1"/>
        <w:ind w:left="708"/>
      </w:pPr>
      <w:r>
        <w:lastRenderedPageBreak/>
        <w:t xml:space="preserve">ВВЕДЕНИЕ </w:t>
      </w:r>
    </w:p>
    <w:p w:rsidR="00A849EC" w:rsidRDefault="00FA7204">
      <w:pPr>
        <w:spacing w:after="0" w:line="259" w:lineRule="auto"/>
        <w:ind w:left="759" w:firstLine="0"/>
        <w:jc w:val="center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поддержка (клиническое питание) помогает организму справляться с заболеваниями, инфекциями, с последствиями хирургических вмешательств и травм. Целью </w:t>
      </w:r>
      <w:proofErr w:type="spellStart"/>
      <w:r>
        <w:rPr>
          <w:i w:val="0"/>
        </w:rPr>
        <w:t>нутритивной</w:t>
      </w:r>
      <w:proofErr w:type="spellEnd"/>
      <w:r>
        <w:rPr>
          <w:i w:val="0"/>
        </w:rPr>
        <w:t xml:space="preserve"> терапии является поддержание или улучшение </w:t>
      </w:r>
      <w:proofErr w:type="spellStart"/>
      <w:r>
        <w:rPr>
          <w:i w:val="0"/>
        </w:rPr>
        <w:t>нутритивного</w:t>
      </w:r>
      <w:proofErr w:type="spellEnd"/>
      <w:r>
        <w:rPr>
          <w:i w:val="0"/>
        </w:rPr>
        <w:t xml:space="preserve"> статуса. Это достигается з</w:t>
      </w:r>
      <w:r>
        <w:rPr>
          <w:i w:val="0"/>
        </w:rPr>
        <w:t xml:space="preserve">а счет предотвращения развития недостаточности питания и ее лечения, поддержания состава тканей и содержания белка в плазме крови, а также предотвращения дефицита макро- и микронутриентов. </w:t>
      </w: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терапия может проводиться различными способами. 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Тип </w:t>
      </w:r>
      <w:proofErr w:type="spellStart"/>
      <w:r>
        <w:rPr>
          <w:i w:val="0"/>
        </w:rPr>
        <w:t>н</w:t>
      </w:r>
      <w:r>
        <w:rPr>
          <w:i w:val="0"/>
        </w:rPr>
        <w:t>утритивной</w:t>
      </w:r>
      <w:proofErr w:type="spellEnd"/>
      <w:r>
        <w:rPr>
          <w:i w:val="0"/>
        </w:rPr>
        <w:t xml:space="preserve"> поддержки в значительной степени зависит от состояния пациента, его потребностей и заболевания. Он будет отличаться у хирургических пациентов в отделении реанимации и интенсивной терапии, пациентов проходящих противоопухолевую терапию или находя</w:t>
      </w:r>
      <w:r>
        <w:rPr>
          <w:i w:val="0"/>
        </w:rPr>
        <w:t xml:space="preserve">щихся на хроническом диализе.  </w:t>
      </w:r>
    </w:p>
    <w:p w:rsidR="00A849EC" w:rsidRDefault="00FA7204">
      <w:pPr>
        <w:spacing w:after="12" w:line="270" w:lineRule="auto"/>
        <w:ind w:left="-15" w:firstLine="708"/>
      </w:pP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терапия включает все виды поддержки: от дополнительного перорального питания пациентов, чьи потребности не могут быть удовлетворены за счет обычной пищи, до полного парентерального питания пациентов, которым недо</w:t>
      </w:r>
      <w:r>
        <w:rPr>
          <w:i w:val="0"/>
        </w:rPr>
        <w:t xml:space="preserve">статочно перорального или </w:t>
      </w:r>
      <w:proofErr w:type="spellStart"/>
      <w:r>
        <w:rPr>
          <w:i w:val="0"/>
        </w:rPr>
        <w:t>энтерального</w:t>
      </w:r>
      <w:proofErr w:type="spellEnd"/>
      <w:r>
        <w:rPr>
          <w:i w:val="0"/>
        </w:rPr>
        <w:t xml:space="preserve"> питания или питание через ЖКТ невозможно. Запасов питательных веществ в организме в обычных условиях хватает на короткий период голодания. У пациентов с недостаточностью питания или с риском ее возникновения даже коро</w:t>
      </w:r>
      <w:r>
        <w:rPr>
          <w:i w:val="0"/>
        </w:rPr>
        <w:t>ткие периоды без соответствующего питания представляют дополнительную опасность, которая может привести к негативным клиническим исходам с повышенной заболеваемостью и смертностью. В зависимости от группы населения, приблизительно у 20–50 % госпитализирова</w:t>
      </w:r>
      <w:r>
        <w:rPr>
          <w:i w:val="0"/>
        </w:rPr>
        <w:t xml:space="preserve">нных пациентов диагностируется недостаточность питания. </w:t>
      </w:r>
    </w:p>
    <w:p w:rsidR="00A849EC" w:rsidRDefault="00FA7204">
      <w:pPr>
        <w:spacing w:after="12" w:line="270" w:lineRule="auto"/>
        <w:ind w:left="-5" w:hanging="10"/>
      </w:pPr>
      <w:r>
        <w:rPr>
          <w:i w:val="0"/>
        </w:rPr>
        <w:t xml:space="preserve">Следовательно, им необходимо проведение </w:t>
      </w:r>
      <w:proofErr w:type="spellStart"/>
      <w:r>
        <w:rPr>
          <w:i w:val="0"/>
        </w:rPr>
        <w:t>нутритивной</w:t>
      </w:r>
      <w:proofErr w:type="spellEnd"/>
      <w:r>
        <w:rPr>
          <w:i w:val="0"/>
        </w:rPr>
        <w:t xml:space="preserve"> терапии.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Существует два подхода к проведению </w:t>
      </w:r>
      <w:proofErr w:type="spellStart"/>
      <w:r>
        <w:rPr>
          <w:i w:val="0"/>
        </w:rPr>
        <w:t>нутритивной</w:t>
      </w:r>
      <w:proofErr w:type="spellEnd"/>
      <w:r>
        <w:rPr>
          <w:i w:val="0"/>
        </w:rPr>
        <w:t xml:space="preserve"> терапии: через </w:t>
      </w:r>
      <w:proofErr w:type="spellStart"/>
      <w:r>
        <w:rPr>
          <w:i w:val="0"/>
        </w:rPr>
        <w:t>желудочнокишечный</w:t>
      </w:r>
      <w:proofErr w:type="spellEnd"/>
      <w:r>
        <w:rPr>
          <w:i w:val="0"/>
        </w:rPr>
        <w:t xml:space="preserve"> тракт (</w:t>
      </w:r>
      <w:proofErr w:type="spellStart"/>
      <w:r>
        <w:rPr>
          <w:i w:val="0"/>
        </w:rPr>
        <w:t>энтеральное</w:t>
      </w:r>
      <w:proofErr w:type="spellEnd"/>
      <w:r>
        <w:rPr>
          <w:i w:val="0"/>
        </w:rPr>
        <w:t xml:space="preserve"> питание) или минуя ЖКТ (парентерально</w:t>
      </w:r>
      <w:r>
        <w:rPr>
          <w:i w:val="0"/>
        </w:rPr>
        <w:t xml:space="preserve">е питание).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В зависимости от основного заболевания, потребности пациентов различаются. Именно поэтому питание пациентов в критических состояниях на сегодняшней день остается трудной задачей. </w:t>
      </w:r>
      <w:proofErr w:type="spellStart"/>
      <w:r>
        <w:rPr>
          <w:i w:val="0"/>
        </w:rPr>
        <w:t>Энтеральное</w:t>
      </w:r>
      <w:proofErr w:type="spellEnd"/>
      <w:r>
        <w:rPr>
          <w:i w:val="0"/>
        </w:rPr>
        <w:t xml:space="preserve"> питание считается предпочтительным методом </w:t>
      </w:r>
      <w:proofErr w:type="spellStart"/>
      <w:r>
        <w:rPr>
          <w:i w:val="0"/>
        </w:rPr>
        <w:t>нутритивн</w:t>
      </w:r>
      <w:r>
        <w:rPr>
          <w:i w:val="0"/>
        </w:rPr>
        <w:t>ой</w:t>
      </w:r>
      <w:proofErr w:type="spellEnd"/>
      <w:r>
        <w:rPr>
          <w:i w:val="0"/>
        </w:rPr>
        <w:t xml:space="preserve"> поддержки. К сожалению, в некоторых случаях проведение данного вида питания противопоказано, или же энергетические потребности не могут быть удовлетворены только за счет него. Получение необходимого количества питательных веществ и энергии важно для вос</w:t>
      </w:r>
      <w:r>
        <w:rPr>
          <w:i w:val="0"/>
        </w:rPr>
        <w:t xml:space="preserve">становления организма. Для удовлетворения потребностей пациентов целесообразным является использование парентерального питания в дополнении к </w:t>
      </w:r>
      <w:proofErr w:type="spellStart"/>
      <w:r>
        <w:rPr>
          <w:i w:val="0"/>
        </w:rPr>
        <w:t>энтеральному</w:t>
      </w:r>
      <w:proofErr w:type="spellEnd"/>
      <w:r>
        <w:rPr>
          <w:i w:val="0"/>
        </w:rPr>
        <w:t xml:space="preserve"> или полного парентерального питания, в случаях, когда </w:t>
      </w:r>
      <w:proofErr w:type="spellStart"/>
      <w:r>
        <w:rPr>
          <w:i w:val="0"/>
        </w:rPr>
        <w:t>энтеральное</w:t>
      </w:r>
      <w:proofErr w:type="spellEnd"/>
      <w:r>
        <w:rPr>
          <w:i w:val="0"/>
        </w:rPr>
        <w:t xml:space="preserve"> питание противопоказано или невозмо</w:t>
      </w:r>
      <w:r>
        <w:rPr>
          <w:i w:val="0"/>
        </w:rPr>
        <w:t xml:space="preserve">жно. </w:t>
      </w:r>
    </w:p>
    <w:p w:rsidR="00A849EC" w:rsidRDefault="00FA7204">
      <w:pPr>
        <w:spacing w:after="23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2255" w:hanging="10"/>
      </w:pPr>
      <w:r>
        <w:rPr>
          <w:i w:val="0"/>
        </w:rPr>
        <w:t xml:space="preserve">ОБЩИЕ ПРИНЦИПЫ НАЗНАЧЕНИЯ И ВВЕДЕНИЯ </w:t>
      </w:r>
    </w:p>
    <w:p w:rsidR="00A849EC" w:rsidRDefault="00FA7204">
      <w:pPr>
        <w:spacing w:after="43" w:line="259" w:lineRule="auto"/>
        <w:ind w:left="759" w:firstLine="0"/>
        <w:jc w:val="center"/>
      </w:pP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2"/>
        </w:numPr>
        <w:spacing w:after="33" w:line="270" w:lineRule="auto"/>
        <w:ind w:firstLine="708"/>
      </w:pPr>
      <w:r>
        <w:rPr>
          <w:i w:val="0"/>
        </w:rPr>
        <w:t xml:space="preserve">Повышенные потребности при критическом состоянии должны поддерживаться необходимым объёмом </w:t>
      </w:r>
      <w:proofErr w:type="spellStart"/>
      <w:r>
        <w:rPr>
          <w:i w:val="0"/>
        </w:rPr>
        <w:t>инфузии</w:t>
      </w:r>
      <w:proofErr w:type="spellEnd"/>
      <w:r>
        <w:rPr>
          <w:i w:val="0"/>
        </w:rPr>
        <w:t xml:space="preserve"> калорий и азота, особенно при наличии тяжёлой питательной недостаточности, в случае неполноценного перорально</w:t>
      </w:r>
      <w:r>
        <w:rPr>
          <w:i w:val="0"/>
        </w:rPr>
        <w:t xml:space="preserve">го приёма или задержки возобновления нормального питания;  </w:t>
      </w:r>
    </w:p>
    <w:p w:rsidR="00A849EC" w:rsidRDefault="00FA7204">
      <w:pPr>
        <w:numPr>
          <w:ilvl w:val="0"/>
          <w:numId w:val="2"/>
        </w:numPr>
        <w:spacing w:after="12" w:line="270" w:lineRule="auto"/>
        <w:ind w:firstLine="708"/>
      </w:pPr>
      <w:r>
        <w:rPr>
          <w:i w:val="0"/>
        </w:rPr>
        <w:t xml:space="preserve">Раннее </w:t>
      </w:r>
      <w:proofErr w:type="spellStart"/>
      <w:r>
        <w:rPr>
          <w:i w:val="0"/>
        </w:rPr>
        <w:t>энтеральное</w:t>
      </w:r>
      <w:proofErr w:type="spellEnd"/>
      <w:r>
        <w:rPr>
          <w:i w:val="0"/>
        </w:rPr>
        <w:t xml:space="preserve"> питание следует систематически рассматривать у пациентов, которые не в состоянии восстановить свою способность к самостоятельному питанию в течение 48 часов после повреждения;  </w:t>
      </w:r>
    </w:p>
    <w:p w:rsidR="00A849EC" w:rsidRDefault="00FA7204">
      <w:pPr>
        <w:numPr>
          <w:ilvl w:val="0"/>
          <w:numId w:val="2"/>
        </w:numPr>
        <w:spacing w:after="12" w:line="270" w:lineRule="auto"/>
        <w:ind w:firstLine="708"/>
      </w:pPr>
      <w:proofErr w:type="spellStart"/>
      <w:r>
        <w:rPr>
          <w:i w:val="0"/>
        </w:rPr>
        <w:lastRenderedPageBreak/>
        <w:t>Нутритивный</w:t>
      </w:r>
      <w:proofErr w:type="spellEnd"/>
      <w:r>
        <w:rPr>
          <w:i w:val="0"/>
        </w:rPr>
        <w:t xml:space="preserve"> статус можно оценить, объединяя физические и биологические величины в оценочные шкалы; </w:t>
      </w:r>
    </w:p>
    <w:p w:rsidR="00A849EC" w:rsidRDefault="00FA7204">
      <w:pPr>
        <w:numPr>
          <w:ilvl w:val="0"/>
          <w:numId w:val="2"/>
        </w:numPr>
        <w:spacing w:after="12" w:line="270" w:lineRule="auto"/>
        <w:ind w:firstLine="708"/>
      </w:pPr>
      <w:r>
        <w:rPr>
          <w:i w:val="0"/>
        </w:rPr>
        <w:t xml:space="preserve">Неоправданно большие количества энергетических субстратов могут привести к энцефалопатии, особенно после длительного периода голодания;  </w:t>
      </w:r>
    </w:p>
    <w:p w:rsidR="00A849EC" w:rsidRDefault="00FA7204">
      <w:pPr>
        <w:numPr>
          <w:ilvl w:val="0"/>
          <w:numId w:val="2"/>
        </w:numPr>
        <w:spacing w:after="12" w:line="270" w:lineRule="auto"/>
        <w:ind w:firstLine="708"/>
      </w:pPr>
      <w:r>
        <w:rPr>
          <w:i w:val="0"/>
        </w:rPr>
        <w:t xml:space="preserve">Для оптимизации </w:t>
      </w:r>
      <w:proofErr w:type="spellStart"/>
      <w:r>
        <w:rPr>
          <w:i w:val="0"/>
        </w:rPr>
        <w:t>нутритивной</w:t>
      </w:r>
      <w:proofErr w:type="spellEnd"/>
      <w:r>
        <w:rPr>
          <w:i w:val="0"/>
        </w:rPr>
        <w:t xml:space="preserve"> поддержки рекомендовано использовать локальные алгоритмы и протоколы. </w:t>
      </w:r>
    </w:p>
    <w:p w:rsidR="00A849EC" w:rsidRDefault="00FA7204">
      <w:pPr>
        <w:spacing w:after="12" w:line="270" w:lineRule="auto"/>
        <w:ind w:left="1059" w:hanging="10"/>
      </w:pPr>
      <w:r>
        <w:rPr>
          <w:i w:val="0"/>
        </w:rPr>
        <w:t xml:space="preserve">ДИАГНОСТИКА БЕЛКОВО-ЭНЕРГЕТИЧЕСКОЙ НЕДОСТАТОЧНОСТИ В </w:t>
      </w:r>
    </w:p>
    <w:p w:rsidR="00A849EC" w:rsidRDefault="00FA7204">
      <w:pPr>
        <w:pStyle w:val="1"/>
        <w:ind w:left="708" w:right="711"/>
      </w:pPr>
      <w:r>
        <w:t xml:space="preserve">ПЕРИОПЕРАЦИОННОМ ПЕРИОДЕ </w:t>
      </w:r>
    </w:p>
    <w:p w:rsidR="00A849EC" w:rsidRDefault="00FA7204">
      <w:pPr>
        <w:spacing w:after="24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1.</w:t>
      </w:r>
      <w:r>
        <w:rPr>
          <w:i w:val="0"/>
        </w:rPr>
        <w:t xml:space="preserve"> Скрининг </w:t>
      </w:r>
      <w:proofErr w:type="spellStart"/>
      <w:r>
        <w:rPr>
          <w:i w:val="0"/>
        </w:rPr>
        <w:t>нутритивного</w:t>
      </w:r>
      <w:proofErr w:type="spellEnd"/>
      <w:r>
        <w:rPr>
          <w:i w:val="0"/>
        </w:rPr>
        <w:t xml:space="preserve"> статуса рекомендуется проводить всем </w:t>
      </w:r>
      <w:r>
        <w:rPr>
          <w:i w:val="0"/>
        </w:rPr>
        <w:t xml:space="preserve">пациентам перед хирургическими вмешательствами средней и высокой </w:t>
      </w:r>
      <w:proofErr w:type="spellStart"/>
      <w:r>
        <w:rPr>
          <w:i w:val="0"/>
        </w:rPr>
        <w:t>травматичности</w:t>
      </w:r>
      <w:proofErr w:type="spellEnd"/>
      <w:r>
        <w:rPr>
          <w:i w:val="0"/>
        </w:rPr>
        <w:t xml:space="preserve">. </w:t>
      </w:r>
    </w:p>
    <w:p w:rsidR="00A849EC" w:rsidRDefault="00FA7204">
      <w:pPr>
        <w:spacing w:after="12" w:line="270" w:lineRule="auto"/>
        <w:ind w:left="718" w:hanging="10"/>
      </w:pPr>
      <w:r>
        <w:rPr>
          <w:b/>
          <w:i w:val="0"/>
        </w:rPr>
        <w:t>Рекомендация 2.</w:t>
      </w:r>
      <w:r>
        <w:rPr>
          <w:i w:val="0"/>
        </w:rPr>
        <w:t xml:space="preserve"> Для скрининга рекомендуются шкалы NRS-2002. </w:t>
      </w:r>
    </w:p>
    <w:p w:rsidR="00A849EC" w:rsidRDefault="00FA7204">
      <w:pPr>
        <w:ind w:left="-15"/>
      </w:pPr>
      <w:r>
        <w:t>Наличие ≥ 3 баллов по шкале NRS-2002 требует проведения углубленного изучения параметров БЭН: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3"/>
        </w:numPr>
      </w:pPr>
      <w:r>
        <w:t>определение дефици</w:t>
      </w:r>
      <w:r>
        <w:t>та массы тела;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3"/>
        </w:numPr>
      </w:pPr>
      <w:r>
        <w:t>динамика массы тела за последние 3–6 мес.;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3"/>
        </w:numPr>
      </w:pPr>
      <w:r>
        <w:t>определение уровней общего белка, альбумина в сыворотке крови;</w:t>
      </w:r>
      <w:r>
        <w:rPr>
          <w:i w:val="0"/>
        </w:rPr>
        <w:t xml:space="preserve"> </w:t>
      </w:r>
      <w:r>
        <w:rPr>
          <w:rFonts w:ascii="Segoe UI Symbol" w:eastAsia="Segoe UI Symbol" w:hAnsi="Segoe UI Symbol" w:cs="Segoe UI Symbol"/>
          <w:i w:val="0"/>
          <w:sz w:val="20"/>
        </w:rPr>
        <w:t></w:t>
      </w:r>
      <w:r>
        <w:rPr>
          <w:rFonts w:ascii="Arial" w:eastAsia="Arial" w:hAnsi="Arial" w:cs="Arial"/>
          <w:i w:val="0"/>
          <w:sz w:val="20"/>
        </w:rPr>
        <w:t xml:space="preserve"> </w:t>
      </w:r>
      <w:r>
        <w:rPr>
          <w:rFonts w:ascii="Arial" w:eastAsia="Arial" w:hAnsi="Arial" w:cs="Arial"/>
          <w:i w:val="0"/>
          <w:sz w:val="20"/>
        </w:rPr>
        <w:tab/>
      </w:r>
      <w:r>
        <w:t>абсолютное количество лимфоцитов в периферической крови.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>Данная тактика позволяет определить риск и степень БЭН в послеоперационн</w:t>
      </w:r>
      <w:r>
        <w:t>ом периоде. У пациентов хирургического профиля под высоким риском развития БЭН понимают наличие хотя бы одного из критериев: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3"/>
        </w:numPr>
      </w:pPr>
      <w:r>
        <w:t>потеря массы тела более 10–15 % за последние 6 мес.;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3"/>
        </w:numPr>
      </w:pPr>
      <w:r>
        <w:t>индекс массы тела (ИМТ) менее 18,5 кг/м2 (для лиц пожилого и старческого воз</w:t>
      </w:r>
      <w:r>
        <w:t>раста — менее 21 кг/м2);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3"/>
        </w:numPr>
      </w:pPr>
      <w:r>
        <w:t>оценка по шкале NRS-2002 более 3 баллов;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3"/>
        </w:numPr>
      </w:pPr>
      <w:r>
        <w:t>альбумин сыворотки крови менее 30 г/л (при отсутствии печеночной и почечной дисфункции).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3.</w:t>
      </w:r>
      <w:r>
        <w:rPr>
          <w:i w:val="0"/>
        </w:rPr>
        <w:t xml:space="preserve"> </w:t>
      </w:r>
      <w:proofErr w:type="spellStart"/>
      <w:r>
        <w:rPr>
          <w:i w:val="0"/>
        </w:rPr>
        <w:t>Нутритивный</w:t>
      </w:r>
      <w:proofErr w:type="spellEnd"/>
      <w:r>
        <w:rPr>
          <w:i w:val="0"/>
        </w:rPr>
        <w:t xml:space="preserve"> статус хирургического пациента рекомендуется оценивать в предоперацион</w:t>
      </w:r>
      <w:r>
        <w:rPr>
          <w:i w:val="0"/>
        </w:rPr>
        <w:t xml:space="preserve">ный период при оценке по шкале NRS-2002 ≥ 3 баллов.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</w:t>
      </w:r>
      <w:proofErr w:type="spellStart"/>
      <w:r>
        <w:t>Метаанализ</w:t>
      </w:r>
      <w:proofErr w:type="spellEnd"/>
      <w:r>
        <w:t>, изучавший эффективность шкалы NRS-</w:t>
      </w:r>
      <w:r>
        <w:t>2002 в качестве предиктора послеоперационных исходов в абдоминальной хирургии, включал в общей сложности 11 исследований. Послеоперационные осложнения значительно чаще встречались у тех, кто относился к группе риска, чем у тех, кто не входил в группу риска</w:t>
      </w:r>
      <w:r>
        <w:t>. Смертность была также выше у пациентов группы риска, и у этих пациентов было значительно более длительным время пребывания (койко-дни) в стационаре.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>У пациентов с нормальным уровнем питания одной из ключевых задач послеоперационного ведения является восстановление нормального функционирования желудочно-кишечного тракта, что решает проблему адекватного приема пищи и быстрого восстановления. Очевидно, чт</w:t>
      </w:r>
      <w:r>
        <w:t xml:space="preserve">о пациенты с адекватным уровнем питания не имеют ранее возникшего </w:t>
      </w:r>
      <w:proofErr w:type="spellStart"/>
      <w:r>
        <w:t>нутритивного</w:t>
      </w:r>
      <w:proofErr w:type="spellEnd"/>
      <w:r>
        <w:t xml:space="preserve"> дефицита, следовательно, при восстановлении функции ЖКТ вскоре после хирургической операции не возникнет риска развития осложнений и летальности, связанной с недостаточностью пи</w:t>
      </w:r>
      <w:r>
        <w:t>тания. И наоборот, пациенты с исходной БЭН находятся в состоянии повышенного риска развития послеоперационных осложнений.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5.</w:t>
      </w:r>
      <w:r>
        <w:rPr>
          <w:i w:val="0"/>
        </w:rPr>
        <w:t xml:space="preserve"> C позиций концепции раннего восстановления после хирургических операций традиционное (8–12 ч) предоперационное голода</w:t>
      </w:r>
      <w:r>
        <w:rPr>
          <w:i w:val="0"/>
        </w:rPr>
        <w:t xml:space="preserve">ние более не рекомендуется.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lastRenderedPageBreak/>
        <w:t>Рекомендация 6.</w:t>
      </w:r>
      <w:r>
        <w:rPr>
          <w:i w:val="0"/>
        </w:rPr>
        <w:t xml:space="preserve"> При отсутствии у пациента риска аспирационного синдрома рекомендуется употребление чистой жидкости за 2 ч до начала анестезии, твердой пищи — за 6 ч до начала анестезии.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Уменьшить негативные эффект</w:t>
      </w:r>
      <w:r>
        <w:t xml:space="preserve">ы голодания перед проведением плановой операции можно путем употребления углеводов в количестве, достаточном для того, чтобы вызвать секрецию инсулина, аналогичную той, которая наблюдается после приема обычной пищи. Чувствительность к инсулину будет более </w:t>
      </w:r>
      <w:r>
        <w:t>высокой, если это делается до хирургического вмешательства. Такая предоперационная модификация метаболизма оказывает определенное позитивное влияние на реакцию организма в ответ на проведение операции.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>Использование углеводной нагрузки в качестве метаболи</w:t>
      </w:r>
      <w:r>
        <w:t xml:space="preserve">ческого </w:t>
      </w:r>
      <w:proofErr w:type="spellStart"/>
      <w:r>
        <w:t>прекондиционирования</w:t>
      </w:r>
      <w:proofErr w:type="spellEnd"/>
      <w:r>
        <w:t xml:space="preserve"> подтверждается некоторыми фундаментальными научными и клиническими исследованиями. Недавнее крупное </w:t>
      </w:r>
      <w:proofErr w:type="spellStart"/>
      <w:r>
        <w:t>проспективное</w:t>
      </w:r>
      <w:proofErr w:type="spellEnd"/>
      <w:r>
        <w:t xml:space="preserve"> </w:t>
      </w:r>
      <w:proofErr w:type="spellStart"/>
      <w:r>
        <w:t>рандомизированное</w:t>
      </w:r>
      <w:proofErr w:type="spellEnd"/>
      <w:r>
        <w:t xml:space="preserve"> клиническое исследование показало значительные преимущества в отношении снижения послеоперацион</w:t>
      </w:r>
      <w:r>
        <w:t xml:space="preserve">ной </w:t>
      </w:r>
      <w:proofErr w:type="spellStart"/>
      <w:r>
        <w:t>инсулинорезистентности</w:t>
      </w:r>
      <w:proofErr w:type="spellEnd"/>
      <w:r>
        <w:t xml:space="preserve"> и гипергликемии без влияния на частоту осложнений. У тех пациентов, которые в соответствии с современными рекомендациями могут свободно принимать жидкость, можно, не опасаясь осложнений, применять напитки, содержащие углеводы и п</w:t>
      </w:r>
      <w:r>
        <w:t>рошедшие адекватное тестирование безопасности применения (</w:t>
      </w:r>
      <w:proofErr w:type="spellStart"/>
      <w:r>
        <w:t>мальтодекстрин</w:t>
      </w:r>
      <w:proofErr w:type="spellEnd"/>
      <w:r>
        <w:t xml:space="preserve"> и др.). Как было показано, это способствует снижению выраженности послеоперационной </w:t>
      </w:r>
      <w:proofErr w:type="spellStart"/>
      <w:r>
        <w:t>инсулинорезистентности</w:t>
      </w:r>
      <w:proofErr w:type="spellEnd"/>
      <w:r>
        <w:t xml:space="preserve"> и гипергликемии, потерь белка, потери тощей массы тела и ослабления функции </w:t>
      </w:r>
      <w:r>
        <w:t>мускулатуры, снижению выраженности тревоги и послеоперационной тошноты и рвоты. Противопоказаниями к употреблению чистых жидкостей за 2 ч до оперативного вмешательства являются любые клинические ситуации, сопровождающиеся замедленной эвакуацией содержимого</w:t>
      </w:r>
      <w:r>
        <w:t xml:space="preserve"> желудка.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 xml:space="preserve">У тех пациентов, которые в предоперационный период по каким-либо причинам не могут есть или пить, внутривенное введение глюкозы со скоростью 5 мг/кг/мин оказывает аналогичное действие, проявляющееся не только в отношении </w:t>
      </w:r>
      <w:proofErr w:type="spellStart"/>
      <w:r>
        <w:t>инсулинорезистентности</w:t>
      </w:r>
      <w:proofErr w:type="spellEnd"/>
      <w:r>
        <w:t xml:space="preserve">, </w:t>
      </w:r>
      <w:r>
        <w:t>но также метаболизма белка и защитного воздействия на миокард. Для обеспечения углеводной нагрузки внутривенным путем используют растворы глюкозы повышенной концентрации — 10–20 %.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7.</w:t>
      </w:r>
      <w:r>
        <w:rPr>
          <w:i w:val="0"/>
        </w:rPr>
        <w:t xml:space="preserve"> Пациентам с исходной </w:t>
      </w:r>
      <w:proofErr w:type="spellStart"/>
      <w:r>
        <w:rPr>
          <w:i w:val="0"/>
        </w:rPr>
        <w:t>нутритивной</w:t>
      </w:r>
      <w:proofErr w:type="spellEnd"/>
      <w:r>
        <w:rPr>
          <w:i w:val="0"/>
        </w:rPr>
        <w:t xml:space="preserve"> недостаточностью рекоменд</w:t>
      </w:r>
      <w:r>
        <w:rPr>
          <w:i w:val="0"/>
        </w:rPr>
        <w:t xml:space="preserve">уется предоперационная </w:t>
      </w: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поддержка.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</w:t>
      </w:r>
      <w:proofErr w:type="spellStart"/>
      <w:r>
        <w:t>Нутритивная</w:t>
      </w:r>
      <w:proofErr w:type="spellEnd"/>
      <w:r>
        <w:t xml:space="preserve"> поддержка (НП) показана всем пациентам, не способным по какой-либо причине обеспечить более 50 % своих потребностей в энергии с помощью естественного питания в течение 6–7 </w:t>
      </w:r>
      <w:proofErr w:type="spellStart"/>
      <w:r>
        <w:t>сут</w:t>
      </w:r>
      <w:proofErr w:type="spellEnd"/>
      <w:r>
        <w:t>. Цели пр</w:t>
      </w:r>
      <w:r>
        <w:t xml:space="preserve">едоперационной подготовки — уменьшить дефицит энергии, улучшить функциональные характеристики организма пациента, избежать потери массы тела. Варианты предоперационной подготовки должны включать диетические рекомендации, дополнительное пероральное питание </w:t>
      </w:r>
      <w:r>
        <w:t xml:space="preserve">(ДПП), </w:t>
      </w:r>
      <w:proofErr w:type="spellStart"/>
      <w:r>
        <w:t>энтеральное</w:t>
      </w:r>
      <w:proofErr w:type="spellEnd"/>
      <w:r>
        <w:t xml:space="preserve"> питание (ЭП) и парентеральное питание (ПП), а также их сочетания при необходимости. Существуют убедительные доказательства эффективности применения ДПП в </w:t>
      </w:r>
      <w:proofErr w:type="spellStart"/>
      <w:r>
        <w:t>периоперационном</w:t>
      </w:r>
      <w:proofErr w:type="spellEnd"/>
      <w:r>
        <w:t xml:space="preserve"> периоде: </w:t>
      </w:r>
      <w:proofErr w:type="spellStart"/>
      <w:r>
        <w:t>метаанализ</w:t>
      </w:r>
      <w:proofErr w:type="spellEnd"/>
      <w:r>
        <w:t xml:space="preserve"> 9 исследований [19] показал, что применение да</w:t>
      </w:r>
      <w:r>
        <w:t xml:space="preserve">нной методики НП было ассоциировано с 35 % снижением общего числа осложнений, что привело к существенной экономии средств на лечение. Для пациентов с высоким </w:t>
      </w:r>
      <w:proofErr w:type="spellStart"/>
      <w:r>
        <w:t>нутритивным</w:t>
      </w:r>
      <w:proofErr w:type="spellEnd"/>
      <w:r>
        <w:t xml:space="preserve"> риском, подвергающихся объемным хирургическим вмешательствам, особенно в </w:t>
      </w:r>
      <w:proofErr w:type="spellStart"/>
      <w:r>
        <w:t>онкохирургии</w:t>
      </w:r>
      <w:proofErr w:type="spellEnd"/>
      <w:r>
        <w:t>,</w:t>
      </w:r>
      <w:r>
        <w:t xml:space="preserve"> ДПП следует считать обязательным вариантом подготовки к хирургическому вмешательству.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 xml:space="preserve">ЭП может быть использовано в большинстве клинических ситуаций за исключением кишечной непроходимости, ишемии кишечника, множественных кишечных свищей, </w:t>
      </w:r>
      <w:r>
        <w:lastRenderedPageBreak/>
        <w:t>продолжающегося ж</w:t>
      </w:r>
      <w:r>
        <w:t>елудочно- кишечного кровотечения. В целом ряде исследований было показано, что у пациентов с тяжелыми нарушениями метаболизма и невозможностью принимать пищу естественным путем предоперационный курс ЭП в течение 7–10 дней способствовал улучшению исходов ле</w:t>
      </w:r>
      <w:r>
        <w:t>чения.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>При наличии любого из нижеперечисленных критериев плановую операцию следует отложить и назначить курс предоперационной НП длительностью 7–14 дней: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4"/>
        </w:numPr>
      </w:pPr>
      <w:r>
        <w:t>потеря массы тела более 10–15 % за последние 6 мес.;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4"/>
        </w:numPr>
      </w:pPr>
      <w:r>
        <w:t>ИМТ менее 18,5 кг/м2 (для лиц пожилого и старч</w:t>
      </w:r>
      <w:r>
        <w:t>еского возраста — менее 21 кг/м2)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4"/>
        </w:numPr>
      </w:pPr>
      <w:r>
        <w:t>оценка по шкале NRS-2002 более 3 баллов;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4"/>
        </w:numPr>
      </w:pPr>
      <w:r>
        <w:t>альбумин сыворотки крови менее 30 г/л (при отсутствии печеночной и почечной дисфункции) [1, 2, 6, 10].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8.</w:t>
      </w:r>
      <w:r>
        <w:rPr>
          <w:i w:val="0"/>
        </w:rPr>
        <w:t xml:space="preserve"> Иммуномодулирующие </w:t>
      </w:r>
      <w:proofErr w:type="spellStart"/>
      <w:r>
        <w:rPr>
          <w:i w:val="0"/>
        </w:rPr>
        <w:t>энтеральные</w:t>
      </w:r>
      <w:proofErr w:type="spellEnd"/>
      <w:r>
        <w:rPr>
          <w:i w:val="0"/>
        </w:rPr>
        <w:t xml:space="preserve"> смеси (содержащие аргинин, о</w:t>
      </w:r>
      <w:r>
        <w:rPr>
          <w:i w:val="0"/>
        </w:rPr>
        <w:t xml:space="preserve">мега-3, </w:t>
      </w:r>
      <w:proofErr w:type="spellStart"/>
      <w:r>
        <w:rPr>
          <w:i w:val="0"/>
        </w:rPr>
        <w:t>глутамин</w:t>
      </w:r>
      <w:proofErr w:type="spellEnd"/>
      <w:r>
        <w:rPr>
          <w:i w:val="0"/>
        </w:rPr>
        <w:t xml:space="preserve">, антиоксиданты) рекомендуются в течение 5–7 дней предоперационного периода, особенно при операциях по поводу рака верхних отделов ЖКТ.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Результаты 15 </w:t>
      </w:r>
      <w:proofErr w:type="spellStart"/>
      <w:r>
        <w:t>метаанализов</w:t>
      </w:r>
      <w:proofErr w:type="spellEnd"/>
      <w:r>
        <w:t>, проведенных у больных общехирургического профиля, и 1 мета-ана</w:t>
      </w:r>
      <w:r>
        <w:t xml:space="preserve">лиз, проведенный у пациентов с новообразованиями области голова–шея, посвященных </w:t>
      </w:r>
      <w:proofErr w:type="spellStart"/>
      <w:r>
        <w:t>периоперационному</w:t>
      </w:r>
      <w:proofErr w:type="spellEnd"/>
      <w:r>
        <w:t xml:space="preserve"> применению </w:t>
      </w:r>
      <w:proofErr w:type="spellStart"/>
      <w:r>
        <w:t>энтеральных</w:t>
      </w:r>
      <w:proofErr w:type="spellEnd"/>
      <w:r>
        <w:t xml:space="preserve"> иммуномодулирующих диет, продемонстрировали достоверное снижение частоты послеоперационных осложнений и сокращение длительности пребыв</w:t>
      </w:r>
      <w:r>
        <w:t xml:space="preserve">ания пациентов в стационаре. Однако данное утверждение является доказанным только для пациентов, ведение которых осуществляется с использованием консервативных подходов, предусматривающих длительное </w:t>
      </w:r>
      <w:proofErr w:type="spellStart"/>
      <w:r>
        <w:t>периоперационное</w:t>
      </w:r>
      <w:proofErr w:type="spellEnd"/>
      <w:r>
        <w:t xml:space="preserve"> голодание. Подавляющее большинство </w:t>
      </w:r>
      <w:proofErr w:type="spellStart"/>
      <w:r>
        <w:t>рандо</w:t>
      </w:r>
      <w:r>
        <w:t>мизированных</w:t>
      </w:r>
      <w:proofErr w:type="spellEnd"/>
      <w:r>
        <w:t xml:space="preserve"> клинических исследований (РКИ) на эту тему было выполнено до внедрения стратегии ускоренного восстановления в хирургии.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9.</w:t>
      </w:r>
      <w:r>
        <w:rPr>
          <w:i w:val="0"/>
        </w:rPr>
        <w:t xml:space="preserve"> Предоперационное ПП рекомендуется только в случае выраженной БЭН и неэффективности или невозможности прове</w:t>
      </w:r>
      <w:r>
        <w:rPr>
          <w:i w:val="0"/>
        </w:rPr>
        <w:t xml:space="preserve">дения адекватной НП пероральным и </w:t>
      </w:r>
      <w:proofErr w:type="spellStart"/>
      <w:r>
        <w:rPr>
          <w:i w:val="0"/>
        </w:rPr>
        <w:t>энтеральным</w:t>
      </w:r>
      <w:proofErr w:type="spellEnd"/>
      <w:r>
        <w:rPr>
          <w:i w:val="0"/>
        </w:rPr>
        <w:t xml:space="preserve"> доступом.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Преимущества предоперационного ПП в течение 7–14 </w:t>
      </w:r>
      <w:proofErr w:type="spellStart"/>
      <w:r>
        <w:t>сут</w:t>
      </w:r>
      <w:proofErr w:type="spellEnd"/>
      <w:r>
        <w:t xml:space="preserve"> были доказаны только у пациентов с тяжелой </w:t>
      </w:r>
      <w:proofErr w:type="spellStart"/>
      <w:r>
        <w:t>нутритивной</w:t>
      </w:r>
      <w:proofErr w:type="spellEnd"/>
      <w:r>
        <w:t xml:space="preserve"> недостаточностью (потеря массы тела более 15 %) при подготовке к вмешательства</w:t>
      </w:r>
      <w:r>
        <w:t>м на органах ЖКТ. Также у данной категории больных было отмечено снижение частоты послеоперационных осложнений на 30 % и выявлена тенденция к снижению смертности. ПП следует проводить в течение 7– 14 дней перед операцией, чтобы получить максимальную пользу</w:t>
      </w:r>
      <w:r>
        <w:t>, на основании доказательств того, что этот срок необходим для уменьшения осложнений, связанных с инфекцией области хирургического вмешательства.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10.</w:t>
      </w:r>
      <w:r>
        <w:rPr>
          <w:i w:val="0"/>
        </w:rPr>
        <w:t xml:space="preserve"> Длительность предоперационной НП рекомендуется не менее 5– 7 </w:t>
      </w:r>
      <w:proofErr w:type="spellStart"/>
      <w:r>
        <w:rPr>
          <w:i w:val="0"/>
        </w:rPr>
        <w:t>сут</w:t>
      </w:r>
      <w:proofErr w:type="spellEnd"/>
      <w:r>
        <w:rPr>
          <w:i w:val="0"/>
        </w:rPr>
        <w:t xml:space="preserve"> и не более 14 </w:t>
      </w:r>
      <w:proofErr w:type="spellStart"/>
      <w:r>
        <w:rPr>
          <w:i w:val="0"/>
        </w:rPr>
        <w:t>сут</w:t>
      </w:r>
      <w:proofErr w:type="spellEnd"/>
      <w:r>
        <w:rPr>
          <w:i w:val="0"/>
        </w:rPr>
        <w:t xml:space="preserve">. </w:t>
      </w:r>
    </w:p>
    <w:p w:rsidR="00A849EC" w:rsidRDefault="00FA7204">
      <w:pPr>
        <w:ind w:left="-15"/>
      </w:pPr>
      <w:r>
        <w:rPr>
          <w:b/>
        </w:rPr>
        <w:t>Коммент</w:t>
      </w:r>
      <w:r>
        <w:rPr>
          <w:b/>
        </w:rPr>
        <w:t>арий.</w:t>
      </w:r>
      <w:r>
        <w:t xml:space="preserve"> В настоящее время считается общепризнанным, что предоперационный курс НП способствует снижению числа осложнений. Оптимальная продолжительность его проведения предметно не исследовалась, но минимальным сроком является 5–7 дней. Увеличение данного врем</w:t>
      </w:r>
      <w:r>
        <w:t xml:space="preserve">ени &gt; 14 дней не способствует улучшению клинических исходов, и отсрочка хирургического лечения позднее данного срока с этой точки зрения не является обоснованной. Последнее утверждение особенно актуально в </w:t>
      </w:r>
      <w:proofErr w:type="spellStart"/>
      <w:r>
        <w:t>онкохирургии</w:t>
      </w:r>
      <w:proofErr w:type="spellEnd"/>
      <w:r>
        <w:t>, где время начала специфического лече</w:t>
      </w:r>
      <w:r>
        <w:t>ния существенно влияет на онкологические результаты.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718" w:hanging="10"/>
      </w:pP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поддержка в послеоперационном периоде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lastRenderedPageBreak/>
        <w:t>Рекомендация 11.</w:t>
      </w:r>
      <w:r>
        <w:rPr>
          <w:i w:val="0"/>
        </w:rPr>
        <w:t xml:space="preserve"> Возможность проведения раннего ДПП или ЭП рекомендуется оценивать на следующее утро после проведения хирургического вмешательства. Пер</w:t>
      </w:r>
      <w:r>
        <w:rPr>
          <w:i w:val="0"/>
        </w:rPr>
        <w:t xml:space="preserve">оральный прием пищи после операции рекомендуется начать как можно раньше.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Обзор пяти вариантов НП после </w:t>
      </w:r>
      <w:proofErr w:type="spellStart"/>
      <w:r>
        <w:t>панкреатодуоденэктомии</w:t>
      </w:r>
      <w:proofErr w:type="spellEnd"/>
      <w:r>
        <w:t xml:space="preserve"> показал, что пероральное введение питания было связано с наименьшей частотой осложнений. Более поздний </w:t>
      </w:r>
      <w:proofErr w:type="spellStart"/>
      <w:r>
        <w:t>метаанализ</w:t>
      </w:r>
      <w:proofErr w:type="spellEnd"/>
      <w:r>
        <w:t xml:space="preserve"> с</w:t>
      </w:r>
      <w:r>
        <w:t xml:space="preserve"> включением только РКИ продемонстрировал, что ЭП после </w:t>
      </w:r>
      <w:proofErr w:type="spellStart"/>
      <w:r>
        <w:t>панкреатодуоденэктомии</w:t>
      </w:r>
      <w:proofErr w:type="spellEnd"/>
      <w:r>
        <w:t xml:space="preserve"> имеет </w:t>
      </w:r>
      <w:proofErr w:type="spellStart"/>
      <w:r>
        <w:t>преимУщества</w:t>
      </w:r>
      <w:proofErr w:type="spellEnd"/>
      <w:r>
        <w:t xml:space="preserve"> перед ПП. Было показано, что раннее питание при абдоминальной и тазовой хирургии стимулирует перистальтику и функцию желудочно-кишечного тракта, снижает риск п</w:t>
      </w:r>
      <w:r>
        <w:t xml:space="preserve">ослеоперационной кишечной непроходимости и сокращает общую продолжительность госпитализации. В неотложной хирургии назначение раннего ЭП позволило снизить </w:t>
      </w:r>
      <w:proofErr w:type="spellStart"/>
      <w:r>
        <w:t>внутригоспитальную</w:t>
      </w:r>
      <w:proofErr w:type="spellEnd"/>
      <w:r>
        <w:t xml:space="preserve"> летальность, частоту легочных осложнений и сроки госпитализации. </w:t>
      </w:r>
      <w:proofErr w:type="spellStart"/>
      <w:r>
        <w:t>Кокрановский</w:t>
      </w:r>
      <w:proofErr w:type="spellEnd"/>
      <w:r>
        <w:t xml:space="preserve"> обзо</w:t>
      </w:r>
      <w:r>
        <w:t xml:space="preserve">р, посвященный целесообразности раннего ЭП в ближайшем послеоперационном периоде, продемонстрировал сокращение продолжительности пребывания в стационаре. В тех случаях, когда потребности в энергии и питательных веществах не могут быть удовлетворены только </w:t>
      </w:r>
      <w:r>
        <w:t>путем ДПП и ЭП, рекомендуется добавление ПП.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12.</w:t>
      </w:r>
      <w:r>
        <w:rPr>
          <w:i w:val="0"/>
        </w:rPr>
        <w:t xml:space="preserve"> После </w:t>
      </w:r>
      <w:proofErr w:type="spellStart"/>
      <w:r>
        <w:rPr>
          <w:i w:val="0"/>
        </w:rPr>
        <w:t>колоректальных</w:t>
      </w:r>
      <w:proofErr w:type="spellEnd"/>
      <w:r>
        <w:rPr>
          <w:i w:val="0"/>
        </w:rPr>
        <w:t xml:space="preserve"> операций с сохранением функции ЖКТ прием твердой пищи без побочных эффектов рекомендуется начинать в первый послеоперационный день.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</w:t>
      </w:r>
      <w:r>
        <w:t xml:space="preserve">Для того чтобы вернуться к нормальному приему пищи, следует избегать рутинного использования </w:t>
      </w:r>
      <w:proofErr w:type="spellStart"/>
      <w:r>
        <w:t>назогастрального</w:t>
      </w:r>
      <w:proofErr w:type="spellEnd"/>
      <w:r>
        <w:t xml:space="preserve"> зонда. Отсутствие </w:t>
      </w:r>
      <w:proofErr w:type="spellStart"/>
      <w:r>
        <w:t>назогастральной</w:t>
      </w:r>
      <w:proofErr w:type="spellEnd"/>
      <w:r>
        <w:t xml:space="preserve"> декомпрессии после абдоминальной хирургической операции значительно сокращает вероятность возникновения эпизодов</w:t>
      </w:r>
      <w:r>
        <w:t xml:space="preserve"> лихорадки, ателектаза и пневмонии. Пациентам не следует длительно голодать даже для проведения исследования и хирургического вмешательства. Пациенты, испытывающие недостаточность питания во время или сразу после обширной абдоминальной или сосудистой опера</w:t>
      </w:r>
      <w:r>
        <w:t xml:space="preserve">ции, быстрее восстанавливают </w:t>
      </w:r>
      <w:proofErr w:type="spellStart"/>
      <w:r>
        <w:t>нутритивный</w:t>
      </w:r>
      <w:proofErr w:type="spellEnd"/>
      <w:r>
        <w:t xml:space="preserve"> статус, физические функции и качество жизни, если получают советы по питанию либо им прописывают обычные диетические рекомендации или ДПП сразу после операции. В большинстве случаев методом выбора варианта ранней НП</w:t>
      </w:r>
      <w:r>
        <w:t xml:space="preserve"> является ДПП и ЭП. </w:t>
      </w:r>
    </w:p>
    <w:p w:rsidR="00A849EC" w:rsidRDefault="00FA7204">
      <w:pPr>
        <w:spacing w:after="23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2547" w:hanging="10"/>
      </w:pPr>
      <w:r>
        <w:rPr>
          <w:i w:val="0"/>
        </w:rPr>
        <w:t xml:space="preserve">ПРОТИВОПОКАЗАНИЯ К ПРОВЕДЕНИЮ НП </w:t>
      </w:r>
    </w:p>
    <w:p w:rsidR="00A849EC" w:rsidRDefault="00FA7204">
      <w:pPr>
        <w:spacing w:after="2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718" w:hanging="10"/>
      </w:pPr>
      <w:r>
        <w:rPr>
          <w:i w:val="0"/>
        </w:rPr>
        <w:t xml:space="preserve">Общие:  </w:t>
      </w:r>
    </w:p>
    <w:p w:rsidR="00A849EC" w:rsidRDefault="00FA7204">
      <w:pPr>
        <w:numPr>
          <w:ilvl w:val="0"/>
          <w:numId w:val="5"/>
        </w:numPr>
        <w:spacing w:after="12" w:line="270" w:lineRule="auto"/>
        <w:ind w:firstLine="708"/>
      </w:pPr>
      <w:r>
        <w:rPr>
          <w:i w:val="0"/>
        </w:rPr>
        <w:t xml:space="preserve">Тяжелая гипоксемия (PaO2 &lt; 60 мм рт. ст. при возрастающих значениях FiO2 ≥ 70 %). </w:t>
      </w:r>
    </w:p>
    <w:p w:rsidR="00A849EC" w:rsidRDefault="00FA7204">
      <w:pPr>
        <w:numPr>
          <w:ilvl w:val="0"/>
          <w:numId w:val="5"/>
        </w:numPr>
        <w:spacing w:after="12" w:line="270" w:lineRule="auto"/>
        <w:ind w:firstLine="708"/>
      </w:pPr>
      <w:r>
        <w:rPr>
          <w:i w:val="0"/>
        </w:rPr>
        <w:t xml:space="preserve">Шок, т. е. наличие признаков </w:t>
      </w:r>
      <w:proofErr w:type="spellStart"/>
      <w:r>
        <w:rPr>
          <w:i w:val="0"/>
        </w:rPr>
        <w:t>гипоперфузии</w:t>
      </w:r>
      <w:proofErr w:type="spellEnd"/>
      <w:r>
        <w:rPr>
          <w:i w:val="0"/>
        </w:rPr>
        <w:t xml:space="preserve"> и/или </w:t>
      </w:r>
      <w:proofErr w:type="spellStart"/>
      <w:r>
        <w:rPr>
          <w:i w:val="0"/>
        </w:rPr>
        <w:t>гиповолемии</w:t>
      </w:r>
      <w:proofErr w:type="spellEnd"/>
      <w:r>
        <w:rPr>
          <w:i w:val="0"/>
        </w:rPr>
        <w:t xml:space="preserve"> </w:t>
      </w:r>
      <w:r>
        <w:rPr>
          <w:i w:val="0"/>
        </w:rPr>
        <w:t xml:space="preserve">(мраморные конечности, симптом сосудистого пятна &gt; 3 с, </w:t>
      </w:r>
      <w:proofErr w:type="spellStart"/>
      <w:r>
        <w:rPr>
          <w:i w:val="0"/>
        </w:rPr>
        <w:t>лактат</w:t>
      </w:r>
      <w:proofErr w:type="spellEnd"/>
      <w:r>
        <w:rPr>
          <w:i w:val="0"/>
        </w:rPr>
        <w:t xml:space="preserve"> &gt; 3 </w:t>
      </w:r>
      <w:proofErr w:type="spellStart"/>
      <w:r>
        <w:rPr>
          <w:i w:val="0"/>
        </w:rPr>
        <w:t>ммоль</w:t>
      </w:r>
      <w:proofErr w:type="spellEnd"/>
      <w:r>
        <w:rPr>
          <w:i w:val="0"/>
        </w:rPr>
        <w:t xml:space="preserve">/л, </w:t>
      </w:r>
      <w:proofErr w:type="spellStart"/>
      <w:r>
        <w:rPr>
          <w:i w:val="0"/>
        </w:rPr>
        <w:t>pH</w:t>
      </w:r>
      <w:proofErr w:type="spellEnd"/>
      <w:r>
        <w:rPr>
          <w:i w:val="0"/>
        </w:rPr>
        <w:t xml:space="preserve"> &lt; 7,2, a-v deltaPCO2 &gt; 6 мм рт. ст.). </w:t>
      </w:r>
    </w:p>
    <w:p w:rsidR="00A849EC" w:rsidRDefault="00FA7204">
      <w:pPr>
        <w:numPr>
          <w:ilvl w:val="0"/>
          <w:numId w:val="5"/>
        </w:numPr>
        <w:spacing w:after="12" w:line="270" w:lineRule="auto"/>
        <w:ind w:firstLine="708"/>
      </w:pPr>
      <w:r>
        <w:rPr>
          <w:i w:val="0"/>
        </w:rPr>
        <w:t xml:space="preserve">Гиперкапния (PaCO2 &gt; 80 мм рт. ст.). </w:t>
      </w:r>
    </w:p>
    <w:p w:rsidR="00A849EC" w:rsidRDefault="00FA7204">
      <w:pPr>
        <w:numPr>
          <w:ilvl w:val="0"/>
          <w:numId w:val="5"/>
        </w:numPr>
        <w:spacing w:after="12" w:line="270" w:lineRule="auto"/>
        <w:ind w:firstLine="708"/>
      </w:pPr>
      <w:r>
        <w:rPr>
          <w:i w:val="0"/>
        </w:rPr>
        <w:t xml:space="preserve">Непереносимость препаратов для НП (встречается крайне редко). </w:t>
      </w:r>
    </w:p>
    <w:p w:rsidR="00A849EC" w:rsidRDefault="00FA7204">
      <w:pPr>
        <w:spacing w:after="12" w:line="270" w:lineRule="auto"/>
        <w:ind w:left="718" w:hanging="10"/>
      </w:pPr>
      <w:r>
        <w:rPr>
          <w:i w:val="0"/>
        </w:rPr>
        <w:t xml:space="preserve">Противопоказания к проведению ПП: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>фу</w:t>
      </w:r>
      <w:r>
        <w:rPr>
          <w:i w:val="0"/>
        </w:rPr>
        <w:t xml:space="preserve">нкционирующий ЖКТ;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proofErr w:type="spellStart"/>
      <w:r>
        <w:rPr>
          <w:i w:val="0"/>
        </w:rPr>
        <w:t>гипергидратация</w:t>
      </w:r>
      <w:proofErr w:type="spellEnd"/>
      <w:r>
        <w:rPr>
          <w:i w:val="0"/>
        </w:rPr>
        <w:t xml:space="preserve">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proofErr w:type="spellStart"/>
      <w:r>
        <w:rPr>
          <w:i w:val="0"/>
        </w:rPr>
        <w:t>коагулопатия</w:t>
      </w:r>
      <w:proofErr w:type="spellEnd"/>
      <w:r>
        <w:rPr>
          <w:i w:val="0"/>
        </w:rPr>
        <w:t xml:space="preserve"> потребления;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 xml:space="preserve">отек легких;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 xml:space="preserve">декомпенсированная сердечная недостаточность;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 xml:space="preserve">нарушение аминокислотного метаболизма;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lastRenderedPageBreak/>
        <w:t xml:space="preserve">кома неясной этиологии;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proofErr w:type="spellStart"/>
      <w:r>
        <w:rPr>
          <w:i w:val="0"/>
        </w:rPr>
        <w:t>гипертриглицеридемия</w:t>
      </w:r>
      <w:proofErr w:type="spellEnd"/>
      <w:r>
        <w:rPr>
          <w:i w:val="0"/>
        </w:rPr>
        <w:t xml:space="preserve"> (&gt; 3 </w:t>
      </w:r>
      <w:proofErr w:type="spellStart"/>
      <w:r>
        <w:rPr>
          <w:i w:val="0"/>
        </w:rPr>
        <w:t>ммоль</w:t>
      </w:r>
      <w:proofErr w:type="spellEnd"/>
      <w:r>
        <w:rPr>
          <w:i w:val="0"/>
        </w:rPr>
        <w:t xml:space="preserve">/л) для жировых эмульсий (ЖЭ); </w:t>
      </w:r>
      <w:r>
        <w:rPr>
          <w:rFonts w:ascii="Segoe UI Symbol" w:eastAsia="Segoe UI Symbol" w:hAnsi="Segoe UI Symbol" w:cs="Segoe UI Symbol"/>
          <w:i w:val="0"/>
          <w:sz w:val="20"/>
        </w:rPr>
        <w:t></w:t>
      </w:r>
      <w:r>
        <w:rPr>
          <w:rFonts w:ascii="Arial" w:eastAsia="Arial" w:hAnsi="Arial" w:cs="Arial"/>
          <w:i w:val="0"/>
          <w:sz w:val="20"/>
        </w:rPr>
        <w:t xml:space="preserve"> </w:t>
      </w:r>
      <w:r>
        <w:rPr>
          <w:rFonts w:ascii="Arial" w:eastAsia="Arial" w:hAnsi="Arial" w:cs="Arial"/>
          <w:i w:val="0"/>
          <w:sz w:val="20"/>
        </w:rPr>
        <w:tab/>
      </w:r>
      <w:r>
        <w:rPr>
          <w:i w:val="0"/>
        </w:rPr>
        <w:t xml:space="preserve">тяжелая печеночная и/или почечная недостаточность. </w:t>
      </w:r>
    </w:p>
    <w:p w:rsidR="00A849EC" w:rsidRDefault="00FA7204">
      <w:pPr>
        <w:spacing w:after="12" w:line="270" w:lineRule="auto"/>
        <w:ind w:left="718" w:hanging="10"/>
      </w:pPr>
      <w:r>
        <w:rPr>
          <w:i w:val="0"/>
        </w:rPr>
        <w:t xml:space="preserve">Противопоказания к проведению ЭП: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 xml:space="preserve">механическая кишечная непроходимость;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proofErr w:type="spellStart"/>
      <w:r>
        <w:rPr>
          <w:i w:val="0"/>
        </w:rPr>
        <w:t>мезентериальная</w:t>
      </w:r>
      <w:proofErr w:type="spellEnd"/>
      <w:r>
        <w:rPr>
          <w:i w:val="0"/>
        </w:rPr>
        <w:t xml:space="preserve"> ишемия;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 xml:space="preserve">продолжающееся желудочно-кишечное кровотечение;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 xml:space="preserve">перфорация кишки или несостоятельность анастомоза; </w:t>
      </w:r>
    </w:p>
    <w:p w:rsidR="00A849EC" w:rsidRDefault="00FA7204">
      <w:pPr>
        <w:numPr>
          <w:ilvl w:val="0"/>
          <w:numId w:val="6"/>
        </w:numPr>
        <w:spacing w:after="12" w:line="270" w:lineRule="auto"/>
        <w:ind w:hanging="708"/>
      </w:pPr>
      <w:r>
        <w:rPr>
          <w:i w:val="0"/>
        </w:rPr>
        <w:t xml:space="preserve">высокий свищ тонкой кишки (рассмотреть возможность проведения ЭП через зонд, установленный </w:t>
      </w:r>
      <w:proofErr w:type="spellStart"/>
      <w:r>
        <w:rPr>
          <w:i w:val="0"/>
        </w:rPr>
        <w:t>дистальнее</w:t>
      </w:r>
      <w:proofErr w:type="spellEnd"/>
      <w:r>
        <w:rPr>
          <w:i w:val="0"/>
        </w:rPr>
        <w:t xml:space="preserve"> свища).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13.</w:t>
      </w:r>
      <w:r>
        <w:rPr>
          <w:i w:val="0"/>
        </w:rPr>
        <w:t xml:space="preserve"> В большинстве случаев потребности пациента в энергии и белке рекомендуется определять эмпирически: потребность в энергии — 25–30</w:t>
      </w:r>
      <w:r>
        <w:rPr>
          <w:i w:val="0"/>
        </w:rPr>
        <w:t xml:space="preserve"> ккал/кг, потребность в белке — 1,2–1,5 г/кг/</w:t>
      </w:r>
      <w:proofErr w:type="spellStart"/>
      <w:r>
        <w:rPr>
          <w:i w:val="0"/>
        </w:rPr>
        <w:t>сут</w:t>
      </w:r>
      <w:proofErr w:type="spellEnd"/>
      <w:r>
        <w:rPr>
          <w:i w:val="0"/>
        </w:rPr>
        <w:t xml:space="preserve">.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14.</w:t>
      </w:r>
      <w:r>
        <w:rPr>
          <w:i w:val="0"/>
        </w:rPr>
        <w:t xml:space="preserve"> При необходимости более точного определения энергетических потребностей рекомендуется применение непрямой калориметрии.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Системная воспалительная реакция способствует увеличен</w:t>
      </w:r>
      <w:r>
        <w:t>ию энергетических потребностей организма в покое. Однако общие энергетическое потребности могут уменьшаться из-за снижения физической активности, связанного с заболеванием. Предлагаемые расчетные показатели суточной потребности в энергии и белке являются о</w:t>
      </w:r>
      <w:r>
        <w:t xml:space="preserve">птимальными для большинства хирургических пациентов, в том числе в </w:t>
      </w:r>
      <w:proofErr w:type="spellStart"/>
      <w:r>
        <w:t>онкохирургии</w:t>
      </w:r>
      <w:proofErr w:type="spellEnd"/>
      <w:r>
        <w:t xml:space="preserve">. Для расчета рекомендуется использовать идеальную массу тела. В отсутствие нарушения азот-выделительной функции почек суточное потребление белка до 2 г/кг является безопасным, </w:t>
      </w:r>
      <w:r>
        <w:t xml:space="preserve">но большинство экспертов не рекомендуют превышать эту величину более 1,5 г/кг из-за отсутствия убедительных данных об эффективности. Непрямая калориметрия может быть рекомендована у пациентов с ожирением, </w:t>
      </w:r>
      <w:proofErr w:type="spellStart"/>
      <w:r>
        <w:t>иммобилизированных</w:t>
      </w:r>
      <w:proofErr w:type="spellEnd"/>
      <w:r>
        <w:t>, находящихся на ИВЛ.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</w:t>
      </w:r>
      <w:r>
        <w:rPr>
          <w:b/>
          <w:i w:val="0"/>
        </w:rPr>
        <w:t>ия 15.</w:t>
      </w:r>
      <w:r>
        <w:rPr>
          <w:i w:val="0"/>
        </w:rPr>
        <w:t xml:space="preserve"> При невозможности обеспечить достаточный объем нутриентов пероральным доступом рекомендуется начать ЭП через </w:t>
      </w:r>
      <w:proofErr w:type="spellStart"/>
      <w:r>
        <w:rPr>
          <w:i w:val="0"/>
        </w:rPr>
        <w:t>назогастральный</w:t>
      </w:r>
      <w:proofErr w:type="spellEnd"/>
      <w:r>
        <w:rPr>
          <w:i w:val="0"/>
        </w:rPr>
        <w:t xml:space="preserve"> или </w:t>
      </w:r>
      <w:proofErr w:type="spellStart"/>
      <w:r>
        <w:rPr>
          <w:i w:val="0"/>
        </w:rPr>
        <w:t>назоеюнальный</w:t>
      </w:r>
      <w:proofErr w:type="spellEnd"/>
      <w:r>
        <w:rPr>
          <w:i w:val="0"/>
        </w:rPr>
        <w:t xml:space="preserve"> зонд.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Базовой для начала ЭП является стандартная </w:t>
      </w:r>
      <w:proofErr w:type="spellStart"/>
      <w:r>
        <w:t>полисубстратная</w:t>
      </w:r>
      <w:proofErr w:type="spellEnd"/>
      <w:r>
        <w:t xml:space="preserve"> </w:t>
      </w:r>
      <w:proofErr w:type="spellStart"/>
      <w:r>
        <w:t>изокалорическая</w:t>
      </w:r>
      <w:proofErr w:type="spellEnd"/>
      <w:r>
        <w:t xml:space="preserve"> </w:t>
      </w:r>
      <w:proofErr w:type="spellStart"/>
      <w:r>
        <w:t>энтеральная</w:t>
      </w:r>
      <w:proofErr w:type="spellEnd"/>
      <w:r>
        <w:t xml:space="preserve"> диета (тип «Стандарт»). Так называемые «зондовые столы» не должны применяться для ЭП в </w:t>
      </w:r>
      <w:proofErr w:type="spellStart"/>
      <w:r>
        <w:t>периоперационом</w:t>
      </w:r>
      <w:proofErr w:type="spellEnd"/>
      <w:r>
        <w:t xml:space="preserve"> периоде в связи с высоким риском инфекционных осложнений, невозможностью медленного капельного введения, неясной белковой, энергетической емкостью, неиз</w:t>
      </w:r>
      <w:r>
        <w:t xml:space="preserve">вестной </w:t>
      </w:r>
      <w:proofErr w:type="spellStart"/>
      <w:r>
        <w:t>осмолярностью</w:t>
      </w:r>
      <w:proofErr w:type="spellEnd"/>
      <w:r>
        <w:t>, количеством витаминов и микроэлементов в единице объема.</w:t>
      </w:r>
      <w:r>
        <w:rPr>
          <w:i w:val="0"/>
        </w:rPr>
        <w:t xml:space="preserve"> </w:t>
      </w:r>
    </w:p>
    <w:p w:rsidR="00A849EC" w:rsidRDefault="00FA7204">
      <w:pPr>
        <w:ind w:left="708" w:firstLine="0"/>
      </w:pPr>
      <w:r>
        <w:t>Показания к назначению полуэлементных (олигомерных) диет (тип «Пептид»):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 xml:space="preserve">непереносимость </w:t>
      </w:r>
      <w:proofErr w:type="spellStart"/>
      <w:r>
        <w:t>полисубстратных</w:t>
      </w:r>
      <w:proofErr w:type="spellEnd"/>
      <w:r>
        <w:t xml:space="preserve"> </w:t>
      </w:r>
      <w:proofErr w:type="spellStart"/>
      <w:r>
        <w:t>энтеральных</w:t>
      </w:r>
      <w:proofErr w:type="spellEnd"/>
      <w:r>
        <w:t xml:space="preserve"> смесей;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 xml:space="preserve">синдромы </w:t>
      </w:r>
      <w:proofErr w:type="spellStart"/>
      <w:r>
        <w:t>мальабсорбции</w:t>
      </w:r>
      <w:proofErr w:type="spellEnd"/>
      <w:r>
        <w:t xml:space="preserve">, </w:t>
      </w:r>
      <w:proofErr w:type="spellStart"/>
      <w:r>
        <w:t>мальдигестии</w:t>
      </w:r>
      <w:proofErr w:type="spellEnd"/>
      <w:r>
        <w:t>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>синдром «</w:t>
      </w:r>
      <w:r>
        <w:t>короткой кишки»;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>исходно имеющееся выраженное истощение пациента (ИМТ &lt; 16 кг/м2);</w:t>
      </w:r>
      <w:r>
        <w:rPr>
          <w:i w:val="0"/>
        </w:rPr>
        <w:t xml:space="preserve"> </w:t>
      </w:r>
      <w:r>
        <w:rPr>
          <w:rFonts w:ascii="Segoe UI Symbol" w:eastAsia="Segoe UI Symbol" w:hAnsi="Segoe UI Symbol" w:cs="Segoe UI Symbol"/>
          <w:i w:val="0"/>
          <w:sz w:val="20"/>
        </w:rPr>
        <w:t></w:t>
      </w:r>
      <w:r>
        <w:rPr>
          <w:rFonts w:ascii="Arial" w:eastAsia="Arial" w:hAnsi="Arial" w:cs="Arial"/>
          <w:i w:val="0"/>
          <w:sz w:val="20"/>
        </w:rPr>
        <w:t xml:space="preserve"> </w:t>
      </w:r>
      <w:r>
        <w:rPr>
          <w:rFonts w:ascii="Arial" w:eastAsia="Arial" w:hAnsi="Arial" w:cs="Arial"/>
          <w:i w:val="0"/>
          <w:sz w:val="20"/>
        </w:rPr>
        <w:tab/>
      </w:r>
      <w:r>
        <w:t xml:space="preserve">после длительного периода голодания (&gt; 5–7 </w:t>
      </w:r>
      <w:proofErr w:type="spellStart"/>
      <w:r>
        <w:t>сут</w:t>
      </w:r>
      <w:proofErr w:type="spellEnd"/>
      <w:r>
        <w:t>).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>Показания к назначению смесей, обогащенных пищевыми волокнами (тип «</w:t>
      </w:r>
      <w:proofErr w:type="spellStart"/>
      <w:r>
        <w:t>Файбер</w:t>
      </w:r>
      <w:proofErr w:type="spellEnd"/>
      <w:r>
        <w:t>»):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>длительность ЭП &gt; 7 дней;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 xml:space="preserve">длительная </w:t>
      </w:r>
      <w:r>
        <w:tab/>
        <w:t xml:space="preserve">антибактериальная </w:t>
      </w:r>
      <w:r>
        <w:tab/>
        <w:t xml:space="preserve">терапия </w:t>
      </w:r>
      <w:r>
        <w:tab/>
        <w:t xml:space="preserve">(особенно </w:t>
      </w:r>
      <w:r>
        <w:tab/>
      </w:r>
      <w:proofErr w:type="spellStart"/>
      <w:r>
        <w:t>цефтриаксон</w:t>
      </w:r>
      <w:proofErr w:type="spellEnd"/>
      <w:r>
        <w:t xml:space="preserve"> </w:t>
      </w:r>
      <w:r>
        <w:tab/>
        <w:t xml:space="preserve">и </w:t>
      </w:r>
    </w:p>
    <w:p w:rsidR="00A849EC" w:rsidRDefault="00FA7204">
      <w:pPr>
        <w:ind w:left="-15" w:firstLine="0"/>
      </w:pPr>
      <w:proofErr w:type="spellStart"/>
      <w:r>
        <w:t>аминогликозиды</w:t>
      </w:r>
      <w:proofErr w:type="spellEnd"/>
      <w:r>
        <w:t>);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>диарея или запор на фоне зондового питания.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lastRenderedPageBreak/>
        <w:t>Показания к назначению смесей для пациентов сахарным диабетом (тип «Диабет»):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>сахарный диабет 1-го и 2-го типов;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 xml:space="preserve">стрессовая гипергликемия &gt; 10 </w:t>
      </w:r>
      <w:proofErr w:type="spellStart"/>
      <w:r>
        <w:t>ммоль</w:t>
      </w:r>
      <w:proofErr w:type="spellEnd"/>
      <w:r>
        <w:t>/л у пациентов с поврежденным мозгом.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>Показания к назначению смесей, обогащенных разветвленными аминокислотами (тип «</w:t>
      </w:r>
      <w:proofErr w:type="spellStart"/>
      <w:r>
        <w:t>Гепа</w:t>
      </w:r>
      <w:proofErr w:type="spellEnd"/>
      <w:r>
        <w:t>»):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>печеночная энцефалопатия при острой и хронической печеночной недостаточности, после операций н</w:t>
      </w:r>
      <w:r>
        <w:t>а печени, включая трансплантацию.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t xml:space="preserve">Показания к назначению смесей, обогащенных </w:t>
      </w:r>
      <w:proofErr w:type="spellStart"/>
      <w:r>
        <w:t>фармаконутриентами</w:t>
      </w:r>
      <w:proofErr w:type="spellEnd"/>
      <w:r>
        <w:t xml:space="preserve"> — </w:t>
      </w:r>
      <w:proofErr w:type="spellStart"/>
      <w:r>
        <w:t>глутамином</w:t>
      </w:r>
      <w:proofErr w:type="spellEnd"/>
      <w:r>
        <w:t>, аргинином, омега-3 жирными кислотами (омега-3-ЖК), антиоксидантами (тип «</w:t>
      </w:r>
      <w:proofErr w:type="spellStart"/>
      <w:r>
        <w:t>Иммун</w:t>
      </w:r>
      <w:proofErr w:type="spellEnd"/>
      <w:r>
        <w:t>»):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>сочетанная травма;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 xml:space="preserve">тяжелая термическая травма (индекс Франка </w:t>
      </w:r>
      <w:r>
        <w:t>&gt; 30);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7"/>
        </w:numPr>
      </w:pPr>
      <w:r>
        <w:t xml:space="preserve">предоперационная подготовка у пациентов раком головы, шеи, верхних отделов ЖКТ (целесообразно привести ограничения для </w:t>
      </w:r>
      <w:proofErr w:type="spellStart"/>
      <w:r>
        <w:t>аргининсодержащих</w:t>
      </w:r>
      <w:proofErr w:type="spellEnd"/>
      <w:r>
        <w:t xml:space="preserve"> смесей).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16.</w:t>
      </w:r>
      <w:r>
        <w:rPr>
          <w:i w:val="0"/>
        </w:rPr>
        <w:t xml:space="preserve"> При длительности ЭП более 3 </w:t>
      </w:r>
      <w:proofErr w:type="spellStart"/>
      <w:r>
        <w:rPr>
          <w:i w:val="0"/>
        </w:rPr>
        <w:t>нед</w:t>
      </w:r>
      <w:proofErr w:type="spellEnd"/>
      <w:r>
        <w:rPr>
          <w:i w:val="0"/>
        </w:rPr>
        <w:t>. и отсутствии перспективы удаления зонда в течение б</w:t>
      </w:r>
      <w:r>
        <w:rPr>
          <w:i w:val="0"/>
        </w:rPr>
        <w:t xml:space="preserve">лижайших 7–10 </w:t>
      </w:r>
      <w:proofErr w:type="spellStart"/>
      <w:r>
        <w:rPr>
          <w:i w:val="0"/>
        </w:rPr>
        <w:t>сут</w:t>
      </w:r>
      <w:proofErr w:type="spellEnd"/>
      <w:r>
        <w:rPr>
          <w:i w:val="0"/>
        </w:rPr>
        <w:t xml:space="preserve"> рекомендуется выполнить </w:t>
      </w:r>
      <w:proofErr w:type="spellStart"/>
      <w:r>
        <w:rPr>
          <w:i w:val="0"/>
        </w:rPr>
        <w:t>гастро</w:t>
      </w:r>
      <w:proofErr w:type="spellEnd"/>
      <w:r>
        <w:rPr>
          <w:i w:val="0"/>
        </w:rPr>
        <w:t xml:space="preserve">- или </w:t>
      </w:r>
      <w:proofErr w:type="spellStart"/>
      <w:r>
        <w:rPr>
          <w:i w:val="0"/>
        </w:rPr>
        <w:t>энтеростомию</w:t>
      </w:r>
      <w:proofErr w:type="spellEnd"/>
      <w:r>
        <w:rPr>
          <w:i w:val="0"/>
        </w:rPr>
        <w:t xml:space="preserve">.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17.</w:t>
      </w:r>
      <w:r>
        <w:rPr>
          <w:i w:val="0"/>
        </w:rPr>
        <w:t xml:space="preserve"> </w:t>
      </w:r>
      <w:proofErr w:type="spellStart"/>
      <w:r>
        <w:rPr>
          <w:i w:val="0"/>
        </w:rPr>
        <w:t>Гастро</w:t>
      </w:r>
      <w:proofErr w:type="spellEnd"/>
      <w:r>
        <w:rPr>
          <w:i w:val="0"/>
        </w:rPr>
        <w:t xml:space="preserve">- или </w:t>
      </w:r>
      <w:proofErr w:type="spellStart"/>
      <w:r>
        <w:rPr>
          <w:i w:val="0"/>
        </w:rPr>
        <w:t>энтеростомию</w:t>
      </w:r>
      <w:proofErr w:type="spellEnd"/>
      <w:r>
        <w:rPr>
          <w:i w:val="0"/>
        </w:rPr>
        <w:t xml:space="preserve"> рекомендуется выполнить </w:t>
      </w:r>
      <w:proofErr w:type="spellStart"/>
      <w:r>
        <w:rPr>
          <w:i w:val="0"/>
        </w:rPr>
        <w:t>чрескожно</w:t>
      </w:r>
      <w:proofErr w:type="spellEnd"/>
      <w:r>
        <w:rPr>
          <w:i w:val="0"/>
        </w:rPr>
        <w:t xml:space="preserve"> с помощью эндоскопических методик.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Многочисленные исследования показали преимущества и удобство к</w:t>
      </w:r>
      <w:r>
        <w:t xml:space="preserve">ормления через зонд, установленный </w:t>
      </w:r>
      <w:proofErr w:type="spellStart"/>
      <w:r>
        <w:t>дистальнее</w:t>
      </w:r>
      <w:proofErr w:type="spellEnd"/>
      <w:r>
        <w:t xml:space="preserve"> анастомоза. Открытая или даже </w:t>
      </w:r>
      <w:proofErr w:type="spellStart"/>
      <w:r>
        <w:t>лапароскопическая</w:t>
      </w:r>
      <w:proofErr w:type="spellEnd"/>
      <w:r>
        <w:t xml:space="preserve"> установка </w:t>
      </w:r>
      <w:proofErr w:type="spellStart"/>
      <w:r>
        <w:t>назоеюнального</w:t>
      </w:r>
      <w:proofErr w:type="spellEnd"/>
      <w:r>
        <w:t xml:space="preserve"> зонда в специализированном центре связана с низким риском и частотой осложнений — около 1,5–6 %. Для пациентов, подвергшихся резекции пищ</w:t>
      </w:r>
      <w:r>
        <w:t xml:space="preserve">евода, обсервационное исследование продемонстрировало преимущества безопасного долгосрочного </w:t>
      </w:r>
      <w:proofErr w:type="spellStart"/>
      <w:r>
        <w:t>назоеюнального</w:t>
      </w:r>
      <w:proofErr w:type="spellEnd"/>
      <w:r>
        <w:t xml:space="preserve"> доступа с минимальным количеством случаев несостоятельности анастомоза. </w:t>
      </w:r>
      <w:proofErr w:type="spellStart"/>
      <w:r>
        <w:t>Чрескожную</w:t>
      </w:r>
      <w:proofErr w:type="spellEnd"/>
      <w:r>
        <w:t xml:space="preserve"> эндоскопическую </w:t>
      </w:r>
      <w:proofErr w:type="spellStart"/>
      <w:r>
        <w:t>гастростомию</w:t>
      </w:r>
      <w:proofErr w:type="spellEnd"/>
      <w:r>
        <w:t xml:space="preserve"> следует рассматривать при наличии по</w:t>
      </w:r>
      <w:r>
        <w:t xml:space="preserve">казаний к длительному </w:t>
      </w:r>
      <w:proofErr w:type="spellStart"/>
      <w:r>
        <w:t>энтеральному</w:t>
      </w:r>
      <w:proofErr w:type="spellEnd"/>
      <w:r>
        <w:t xml:space="preserve"> зондовому питанию. Для пациентов со стенозом верхних отделов ЖКТ, вызванным оперативным вмешательством после </w:t>
      </w:r>
      <w:proofErr w:type="spellStart"/>
      <w:r>
        <w:t>неоадъювантного</w:t>
      </w:r>
      <w:proofErr w:type="spellEnd"/>
      <w:r>
        <w:t xml:space="preserve"> </w:t>
      </w:r>
      <w:proofErr w:type="spellStart"/>
      <w:r>
        <w:t>радиохимиотерапевтического</w:t>
      </w:r>
      <w:proofErr w:type="spellEnd"/>
      <w:r>
        <w:t xml:space="preserve"> воздействия, </w:t>
      </w:r>
      <w:proofErr w:type="spellStart"/>
      <w:r>
        <w:t>чрескожную</w:t>
      </w:r>
      <w:proofErr w:type="spellEnd"/>
      <w:r>
        <w:t xml:space="preserve"> </w:t>
      </w:r>
      <w:proofErr w:type="spellStart"/>
      <w:r>
        <w:t>гастростому</w:t>
      </w:r>
      <w:proofErr w:type="spellEnd"/>
      <w:r>
        <w:t xml:space="preserve"> следует размещать только по усмот</w:t>
      </w:r>
      <w:r>
        <w:t>рению хирурга.</w:t>
      </w:r>
      <w:r>
        <w:rPr>
          <w:i w:val="0"/>
        </w:rPr>
        <w:t xml:space="preserve"> </w:t>
      </w:r>
    </w:p>
    <w:p w:rsidR="00A849EC" w:rsidRDefault="00FA7204">
      <w:pPr>
        <w:ind w:left="708" w:firstLine="0"/>
      </w:pPr>
      <w:r>
        <w:t xml:space="preserve">Показания для наложения </w:t>
      </w:r>
      <w:proofErr w:type="spellStart"/>
      <w:r>
        <w:t>энтеростомы</w:t>
      </w:r>
      <w:proofErr w:type="spellEnd"/>
      <w:r>
        <w:t>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8"/>
        </w:numPr>
        <w:ind w:right="78"/>
      </w:pPr>
      <w:r>
        <w:t xml:space="preserve">отсутствие возможности выполнить </w:t>
      </w:r>
      <w:proofErr w:type="spellStart"/>
      <w:r>
        <w:t>гастростомию</w:t>
      </w:r>
      <w:proofErr w:type="spellEnd"/>
      <w:r>
        <w:t xml:space="preserve"> (ожог желудка, рецидив рака культи желудка, свищ пищеводно-кишечного соустья, свищ </w:t>
      </w:r>
    </w:p>
    <w:p w:rsidR="00A849EC" w:rsidRDefault="00FA7204">
      <w:pPr>
        <w:ind w:left="-15" w:firstLine="0"/>
      </w:pPr>
      <w:r>
        <w:t>двенадцатиперстной кишки и т. д.);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8"/>
        </w:numPr>
        <w:spacing w:after="22" w:line="259" w:lineRule="auto"/>
        <w:ind w:right="78"/>
      </w:pPr>
      <w:r>
        <w:t xml:space="preserve">высокий риск </w:t>
      </w:r>
      <w:proofErr w:type="spellStart"/>
      <w:r>
        <w:t>регургитации</w:t>
      </w:r>
      <w:proofErr w:type="spellEnd"/>
      <w:r>
        <w:t xml:space="preserve"> и аспираци</w:t>
      </w:r>
      <w:r>
        <w:t>и желудочного содержимого.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18.</w:t>
      </w:r>
      <w:r>
        <w:rPr>
          <w:i w:val="0"/>
        </w:rPr>
        <w:t xml:space="preserve"> В послеоперационный период ПП рекомендуется в случае невозможности в течение 3 </w:t>
      </w:r>
      <w:proofErr w:type="spellStart"/>
      <w:r>
        <w:rPr>
          <w:i w:val="0"/>
        </w:rPr>
        <w:t>сут</w:t>
      </w:r>
      <w:proofErr w:type="spellEnd"/>
      <w:r>
        <w:rPr>
          <w:i w:val="0"/>
        </w:rPr>
        <w:t xml:space="preserve"> обеспечить более 60 % потребностей пациента с помощью ЭП. При исходно тяжелой БЭН и у пациентов пожилого и старческого возраста </w:t>
      </w:r>
      <w:r>
        <w:rPr>
          <w:i w:val="0"/>
        </w:rPr>
        <w:t xml:space="preserve">назначение ПП рекомендуется в ближайший послеоперационный период.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Традиционно считается, что назначение ПП у пациентов без исходно выраженной БЭН необходимо, только начиная с 7-х суток при невозможности обеспечить </w:t>
      </w:r>
      <w:proofErr w:type="spellStart"/>
      <w:r>
        <w:t>белково</w:t>
      </w:r>
      <w:proofErr w:type="spellEnd"/>
      <w:r>
        <w:t>-энергетические потре</w:t>
      </w:r>
      <w:r>
        <w:t>бности в объеме &gt; 50 % от необходимых пероральным/</w:t>
      </w:r>
      <w:proofErr w:type="spellStart"/>
      <w:r>
        <w:t>энтеральным</w:t>
      </w:r>
      <w:proofErr w:type="spellEnd"/>
      <w:r>
        <w:t xml:space="preserve"> доступом. Учитывая, что после объемных хирургических вмешательств, особенно в </w:t>
      </w:r>
      <w:proofErr w:type="spellStart"/>
      <w:r>
        <w:t>онкохирургии</w:t>
      </w:r>
      <w:proofErr w:type="spellEnd"/>
      <w:r>
        <w:t>, тяжесть состояния пациентов может потребовать пребывания в ОРИТ, мы рекомендуем начиная с 4-х суток по</w:t>
      </w:r>
      <w:r>
        <w:t xml:space="preserve">слеоперационного периода назначать ДПП с целью покрыть дефицит </w:t>
      </w:r>
      <w:proofErr w:type="spellStart"/>
      <w:r>
        <w:lastRenderedPageBreak/>
        <w:t>белковоэнергетических</w:t>
      </w:r>
      <w:proofErr w:type="spellEnd"/>
      <w:r>
        <w:t xml:space="preserve"> потребностей, не обеспеченных с помощью ДПП и/или ЭП. У пациентов с исходно тяжелой БЭН следует рассмотреть назначение ПП в более ранние сроки — на следующие сутки после в</w:t>
      </w:r>
      <w:r>
        <w:t>ыполнения оперативного вмешательства.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19.</w:t>
      </w:r>
      <w:r>
        <w:rPr>
          <w:i w:val="0"/>
        </w:rPr>
        <w:t xml:space="preserve"> При проведении ПП рекомендуется использовать системы «все в одном», т. к. это является экономически выгодным и реже сопровождается инфекциями кровотока по сравнению с традиционной флаконной методикой.</w:t>
      </w:r>
      <w:r>
        <w:rPr>
          <w:i w:val="0"/>
        </w:rPr>
        <w:t xml:space="preserve">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В 2 РКИ было показано, что использование 3-компонентных пакетов (аминокислоты, углеводы, ЖЭ) позволяет на 20–50 % уменьшить экономические затраты на проведение ПП по сравнению с традиционной флаконной методикой. В ретроспективном исследовани</w:t>
      </w:r>
      <w:r>
        <w:t>и с участием 68 984 пациентов выявлено статистически значимое снижение инфекций кровотока с 24,6 до 18,9 % при использовании готовых систем «все в одном».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20.</w:t>
      </w:r>
      <w:r>
        <w:rPr>
          <w:i w:val="0"/>
        </w:rPr>
        <w:t xml:space="preserve"> </w:t>
      </w:r>
      <w:r>
        <w:rPr>
          <w:i w:val="0"/>
        </w:rPr>
        <w:t xml:space="preserve">Выбирать тип ЖЭ для ПП рекомендуется индивидуально с учетом тяжести нарушений функции сердечно-сосудистой системы, выраженности легочного повреждения, </w:t>
      </w:r>
      <w:proofErr w:type="spellStart"/>
      <w:r>
        <w:rPr>
          <w:i w:val="0"/>
        </w:rPr>
        <w:t>полиорганной</w:t>
      </w:r>
      <w:proofErr w:type="spellEnd"/>
      <w:r>
        <w:rPr>
          <w:i w:val="0"/>
        </w:rPr>
        <w:t xml:space="preserve"> дисфункции, а также риска развития </w:t>
      </w:r>
      <w:proofErr w:type="spellStart"/>
      <w:r>
        <w:rPr>
          <w:i w:val="0"/>
        </w:rPr>
        <w:t>гипертриглицеридемии</w:t>
      </w:r>
      <w:proofErr w:type="spellEnd"/>
      <w:r>
        <w:rPr>
          <w:i w:val="0"/>
        </w:rPr>
        <w:t xml:space="preserve"> и </w:t>
      </w:r>
      <w:proofErr w:type="spellStart"/>
      <w:r>
        <w:rPr>
          <w:i w:val="0"/>
        </w:rPr>
        <w:t>холестаза</w:t>
      </w:r>
      <w:proofErr w:type="spellEnd"/>
      <w:r>
        <w:rPr>
          <w:i w:val="0"/>
        </w:rPr>
        <w:t xml:space="preserve">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В качеств</w:t>
      </w:r>
      <w:r>
        <w:t xml:space="preserve">е аргумента более высокой эффективности и безопасности ЖЭ II и III поколений в российской и зарубежной литературе приводятся результаты контролируемых </w:t>
      </w:r>
      <w:proofErr w:type="spellStart"/>
      <w:r>
        <w:t>проспективных</w:t>
      </w:r>
      <w:proofErr w:type="spellEnd"/>
      <w:r>
        <w:t xml:space="preserve"> исследований у различных групп пациентов. Ряд авторов полагает, что преимущества ЖЭ II поко</w:t>
      </w:r>
      <w:r>
        <w:t xml:space="preserve">ления перед ЖЭ I поколения обусловлены не только гораздо более низкой квотой линоленовой кислоты, но и метаболическими особенностями МСТ триглицеридов, таких как способность подвергаться процессам гидролиза и транспорта без участия альбумина, </w:t>
      </w:r>
      <w:proofErr w:type="spellStart"/>
      <w:r>
        <w:t>аполипопротеи</w:t>
      </w:r>
      <w:r>
        <w:t>на</w:t>
      </w:r>
      <w:proofErr w:type="spellEnd"/>
      <w:r>
        <w:t xml:space="preserve"> CII и проникать в митохондрии без участия карнитина. В обзоре M. </w:t>
      </w:r>
      <w:proofErr w:type="spellStart"/>
      <w:r>
        <w:t>Adolph</w:t>
      </w:r>
      <w:proofErr w:type="spellEnd"/>
      <w:r>
        <w:t>, посвященном проблеме различных поколений ЖЭ, суммируются преимущества II поколения ЖЭ перед жирами I поколения, а именно: отмечается более высокая скорость утилизации из кровеносно</w:t>
      </w:r>
      <w:r>
        <w:t>го русла и окисления у больных с тяжелым сепсисом; доказано наличие большего протеин-сберегающего эффекта; высокая скорость утилизации позволяет предотвращать развитие жировой перегрузки; оказывает благоприятное влияние на газообмен и легочную гемодинамику</w:t>
      </w:r>
      <w:r>
        <w:t xml:space="preserve"> в условиях ОРДС. Исследование с участием хирургических пациентов с тяжелой формой истощения, получающих </w:t>
      </w:r>
      <w:proofErr w:type="spellStart"/>
      <w:r>
        <w:t>периоперационное</w:t>
      </w:r>
      <w:proofErr w:type="spellEnd"/>
      <w:r>
        <w:t xml:space="preserve"> ПП, продемонстрировало значительно более низкую частоту внутрибрюшных абсцессов при использовании ЖЭ II генерации по сравнению с ЖЭ I </w:t>
      </w:r>
      <w:r>
        <w:t xml:space="preserve">поколения. Не было зарегистрировано различий в показателях других инфекций или смертности. ЖЭ II и III генерации оказывают принципиально иные эффекты на системы транспорта кислорода и газообмена. Особого внимания заслуживает исследование </w:t>
      </w:r>
      <w:proofErr w:type="spellStart"/>
      <w:r>
        <w:t>Faucher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оп</w:t>
      </w:r>
      <w:r>
        <w:t xml:space="preserve">убликованное в 2003 г. в журнале </w:t>
      </w:r>
      <w:proofErr w:type="spellStart"/>
      <w:r>
        <w:t>Chest</w:t>
      </w:r>
      <w:proofErr w:type="spellEnd"/>
      <w:r>
        <w:t xml:space="preserve">. В рамках </w:t>
      </w:r>
      <w:proofErr w:type="spellStart"/>
      <w:r>
        <w:t>проспективного</w:t>
      </w:r>
      <w:proofErr w:type="spellEnd"/>
      <w:r>
        <w:t xml:space="preserve">, </w:t>
      </w:r>
      <w:proofErr w:type="spellStart"/>
      <w:r>
        <w:t>рандомизированного</w:t>
      </w:r>
      <w:proofErr w:type="spellEnd"/>
      <w:r>
        <w:t xml:space="preserve">, двойного слепого исследования было показано, что у пациентов с ОРДС (с исходным коэффициентом </w:t>
      </w:r>
      <w:proofErr w:type="spellStart"/>
      <w:r>
        <w:t>оксигенации</w:t>
      </w:r>
      <w:proofErr w:type="spellEnd"/>
      <w:r>
        <w:t xml:space="preserve"> около 160) </w:t>
      </w:r>
      <w:proofErr w:type="spellStart"/>
      <w:r>
        <w:t>инфузия</w:t>
      </w:r>
      <w:proofErr w:type="spellEnd"/>
      <w:r>
        <w:t xml:space="preserve"> ЖЭ II поколения со скоростью менее 100 мл/ч, в</w:t>
      </w:r>
      <w:r>
        <w:t xml:space="preserve"> отличие от внутривенной </w:t>
      </w:r>
      <w:proofErr w:type="spellStart"/>
      <w:r>
        <w:t>инфузии</w:t>
      </w:r>
      <w:proofErr w:type="spellEnd"/>
      <w:r>
        <w:t xml:space="preserve"> чистой соевой эмульсии, достоверно повышала коэффициент </w:t>
      </w:r>
      <w:proofErr w:type="spellStart"/>
      <w:r>
        <w:t>оксигенации</w:t>
      </w:r>
      <w:proofErr w:type="spellEnd"/>
      <w:r>
        <w:t xml:space="preserve"> (paO2/FiO2), что сопровождалось увеличением значений сердечного индекса и доставки кислорода [52]. У пациентов со стабильной центральной и легочной гемодин</w:t>
      </w:r>
      <w:r>
        <w:t xml:space="preserve">амикой, отсутствием явлений </w:t>
      </w:r>
      <w:proofErr w:type="spellStart"/>
      <w:r>
        <w:t>полиорганной</w:t>
      </w:r>
      <w:proofErr w:type="spellEnd"/>
      <w:r>
        <w:t xml:space="preserve"> дисфункции могут применяться ЖЭ I поколения.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21.</w:t>
      </w:r>
      <w:r>
        <w:rPr>
          <w:i w:val="0"/>
        </w:rPr>
        <w:t xml:space="preserve"> У пациентов с тяжелой кишечной недостаточностью и/или невозможностью питаться </w:t>
      </w:r>
      <w:proofErr w:type="spellStart"/>
      <w:r>
        <w:rPr>
          <w:i w:val="0"/>
        </w:rPr>
        <w:t>энтерально</w:t>
      </w:r>
      <w:proofErr w:type="spellEnd"/>
      <w:r>
        <w:rPr>
          <w:i w:val="0"/>
        </w:rPr>
        <w:t xml:space="preserve"> при проведении полного ПП рекомендуется внутривенное введение р</w:t>
      </w:r>
      <w:r>
        <w:rPr>
          <w:i w:val="0"/>
        </w:rPr>
        <w:t xml:space="preserve">астворов </w:t>
      </w:r>
      <w:proofErr w:type="spellStart"/>
      <w:r>
        <w:rPr>
          <w:i w:val="0"/>
        </w:rPr>
        <w:t>глутамина</w:t>
      </w:r>
      <w:proofErr w:type="spellEnd"/>
      <w:r>
        <w:rPr>
          <w:i w:val="0"/>
        </w:rPr>
        <w:t xml:space="preserve">.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>Рекомендация 22.</w:t>
      </w:r>
      <w:r>
        <w:rPr>
          <w:i w:val="0"/>
        </w:rPr>
        <w:t xml:space="preserve"> У пациентов ОРИТ с высоким риском развития </w:t>
      </w:r>
      <w:proofErr w:type="spellStart"/>
      <w:r>
        <w:rPr>
          <w:i w:val="0"/>
        </w:rPr>
        <w:t>нозокомиальных</w:t>
      </w:r>
      <w:proofErr w:type="spellEnd"/>
      <w:r>
        <w:rPr>
          <w:i w:val="0"/>
        </w:rPr>
        <w:t xml:space="preserve"> инфекций рекомендуется в программу ПП включать омега-3-ЖК. </w:t>
      </w:r>
    </w:p>
    <w:p w:rsidR="00A849EC" w:rsidRDefault="00FA7204">
      <w:pPr>
        <w:ind w:left="-15"/>
      </w:pPr>
      <w:r>
        <w:rPr>
          <w:b/>
        </w:rPr>
        <w:lastRenderedPageBreak/>
        <w:t>Комментарий.</w:t>
      </w:r>
      <w:r>
        <w:t xml:space="preserve"> Влияние ЖЭ, обогащенных омега-3-ЖК, на систему предшественников медиаторов системной во</w:t>
      </w:r>
      <w:r>
        <w:t>спалительной реакции, по-видимому, может оказывать также влияние на ее течение. В большинстве исследований авторы оценивали эффективность внутривенного введения 5–6 г/</w:t>
      </w:r>
      <w:proofErr w:type="spellStart"/>
      <w:r>
        <w:t>сут</w:t>
      </w:r>
      <w:proofErr w:type="spellEnd"/>
      <w:r>
        <w:t xml:space="preserve"> омега-3-ЖК в составе многокомпонентной ЖЭ. В феврале 2007 г. были опубликованы резуль</w:t>
      </w:r>
      <w:r>
        <w:t>таты многоцентрового исследования с участием 256 хирургических пациентов после абдоминальных вмешательств, сравнивающего применение стандартной и обогащенной омега-3-ЖК ЖЭ. В группе пациентов, получавших ЖЭ III поколения, обогащенную омега-</w:t>
      </w:r>
    </w:p>
    <w:p w:rsidR="00A849EC" w:rsidRDefault="00FA7204">
      <w:pPr>
        <w:ind w:left="-15" w:firstLine="0"/>
      </w:pPr>
      <w:r>
        <w:t xml:space="preserve">3-ЖК, выявлено </w:t>
      </w:r>
      <w:r>
        <w:t xml:space="preserve">статистически значимое снижение длительности пребывания в стационаре, а также увеличение концентрации </w:t>
      </w:r>
      <w:proofErr w:type="spellStart"/>
      <w:r>
        <w:t>антивоспалительных</w:t>
      </w:r>
      <w:proofErr w:type="spellEnd"/>
      <w:r>
        <w:t xml:space="preserve"> </w:t>
      </w:r>
      <w:proofErr w:type="spellStart"/>
      <w:r>
        <w:t>эйкозаноидов</w:t>
      </w:r>
      <w:proofErr w:type="spellEnd"/>
      <w:r>
        <w:t xml:space="preserve">.  </w:t>
      </w:r>
    </w:p>
    <w:p w:rsidR="00A849EC" w:rsidRDefault="00FA7204">
      <w:pPr>
        <w:ind w:left="708" w:firstLine="0"/>
      </w:pPr>
      <w:r>
        <w:t>Противопоказаниями для введения омега-3-ЖК являются следующие: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>гиперчувствительность к протеинам рыбы, яиц, сои, арахи</w:t>
      </w:r>
      <w:r>
        <w:t>са, к другим компонентам препарата;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 xml:space="preserve">тяжелая </w:t>
      </w:r>
      <w:proofErr w:type="spellStart"/>
      <w:r>
        <w:t>гиперлипидемия</w:t>
      </w:r>
      <w:proofErr w:type="spellEnd"/>
      <w:r>
        <w:t>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>тяжелая печеночная недостаточность;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>любая кровоточивость, особенно при выраженной тромбоцитопении;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>тяжелая почечная недостаточность без возможности проведения заместительной терапии;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>шок;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>об</w:t>
      </w:r>
      <w:r>
        <w:t xml:space="preserve">щие </w:t>
      </w:r>
      <w:r>
        <w:tab/>
        <w:t xml:space="preserve">противопоказания </w:t>
      </w:r>
      <w:r>
        <w:tab/>
        <w:t xml:space="preserve">к </w:t>
      </w:r>
      <w:r>
        <w:tab/>
      </w:r>
      <w:proofErr w:type="spellStart"/>
      <w:r>
        <w:t>инфузионной</w:t>
      </w:r>
      <w:proofErr w:type="spellEnd"/>
      <w:r>
        <w:t xml:space="preserve"> </w:t>
      </w:r>
      <w:r>
        <w:tab/>
        <w:t xml:space="preserve">терапии: </w:t>
      </w:r>
      <w:r>
        <w:tab/>
        <w:t xml:space="preserve">отек </w:t>
      </w:r>
      <w:r>
        <w:tab/>
        <w:t xml:space="preserve">легких, </w:t>
      </w:r>
    </w:p>
    <w:p w:rsidR="00A849EC" w:rsidRDefault="00FA7204">
      <w:pPr>
        <w:ind w:left="-15" w:firstLine="0"/>
      </w:pPr>
      <w:proofErr w:type="spellStart"/>
      <w:r>
        <w:t>гипергидратация</w:t>
      </w:r>
      <w:proofErr w:type="spellEnd"/>
      <w:r>
        <w:t xml:space="preserve"> и декомпенсированная сердечная недостаточность;</w:t>
      </w: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9"/>
        </w:numPr>
      </w:pPr>
      <w:r>
        <w:t>нестабильное состояние пациента (например, травматический шок, декомпенсированный сахарный диабет, острый инфаркт миокарда, инс</w:t>
      </w:r>
      <w:r>
        <w:t>ульт, эмболия, метаболический ацидоз, тяжелый сепсис, гипотоническая дегидратация).</w:t>
      </w: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b/>
          <w:i w:val="0"/>
        </w:rPr>
        <w:t xml:space="preserve">Рекомендация 23. </w:t>
      </w:r>
      <w:r>
        <w:rPr>
          <w:i w:val="0"/>
        </w:rPr>
        <w:t xml:space="preserve">При проведении полного ПП длительностью более 5 </w:t>
      </w:r>
      <w:proofErr w:type="spellStart"/>
      <w:r>
        <w:rPr>
          <w:i w:val="0"/>
        </w:rPr>
        <w:t>сут</w:t>
      </w:r>
      <w:proofErr w:type="spellEnd"/>
      <w:r>
        <w:rPr>
          <w:i w:val="0"/>
        </w:rPr>
        <w:t xml:space="preserve"> рекомендуется внутривенное введение комплексов витаминов и микроэлементов. </w:t>
      </w:r>
    </w:p>
    <w:p w:rsidR="00A849EC" w:rsidRDefault="00FA7204">
      <w:pPr>
        <w:ind w:left="-15"/>
      </w:pPr>
      <w:r>
        <w:rPr>
          <w:b/>
        </w:rPr>
        <w:t>Комментарий.</w:t>
      </w:r>
      <w:r>
        <w:t xml:space="preserve"> У здорового ч</w:t>
      </w:r>
      <w:r>
        <w:t xml:space="preserve">еловека в большинстве случаев имеется достаточный запас микронутриентов, и это дает возможность какое-то время компенсировать недостаток поступления и повышенные потребности при патологии. Необходимость </w:t>
      </w:r>
      <w:proofErr w:type="spellStart"/>
      <w:r>
        <w:t>инфузии</w:t>
      </w:r>
      <w:proofErr w:type="spellEnd"/>
      <w:r>
        <w:t xml:space="preserve"> растворов микронутриентов диктуется их недост</w:t>
      </w:r>
      <w:r>
        <w:t xml:space="preserve">аточностью. Проведено немало исследований, которые показывали, что дефицит микронутриентов и низкое их потребление ассоциировались с увеличением заболеваемости. Напротив, восстановление адекватного потребления приводило к нормализации </w:t>
      </w:r>
      <w:proofErr w:type="spellStart"/>
      <w:r>
        <w:t>нутритивного</w:t>
      </w:r>
      <w:proofErr w:type="spellEnd"/>
      <w:r>
        <w:t xml:space="preserve"> статуса </w:t>
      </w:r>
      <w:r>
        <w:t>и уменьшению инцидентов заболеваний. Исследования на здоровых пожилых пациентах, которые получали индивидуальный набор витаминов и микроэлементов, показало снижение частоты инфекционных заболеваний на период более года. Подобный эффект авторы связывали с у</w:t>
      </w:r>
      <w:r>
        <w:t>лучшением защитных функций лимфоцитов. Большое количество исследований посвящено антиоксидантной защите организма. Четко установлен факт дефицита витамина С у больных в критических состояниях. Нормализация содержания витаминов С и Е способствует уменьшению</w:t>
      </w:r>
      <w:r>
        <w:t xml:space="preserve"> окислительного повреждения, что связано с восстановлением ферментных и неферментных антиоксидантных систем, а также улучшению функций липидов в мембранах. </w:t>
      </w:r>
    </w:p>
    <w:p w:rsidR="00A849EC" w:rsidRDefault="00FA7204">
      <w:pPr>
        <w:spacing w:after="23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1935" w:hanging="10"/>
      </w:pPr>
      <w:r>
        <w:rPr>
          <w:i w:val="0"/>
        </w:rPr>
        <w:t xml:space="preserve">КРИТЕРИИ НАЗНАЧЕНИЯ НУТРИТИВНОЙ ПОДДЕЖКИ </w:t>
      </w:r>
    </w:p>
    <w:p w:rsidR="00A849EC" w:rsidRDefault="00FA7204">
      <w:pPr>
        <w:spacing w:after="21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718" w:hanging="10"/>
      </w:pPr>
      <w:r>
        <w:rPr>
          <w:i w:val="0"/>
        </w:rPr>
        <w:t xml:space="preserve">“Классические”: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lastRenderedPageBreak/>
        <w:t xml:space="preserve">Существовавшая ранее тяжёлая питательная недостаточность;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Пероральный приём обеспечивает менее 50% потребностей;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Ожидаемая задержка перед восстановлением способности питаться более 5-7 дней.  </w:t>
      </w:r>
    </w:p>
    <w:p w:rsidR="00A849EC" w:rsidRDefault="00FA7204">
      <w:pPr>
        <w:spacing w:after="12" w:line="270" w:lineRule="auto"/>
        <w:ind w:left="718" w:hanging="10"/>
      </w:pPr>
      <w:r>
        <w:rPr>
          <w:i w:val="0"/>
        </w:rPr>
        <w:t xml:space="preserve">Раннее </w:t>
      </w:r>
      <w:proofErr w:type="spellStart"/>
      <w:r>
        <w:rPr>
          <w:i w:val="0"/>
        </w:rPr>
        <w:t>энтеральное</w:t>
      </w:r>
      <w:proofErr w:type="spellEnd"/>
      <w:r>
        <w:rPr>
          <w:i w:val="0"/>
        </w:rPr>
        <w:t xml:space="preserve"> питание: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Хирургические вмешательства, </w:t>
      </w:r>
      <w:r>
        <w:rPr>
          <w:i w:val="0"/>
        </w:rPr>
        <w:t xml:space="preserve">травмы, ожоги. </w:t>
      </w:r>
    </w:p>
    <w:p w:rsidR="00A849EC" w:rsidRDefault="00FA7204">
      <w:pPr>
        <w:spacing w:after="12" w:line="270" w:lineRule="auto"/>
        <w:ind w:left="-15" w:firstLine="708"/>
      </w:pPr>
      <w:proofErr w:type="spellStart"/>
      <w:r>
        <w:rPr>
          <w:i w:val="0"/>
        </w:rPr>
        <w:t>Энтеральное</w:t>
      </w:r>
      <w:proofErr w:type="spellEnd"/>
      <w:r>
        <w:rPr>
          <w:i w:val="0"/>
        </w:rPr>
        <w:t xml:space="preserve"> питание имеет положительный эффект после хирургического вмешательства, травмы и ожогов при условии начала в течение 48 часов после повреждения, что подтверждено некоторыми исследованиями, которые продемонстрировали </w:t>
      </w:r>
      <w:proofErr w:type="spellStart"/>
      <w:r>
        <w:rPr>
          <w:i w:val="0"/>
        </w:rPr>
        <w:t>cтабильное</w:t>
      </w:r>
      <w:proofErr w:type="spellEnd"/>
      <w:r>
        <w:rPr>
          <w:i w:val="0"/>
        </w:rPr>
        <w:t xml:space="preserve"> ул</w:t>
      </w:r>
      <w:r>
        <w:rPr>
          <w:i w:val="0"/>
        </w:rPr>
        <w:t>учшение показателей снижения частоты сепсиса, длительности пребывания в госпитале и ОРИТ и смертности. Отсутствие самостоятельного питания, либо голодание могут представлять собой важный источник системных инфекций вследствие наличия в просвете кишки типич</w:t>
      </w:r>
      <w:r>
        <w:rPr>
          <w:i w:val="0"/>
        </w:rPr>
        <w:t xml:space="preserve">ных </w:t>
      </w:r>
      <w:proofErr w:type="spellStart"/>
      <w:r>
        <w:rPr>
          <w:i w:val="0"/>
        </w:rPr>
        <w:t>желудочнокишечных</w:t>
      </w:r>
      <w:proofErr w:type="spellEnd"/>
      <w:r>
        <w:rPr>
          <w:i w:val="0"/>
        </w:rPr>
        <w:t xml:space="preserve"> микроорганизмов.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-12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5940425" cy="4781550"/>
                <wp:effectExtent l="0" t="0" r="0" b="0"/>
                <wp:docPr id="13291" name="Group 13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4781550"/>
                          <a:chOff x="0" y="0"/>
                          <a:chExt cx="5940425" cy="4781550"/>
                        </a:xfrm>
                      </wpg:grpSpPr>
                      <wps:wsp>
                        <wps:cNvPr id="1485" name="Rectangle 1485"/>
                        <wps:cNvSpPr/>
                        <wps:spPr>
                          <a:xfrm>
                            <a:off x="457200" y="394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457200" y="214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457200" y="389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457200" y="565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Rectangle 1489"/>
                        <wps:cNvSpPr/>
                        <wps:spPr>
                          <a:xfrm>
                            <a:off x="457200" y="740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0" name="Rectangle 1490"/>
                        <wps:cNvSpPr/>
                        <wps:spPr>
                          <a:xfrm>
                            <a:off x="457200" y="915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457200" y="109098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457200" y="126624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457200" y="1441501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457200" y="1616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457200" y="1792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457200" y="19672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Rectangle 1497"/>
                        <wps:cNvSpPr/>
                        <wps:spPr>
                          <a:xfrm>
                            <a:off x="457200" y="21429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457200" y="23181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457200" y="24934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457200" y="2668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457200" y="28439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457200" y="30192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457200" y="31944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457200" y="3369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Rectangle 1505"/>
                        <wps:cNvSpPr/>
                        <wps:spPr>
                          <a:xfrm>
                            <a:off x="457200" y="3545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457200" y="37202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457200" y="38954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457200" y="4100851"/>
                            <a:ext cx="34155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>Отрицательное воздействие голодания: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3025775" y="4070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49EC" w:rsidRDefault="00FA720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1" name="Picture 15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78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91" style="width:467.75pt;height:376.5pt;mso-position-horizontal-relative:char;mso-position-vertical-relative:line" coordsize="59404,47815">
                <v:rect id="Rectangle 1485" style="position:absolute;width:506;height:2243;left:4572;top: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6" style="position:absolute;width:506;height:2243;left:4572;top: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7" style="position:absolute;width:506;height:2243;left:4572;top:3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8" style="position:absolute;width:506;height:2243;left:4572;top:5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9" style="position:absolute;width:506;height:2243;left:4572;top:7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0" style="position:absolute;width:506;height:2243;left:4572;top:9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1" style="position:absolute;width:506;height:2243;left:4572;top:10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" style="position:absolute;width:506;height:2243;left:4572;top:126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" style="position:absolute;width:506;height:2243;left:4572;top:14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" style="position:absolute;width:506;height:2243;left:4572;top:16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5" style="position:absolute;width:506;height:2243;left:4572;top:17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6" style="position:absolute;width:506;height:2243;left:4572;top:19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7" style="position:absolute;width:506;height:2243;left:4572;top:21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8" style="position:absolute;width:506;height:2243;left:4572;top:23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9" style="position:absolute;width:506;height:2243;left:4572;top:24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0" style="position:absolute;width:506;height:2243;left:4572;top:26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1" style="position:absolute;width:506;height:2243;left:4572;top:28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2" style="position:absolute;width:506;height:2243;left:4572;top:30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3" style="position:absolute;width:506;height:2243;left:4572;top:31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4" style="position:absolute;width:506;height:2243;left:4572;top:33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" style="position:absolute;width:506;height:2243;left:4572;top:3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6" style="position:absolute;width:506;height:2243;left:4572;top:37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" style="position:absolute;width:506;height:2243;left:4572;top:38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8" style="position:absolute;width:34155;height:1843;left:4572;top:41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Отрицательное воздействие голодания:</w:t>
                        </w:r>
                      </w:p>
                    </w:txbxContent>
                  </v:textbox>
                </v:rect>
                <v:rect id="Rectangle 1509" style="position:absolute;width:506;height:2243;left:30257;top:40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11" style="position:absolute;width:59404;height:47815;left:0;top:0;" filled="f">
                  <v:imagedata r:id="rId6"/>
                </v:shape>
              </v:group>
            </w:pict>
          </mc:Fallback>
        </mc:AlternateConten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Кишечный барьер (межклеточные контакты эпителиальных клеток)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Повышенная </w:t>
      </w:r>
      <w:r>
        <w:rPr>
          <w:i w:val="0"/>
        </w:rPr>
        <w:tab/>
        <w:t xml:space="preserve">проницаемость </w:t>
      </w:r>
      <w:r>
        <w:rPr>
          <w:i w:val="0"/>
        </w:rPr>
        <w:tab/>
        <w:t xml:space="preserve">для </w:t>
      </w:r>
      <w:r>
        <w:rPr>
          <w:i w:val="0"/>
        </w:rPr>
        <w:tab/>
        <w:t xml:space="preserve">макромолекул </w:t>
      </w:r>
      <w:r>
        <w:rPr>
          <w:i w:val="0"/>
        </w:rPr>
        <w:tab/>
        <w:t xml:space="preserve">и </w:t>
      </w:r>
      <w:r>
        <w:rPr>
          <w:i w:val="0"/>
        </w:rPr>
        <w:tab/>
        <w:t xml:space="preserve">микроорганизмов </w:t>
      </w:r>
    </w:p>
    <w:p w:rsidR="00A849EC" w:rsidRDefault="00FA7204">
      <w:pPr>
        <w:spacing w:after="12" w:line="270" w:lineRule="auto"/>
        <w:ind w:left="-5" w:hanging="10"/>
      </w:pPr>
      <w:r>
        <w:rPr>
          <w:i w:val="0"/>
        </w:rPr>
        <w:t xml:space="preserve">(бактерии, грибы)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Энтероколит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Повышенная адгезия бактерий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Кишечная флора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Избыточный рост патогенов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Подслизистая иммунная система 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t xml:space="preserve">Атрофия </w:t>
      </w:r>
      <w:proofErr w:type="spellStart"/>
      <w:r>
        <w:rPr>
          <w:i w:val="0"/>
        </w:rPr>
        <w:t>Пейеровых</w:t>
      </w:r>
      <w:proofErr w:type="spellEnd"/>
      <w:r>
        <w:rPr>
          <w:i w:val="0"/>
        </w:rPr>
        <w:t xml:space="preserve"> бляшек </w:t>
      </w:r>
    </w:p>
    <w:p w:rsidR="00A849EC" w:rsidRDefault="00FA7204">
      <w:pPr>
        <w:numPr>
          <w:ilvl w:val="0"/>
          <w:numId w:val="10"/>
        </w:numPr>
        <w:spacing w:after="12" w:line="270" w:lineRule="auto"/>
        <w:ind w:firstLine="708"/>
      </w:pPr>
      <w:r>
        <w:rPr>
          <w:i w:val="0"/>
        </w:rPr>
        <w:lastRenderedPageBreak/>
        <w:t xml:space="preserve">Пониженная выработка иммуноглобулина А </w:t>
      </w:r>
    </w:p>
    <w:p w:rsidR="00A849EC" w:rsidRDefault="00FA7204">
      <w:pPr>
        <w:spacing w:after="23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1973" w:hanging="10"/>
      </w:pPr>
      <w:r>
        <w:rPr>
          <w:i w:val="0"/>
        </w:rPr>
        <w:t xml:space="preserve">СОСТАВ СРЕД ДЛЯ НУТРИТИЦИОННОЙ ПОДДЕРЖКИ </w:t>
      </w:r>
    </w:p>
    <w:p w:rsidR="00A849EC" w:rsidRDefault="00FA7204">
      <w:pPr>
        <w:spacing w:after="23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При </w:t>
      </w:r>
      <w:proofErr w:type="spellStart"/>
      <w:r>
        <w:rPr>
          <w:i w:val="0"/>
        </w:rPr>
        <w:t>изокалорическом</w:t>
      </w:r>
      <w:proofErr w:type="spellEnd"/>
      <w:r>
        <w:rPr>
          <w:i w:val="0"/>
        </w:rPr>
        <w:t xml:space="preserve"> питании глюкоза является предпочтительным субстратом у большинства пациентов в критическом состоянии: она может перекрывать 70 – 100% безбелкового обе</w:t>
      </w:r>
      <w:r>
        <w:rPr>
          <w:i w:val="0"/>
        </w:rPr>
        <w:t xml:space="preserve">спечения энергией. Скорость обеспечения глюкозой не должна превышать 4 мг/кг в минуту для того, чтобы избежать активации </w:t>
      </w:r>
      <w:proofErr w:type="spellStart"/>
      <w:r>
        <w:rPr>
          <w:i w:val="0"/>
        </w:rPr>
        <w:t>липонеогенеза</w:t>
      </w:r>
      <w:proofErr w:type="spellEnd"/>
      <w:r>
        <w:rPr>
          <w:i w:val="0"/>
        </w:rPr>
        <w:t xml:space="preserve"> и связанной с этим повышенной лёгочной </w:t>
      </w:r>
      <w:proofErr w:type="spellStart"/>
      <w:r>
        <w:rPr>
          <w:i w:val="0"/>
        </w:rPr>
        <w:t>экскрециией</w:t>
      </w:r>
      <w:proofErr w:type="spellEnd"/>
      <w:r>
        <w:rPr>
          <w:i w:val="0"/>
        </w:rPr>
        <w:t xml:space="preserve"> CO2. Рекомендуется обеспечение 15 – 30% небелковых калорий в виде липи</w:t>
      </w:r>
      <w:r>
        <w:rPr>
          <w:i w:val="0"/>
        </w:rPr>
        <w:t>дов, исключая пациентов с острыми ишемическими заболеваниями сердца, обширными ожогами, тяжёлой инфекцией, у которых обеспечение жирами должно быть снижено. Снабжение белками должно покрывать 15 – 20% общего энергетического обеспечения, либо 1.5 – 2.0 г/кг</w:t>
      </w:r>
      <w:r>
        <w:rPr>
          <w:i w:val="0"/>
        </w:rPr>
        <w:t xml:space="preserve"> в день. 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Таблица. Состав </w:t>
      </w:r>
      <w:proofErr w:type="spellStart"/>
      <w:r>
        <w:rPr>
          <w:i w:val="0"/>
        </w:rPr>
        <w:t>энтеральных</w:t>
      </w:r>
      <w:proofErr w:type="spellEnd"/>
      <w:r>
        <w:rPr>
          <w:i w:val="0"/>
        </w:rPr>
        <w:t xml:space="preserve"> и парентеральных формул. Основные различия между </w:t>
      </w:r>
      <w:proofErr w:type="spellStart"/>
      <w:r>
        <w:rPr>
          <w:i w:val="0"/>
        </w:rPr>
        <w:t>энтеральными</w:t>
      </w:r>
      <w:proofErr w:type="spellEnd"/>
      <w:r>
        <w:rPr>
          <w:i w:val="0"/>
        </w:rPr>
        <w:t xml:space="preserve"> и парентеральными растворами.  </w:t>
      </w:r>
    </w:p>
    <w:tbl>
      <w:tblPr>
        <w:tblStyle w:val="TableGrid"/>
        <w:tblW w:w="9347" w:type="dxa"/>
        <w:tblInd w:w="5" w:type="dxa"/>
        <w:tblCellMar>
          <w:top w:w="9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877"/>
        <w:gridCol w:w="239"/>
        <w:gridCol w:w="3115"/>
        <w:gridCol w:w="3116"/>
      </w:tblGrid>
      <w:tr w:rsidR="00A849EC">
        <w:trPr>
          <w:trHeight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9EC" w:rsidRDefault="00FA7204">
            <w:pPr>
              <w:spacing w:after="0" w:line="259" w:lineRule="auto"/>
              <w:ind w:left="816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49EC" w:rsidRDefault="00A849E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right="83" w:firstLine="0"/>
              <w:jc w:val="center"/>
            </w:pPr>
            <w:proofErr w:type="spellStart"/>
            <w:r>
              <w:rPr>
                <w:i w:val="0"/>
              </w:rPr>
              <w:t>Энтеральные</w:t>
            </w:r>
            <w:proofErr w:type="spellEnd"/>
            <w:r>
              <w:rPr>
                <w:i w:val="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left="817" w:firstLine="0"/>
              <w:jc w:val="left"/>
            </w:pPr>
            <w:r>
              <w:rPr>
                <w:i w:val="0"/>
              </w:rPr>
              <w:t xml:space="preserve">Парентеральные </w:t>
            </w:r>
          </w:p>
        </w:tc>
      </w:tr>
      <w:tr w:rsidR="00A849EC">
        <w:trPr>
          <w:trHeight w:val="56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9EC" w:rsidRDefault="00FA7204">
            <w:pPr>
              <w:spacing w:after="0" w:line="259" w:lineRule="auto"/>
              <w:ind w:left="816" w:firstLine="0"/>
              <w:jc w:val="left"/>
            </w:pPr>
            <w:r>
              <w:rPr>
                <w:i w:val="0"/>
              </w:rPr>
              <w:t xml:space="preserve">Состав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9EC" w:rsidRDefault="00A849E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tabs>
                <w:tab w:val="center" w:pos="1196"/>
                <w:tab w:val="right" w:pos="3067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i w:val="0"/>
                <w:sz w:val="22"/>
              </w:rPr>
              <w:tab/>
            </w:r>
            <w:r>
              <w:rPr>
                <w:i w:val="0"/>
              </w:rPr>
              <w:t xml:space="preserve">Готовы </w:t>
            </w:r>
            <w:r>
              <w:rPr>
                <w:i w:val="0"/>
              </w:rPr>
              <w:tab/>
              <w:t xml:space="preserve">к </w:t>
            </w:r>
          </w:p>
          <w:p w:rsidR="00A849EC" w:rsidRDefault="00FA7204">
            <w:pPr>
              <w:spacing w:after="0" w:line="259" w:lineRule="auto"/>
              <w:ind w:left="108" w:firstLine="0"/>
              <w:jc w:val="left"/>
            </w:pPr>
            <w:r>
              <w:rPr>
                <w:i w:val="0"/>
              </w:rPr>
              <w:t xml:space="preserve">использованию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left="108" w:firstLine="709"/>
              <w:jc w:val="left"/>
            </w:pPr>
            <w:r>
              <w:rPr>
                <w:i w:val="0"/>
              </w:rPr>
              <w:t xml:space="preserve">Компоненты необходимо смешать </w:t>
            </w:r>
          </w:p>
        </w:tc>
      </w:tr>
      <w:tr w:rsidR="00A849EC">
        <w:trPr>
          <w:trHeight w:val="166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9EC" w:rsidRDefault="00FA7204">
            <w:pPr>
              <w:spacing w:after="0" w:line="259" w:lineRule="auto"/>
              <w:ind w:left="816" w:firstLine="0"/>
              <w:jc w:val="left"/>
            </w:pPr>
            <w:r>
              <w:rPr>
                <w:i w:val="0"/>
              </w:rPr>
              <w:t xml:space="preserve">Азот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9EC" w:rsidRDefault="00A849E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5" w:line="259" w:lineRule="auto"/>
              <w:ind w:right="62" w:firstLine="0"/>
              <w:jc w:val="right"/>
            </w:pPr>
            <w:r>
              <w:rPr>
                <w:i w:val="0"/>
              </w:rPr>
              <w:t xml:space="preserve">Естественные белки </w:t>
            </w:r>
          </w:p>
          <w:p w:rsidR="00A849EC" w:rsidRDefault="00FA7204">
            <w:pPr>
              <w:spacing w:after="19" w:line="261" w:lineRule="auto"/>
              <w:ind w:left="108" w:firstLine="0"/>
              <w:jc w:val="left"/>
            </w:pPr>
            <w:r>
              <w:rPr>
                <w:i w:val="0"/>
              </w:rPr>
              <w:t xml:space="preserve">(животного </w:t>
            </w:r>
            <w:r>
              <w:rPr>
                <w:i w:val="0"/>
              </w:rPr>
              <w:tab/>
              <w:t xml:space="preserve">или растительного происхождения).  </w:t>
            </w:r>
          </w:p>
          <w:p w:rsidR="00A849EC" w:rsidRDefault="00FA7204">
            <w:pPr>
              <w:spacing w:after="0" w:line="259" w:lineRule="auto"/>
              <w:ind w:left="108" w:right="35" w:firstLine="708"/>
              <w:jc w:val="left"/>
            </w:pPr>
            <w:r>
              <w:rPr>
                <w:i w:val="0"/>
              </w:rPr>
              <w:t xml:space="preserve">Полу-элементная или элементная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left="108" w:firstLine="709"/>
              <w:jc w:val="left"/>
            </w:pPr>
            <w:r>
              <w:rPr>
                <w:i w:val="0"/>
              </w:rPr>
              <w:t xml:space="preserve">Свободные аминокислоты Дипептиды </w:t>
            </w:r>
          </w:p>
        </w:tc>
      </w:tr>
      <w:tr w:rsidR="00A849EC">
        <w:trPr>
          <w:trHeight w:val="111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9EC" w:rsidRDefault="00FA7204">
            <w:pPr>
              <w:spacing w:after="0" w:line="259" w:lineRule="auto"/>
              <w:ind w:right="185" w:firstLine="0"/>
              <w:jc w:val="center"/>
            </w:pPr>
            <w:r>
              <w:rPr>
                <w:i w:val="0"/>
              </w:rPr>
              <w:t xml:space="preserve">Углеводы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9EC" w:rsidRDefault="00A849E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left="108" w:firstLine="708"/>
              <w:jc w:val="left"/>
            </w:pPr>
            <w:r>
              <w:rPr>
                <w:i w:val="0"/>
              </w:rPr>
              <w:t xml:space="preserve">Полимеры моносахаридов </w:t>
            </w:r>
            <w:r>
              <w:rPr>
                <w:i w:val="0"/>
              </w:rPr>
              <w:tab/>
              <w:t xml:space="preserve">(глюкоза, фруктоза, ксилит, сорбит): </w:t>
            </w:r>
            <w:proofErr w:type="spellStart"/>
            <w:r>
              <w:rPr>
                <w:i w:val="0"/>
              </w:rPr>
              <w:t>мальтодекстрин</w:t>
            </w:r>
            <w:proofErr w:type="spellEnd"/>
            <w:r>
              <w:rPr>
                <w:i w:val="0"/>
              </w:rPr>
              <w:t xml:space="preserve"> и крахмалы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left="108" w:firstLine="709"/>
              <w:jc w:val="left"/>
            </w:pPr>
            <w:r>
              <w:rPr>
                <w:i w:val="0"/>
              </w:rPr>
              <w:t xml:space="preserve">Гипертоническая глюкоза </w:t>
            </w:r>
          </w:p>
        </w:tc>
      </w:tr>
      <w:tr w:rsidR="00A849EC">
        <w:trPr>
          <w:trHeight w:val="564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9EC" w:rsidRDefault="00FA7204">
            <w:pPr>
              <w:spacing w:after="0" w:line="259" w:lineRule="auto"/>
              <w:ind w:left="108" w:firstLine="708"/>
              <w:jc w:val="left"/>
            </w:pPr>
            <w:r>
              <w:rPr>
                <w:i w:val="0"/>
              </w:rPr>
              <w:t xml:space="preserve">Витамины микроэлементы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firstLine="0"/>
            </w:pPr>
            <w:r>
              <w:rPr>
                <w:i w:val="0"/>
              </w:rPr>
              <w:t xml:space="preserve">и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right="84" w:firstLine="0"/>
              <w:jc w:val="center"/>
            </w:pPr>
            <w:r>
              <w:rPr>
                <w:i w:val="0"/>
              </w:rPr>
              <w:t xml:space="preserve">Уже введены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left="108" w:firstLine="709"/>
              <w:jc w:val="left"/>
            </w:pPr>
            <w:r>
              <w:rPr>
                <w:i w:val="0"/>
              </w:rPr>
              <w:t xml:space="preserve">Необходимо добавить </w:t>
            </w:r>
          </w:p>
        </w:tc>
      </w:tr>
      <w:tr w:rsidR="00A849EC">
        <w:trPr>
          <w:trHeight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9EC" w:rsidRDefault="00FA7204">
            <w:pPr>
              <w:spacing w:after="0" w:line="259" w:lineRule="auto"/>
              <w:ind w:left="816" w:firstLine="0"/>
              <w:jc w:val="left"/>
            </w:pPr>
            <w:proofErr w:type="spellStart"/>
            <w:r>
              <w:rPr>
                <w:i w:val="0"/>
              </w:rPr>
              <w:t>Осмолярность</w:t>
            </w:r>
            <w:proofErr w:type="spellEnd"/>
            <w:r>
              <w:rPr>
                <w:i w:val="0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49EC" w:rsidRDefault="00A849E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right="12" w:firstLine="0"/>
              <w:jc w:val="center"/>
            </w:pPr>
            <w:r>
              <w:rPr>
                <w:i w:val="0"/>
              </w:rPr>
              <w:t xml:space="preserve">200-480 </w:t>
            </w:r>
            <w:proofErr w:type="spellStart"/>
            <w:r>
              <w:rPr>
                <w:i w:val="0"/>
              </w:rPr>
              <w:t>осм</w:t>
            </w:r>
            <w:proofErr w:type="spellEnd"/>
            <w:r>
              <w:rPr>
                <w:i w:val="0"/>
              </w:rPr>
              <w:t xml:space="preserve">/л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EC" w:rsidRDefault="00FA7204">
            <w:pPr>
              <w:spacing w:after="0" w:line="259" w:lineRule="auto"/>
              <w:ind w:right="11" w:firstLine="0"/>
              <w:jc w:val="center"/>
            </w:pPr>
            <w:r>
              <w:rPr>
                <w:i w:val="0"/>
              </w:rPr>
              <w:t xml:space="preserve">700-120 </w:t>
            </w:r>
            <w:proofErr w:type="spellStart"/>
            <w:r>
              <w:rPr>
                <w:i w:val="0"/>
              </w:rPr>
              <w:t>осм</w:t>
            </w:r>
            <w:proofErr w:type="spellEnd"/>
            <w:r>
              <w:rPr>
                <w:i w:val="0"/>
              </w:rPr>
              <w:t xml:space="preserve">/л </w:t>
            </w:r>
          </w:p>
        </w:tc>
      </w:tr>
    </w:tbl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Основной состав растворов, используемых для </w:t>
      </w:r>
      <w:proofErr w:type="spellStart"/>
      <w:r>
        <w:rPr>
          <w:i w:val="0"/>
        </w:rPr>
        <w:t>нутритивной</w:t>
      </w:r>
      <w:proofErr w:type="spellEnd"/>
      <w:r>
        <w:rPr>
          <w:i w:val="0"/>
        </w:rPr>
        <w:t xml:space="preserve"> поддержки, постоянен, независимо от способа введения: количество калорий распределяется между углеводами, липидами и белками. Соотношение небелковые калории/азот является индексом эффективности раство</w:t>
      </w:r>
      <w:r>
        <w:rPr>
          <w:i w:val="0"/>
        </w:rPr>
        <w:t>ра, при этом самая высокая скорость утилизации (в идеале &lt; 150 ккал/г азота) связана с максимальным использованием энергии для анаболизма белка. Однако, существует несколько основных различий между двумя типами растворов, что показано при сравнении обычных</w:t>
      </w:r>
      <w:r>
        <w:rPr>
          <w:i w:val="0"/>
        </w:rPr>
        <w:t xml:space="preserve"> свойств компонентов в готовых к использованию смесях.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В отличие от </w:t>
      </w:r>
      <w:proofErr w:type="spellStart"/>
      <w:r>
        <w:rPr>
          <w:i w:val="0"/>
        </w:rPr>
        <w:t>энтеральных</w:t>
      </w:r>
      <w:proofErr w:type="spellEnd"/>
      <w:r>
        <w:rPr>
          <w:i w:val="0"/>
        </w:rPr>
        <w:t xml:space="preserve"> формул, парентеральное питание не содержит микроэлементов и витаминов. Следовательно, данные компоненты должны добавляться ежедневно, в случае, если пациент получает питание парентерально. Некоторые доступные растворы микроэлементо</w:t>
      </w:r>
      <w:r>
        <w:rPr>
          <w:i w:val="0"/>
        </w:rPr>
        <w:t xml:space="preserve">в и витаминов используются в современных рекомендациях по ежедневному приёму.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 При показаниях к проведению парентерального питания, следует помнить о положительных эффектах применения жировых эмульсий, обогащенных омега-3 полиненасыщенными жирными кислота</w:t>
      </w:r>
      <w:r>
        <w:rPr>
          <w:i w:val="0"/>
        </w:rPr>
        <w:t xml:space="preserve">ми, такими как </w:t>
      </w:r>
      <w:proofErr w:type="spellStart"/>
      <w:r>
        <w:rPr>
          <w:i w:val="0"/>
        </w:rPr>
        <w:t>эйкозопентаеновая</w:t>
      </w:r>
      <w:proofErr w:type="spellEnd"/>
      <w:r>
        <w:rPr>
          <w:i w:val="0"/>
        </w:rPr>
        <w:t xml:space="preserve"> (EPA, C20:5 </w:t>
      </w:r>
      <w:r>
        <w:rPr>
          <w:i w:val="0"/>
        </w:rPr>
        <w:lastRenderedPageBreak/>
        <w:t xml:space="preserve">[ω3]) и </w:t>
      </w:r>
      <w:proofErr w:type="spellStart"/>
      <w:r>
        <w:rPr>
          <w:i w:val="0"/>
        </w:rPr>
        <w:t>докозагексаеновая</w:t>
      </w:r>
      <w:proofErr w:type="spellEnd"/>
      <w:r>
        <w:rPr>
          <w:i w:val="0"/>
        </w:rPr>
        <w:t xml:space="preserve"> (DHA, C22:6 [ω-3]) ЖК. Доказано, что они обладают выраженными клиническими преимуществами, в частности снижают частоту инфекционных осложнений и риск развития </w:t>
      </w:r>
      <w:proofErr w:type="spellStart"/>
      <w:r>
        <w:rPr>
          <w:i w:val="0"/>
        </w:rPr>
        <w:t>полиорганной</w:t>
      </w:r>
      <w:proofErr w:type="spellEnd"/>
      <w:r>
        <w:rPr>
          <w:i w:val="0"/>
        </w:rPr>
        <w:t xml:space="preserve"> недостаточнос</w:t>
      </w:r>
      <w:r>
        <w:rPr>
          <w:i w:val="0"/>
        </w:rPr>
        <w:t xml:space="preserve">ти. Жировые эмульсии, обогащенные омега-3 жирными кислотами, могут снижать длительность госпитализации у пациентов в критических состояниях. </w:t>
      </w:r>
    </w:p>
    <w:p w:rsidR="00A849EC" w:rsidRDefault="00FA7204">
      <w:pPr>
        <w:spacing w:after="21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pStyle w:val="1"/>
        <w:ind w:left="708"/>
      </w:pPr>
      <w:r>
        <w:t xml:space="preserve">ПРИМЕНЕНИЕ </w:t>
      </w:r>
    </w:p>
    <w:p w:rsidR="00A849EC" w:rsidRDefault="00FA7204">
      <w:pPr>
        <w:spacing w:after="23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12" w:line="270" w:lineRule="auto"/>
        <w:ind w:left="-15" w:firstLine="708"/>
      </w:pPr>
      <w:r>
        <w:rPr>
          <w:i w:val="0"/>
        </w:rPr>
        <w:t xml:space="preserve">Способ введения зависит от типа питания. Для зондового </w:t>
      </w:r>
      <w:proofErr w:type="spellStart"/>
      <w:r>
        <w:rPr>
          <w:i w:val="0"/>
        </w:rPr>
        <w:t>энтерального</w:t>
      </w:r>
      <w:proofErr w:type="spellEnd"/>
      <w:r>
        <w:rPr>
          <w:i w:val="0"/>
        </w:rPr>
        <w:t xml:space="preserve"> питания необходимо использоват</w:t>
      </w:r>
      <w:r>
        <w:rPr>
          <w:i w:val="0"/>
        </w:rPr>
        <w:t xml:space="preserve">ь специальные расходные материалы, несовместимые с устройствами для внутривенного введения (Безопасная система </w:t>
      </w:r>
      <w:proofErr w:type="spellStart"/>
      <w:r>
        <w:rPr>
          <w:i w:val="0"/>
        </w:rPr>
        <w:t>энтерального</w:t>
      </w:r>
      <w:proofErr w:type="spellEnd"/>
      <w:r>
        <w:rPr>
          <w:i w:val="0"/>
        </w:rPr>
        <w:t xml:space="preserve"> питания). Система включает в себя все устройства для введения </w:t>
      </w:r>
      <w:proofErr w:type="spellStart"/>
      <w:r>
        <w:rPr>
          <w:i w:val="0"/>
        </w:rPr>
        <w:t>энтерального</w:t>
      </w:r>
      <w:proofErr w:type="spellEnd"/>
      <w:r>
        <w:rPr>
          <w:i w:val="0"/>
        </w:rPr>
        <w:t xml:space="preserve"> питания. Она призвана предотвратить случаи ошибочного сое</w:t>
      </w:r>
      <w:r>
        <w:rPr>
          <w:i w:val="0"/>
        </w:rPr>
        <w:t xml:space="preserve">динения </w:t>
      </w:r>
      <w:proofErr w:type="spellStart"/>
      <w:r>
        <w:rPr>
          <w:i w:val="0"/>
        </w:rPr>
        <w:t>энтеральных</w:t>
      </w:r>
      <w:proofErr w:type="spellEnd"/>
      <w:r>
        <w:rPr>
          <w:i w:val="0"/>
        </w:rPr>
        <w:t xml:space="preserve"> и парентеральных устройств для введения, которые могут повлечь за собой тяжелые последствия для пациентов. Использование </w:t>
      </w:r>
      <w:proofErr w:type="spellStart"/>
      <w:r>
        <w:rPr>
          <w:i w:val="0"/>
        </w:rPr>
        <w:t>инфузионных</w:t>
      </w:r>
      <w:proofErr w:type="spellEnd"/>
      <w:r>
        <w:rPr>
          <w:i w:val="0"/>
        </w:rPr>
        <w:t xml:space="preserve"> насосов с соответствующими предназначенными для введения </w:t>
      </w:r>
      <w:proofErr w:type="spellStart"/>
      <w:r>
        <w:rPr>
          <w:i w:val="0"/>
        </w:rPr>
        <w:t>энтерального</w:t>
      </w:r>
      <w:proofErr w:type="spellEnd"/>
      <w:r>
        <w:rPr>
          <w:i w:val="0"/>
        </w:rPr>
        <w:t xml:space="preserve"> питания расходными материалами та</w:t>
      </w:r>
      <w:r>
        <w:rPr>
          <w:i w:val="0"/>
        </w:rPr>
        <w:t xml:space="preserve">кже обеспечивает правильное и безопасное введение питательных сред. Система контроля уровня глюкозы крови помогает предотвратить </w:t>
      </w:r>
      <w:proofErr w:type="spellStart"/>
      <w:r>
        <w:rPr>
          <w:i w:val="0"/>
        </w:rPr>
        <w:t>гипо</w:t>
      </w:r>
      <w:proofErr w:type="spellEnd"/>
      <w:r>
        <w:rPr>
          <w:i w:val="0"/>
        </w:rPr>
        <w:t xml:space="preserve">- и гипергликемию, снижая таким образом заболеваемость и смертность.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spacing w:after="0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FA7204" w:rsidRDefault="00FA7204">
      <w:pPr>
        <w:pStyle w:val="1"/>
        <w:ind w:left="708" w:right="1"/>
      </w:pPr>
    </w:p>
    <w:p w:rsidR="00FA7204" w:rsidRDefault="00FA7204">
      <w:pPr>
        <w:pStyle w:val="1"/>
        <w:ind w:left="708" w:right="1"/>
      </w:pPr>
    </w:p>
    <w:p w:rsidR="00A849EC" w:rsidRDefault="00FA7204">
      <w:pPr>
        <w:pStyle w:val="1"/>
        <w:ind w:left="708" w:right="1"/>
      </w:pPr>
      <w:bookmarkStart w:id="0" w:name="_GoBack"/>
      <w:bookmarkEnd w:id="0"/>
      <w:r>
        <w:t xml:space="preserve">СПИСОК ЛИТЕРАТУРЫ </w:t>
      </w:r>
    </w:p>
    <w:p w:rsidR="00A849EC" w:rsidRDefault="00FA7204">
      <w:pPr>
        <w:spacing w:after="25" w:line="259" w:lineRule="auto"/>
        <w:ind w:left="708" w:firstLine="0"/>
        <w:jc w:val="left"/>
      </w:pPr>
      <w:r>
        <w:rPr>
          <w:i w:val="0"/>
        </w:rPr>
        <w:t xml:space="preserve"> </w:t>
      </w:r>
    </w:p>
    <w:p w:rsidR="00A849EC" w:rsidRDefault="00FA7204">
      <w:pPr>
        <w:numPr>
          <w:ilvl w:val="0"/>
          <w:numId w:val="11"/>
        </w:numPr>
        <w:spacing w:after="12" w:line="270" w:lineRule="auto"/>
        <w:ind w:hanging="360"/>
      </w:pPr>
      <w:r>
        <w:rPr>
          <w:i w:val="0"/>
        </w:rPr>
        <w:t xml:space="preserve">Попова Т.С., </w:t>
      </w:r>
      <w:proofErr w:type="spellStart"/>
      <w:r>
        <w:rPr>
          <w:i w:val="0"/>
        </w:rPr>
        <w:t>ШестопаловА.Е</w:t>
      </w:r>
      <w:proofErr w:type="spellEnd"/>
      <w:r>
        <w:rPr>
          <w:i w:val="0"/>
        </w:rPr>
        <w:t xml:space="preserve">., </w:t>
      </w:r>
      <w:proofErr w:type="spellStart"/>
      <w:r>
        <w:rPr>
          <w:i w:val="0"/>
        </w:rPr>
        <w:t>Тамазешвили</w:t>
      </w:r>
      <w:proofErr w:type="spellEnd"/>
      <w:r>
        <w:rPr>
          <w:i w:val="0"/>
        </w:rPr>
        <w:t xml:space="preserve"> Т.Ш., </w:t>
      </w:r>
      <w:proofErr w:type="spellStart"/>
      <w:r>
        <w:rPr>
          <w:i w:val="0"/>
        </w:rPr>
        <w:t>Лейдер-ман</w:t>
      </w:r>
      <w:proofErr w:type="spellEnd"/>
      <w:r>
        <w:rPr>
          <w:i w:val="0"/>
        </w:rPr>
        <w:t xml:space="preserve"> И.Н. </w:t>
      </w: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поддержка больных в критических состояниях. — М.: </w:t>
      </w:r>
      <w:proofErr w:type="spellStart"/>
      <w:r>
        <w:rPr>
          <w:i w:val="0"/>
        </w:rPr>
        <w:t>Издат</w:t>
      </w:r>
      <w:proofErr w:type="spellEnd"/>
      <w:r>
        <w:rPr>
          <w:i w:val="0"/>
        </w:rPr>
        <w:t xml:space="preserve">. дом «М-Вест», ред. 2012. — 320 с. </w:t>
      </w:r>
    </w:p>
    <w:p w:rsidR="00A849EC" w:rsidRDefault="00FA7204">
      <w:pPr>
        <w:numPr>
          <w:ilvl w:val="0"/>
          <w:numId w:val="11"/>
        </w:numPr>
        <w:spacing w:after="12" w:line="270" w:lineRule="auto"/>
        <w:ind w:hanging="360"/>
      </w:pPr>
      <w:r>
        <w:rPr>
          <w:i w:val="0"/>
        </w:rPr>
        <w:t xml:space="preserve">Бойко В.В., Козлова Т.В., Хижняк A.A., </w:t>
      </w:r>
      <w:proofErr w:type="spellStart"/>
      <w:r>
        <w:rPr>
          <w:i w:val="0"/>
        </w:rPr>
        <w:t>Мушенко</w:t>
      </w:r>
      <w:proofErr w:type="spellEnd"/>
      <w:r>
        <w:rPr>
          <w:i w:val="0"/>
        </w:rPr>
        <w:t xml:space="preserve"> В.Е. Ин-фузионная </w:t>
      </w:r>
      <w:r>
        <w:rPr>
          <w:i w:val="0"/>
        </w:rPr>
        <w:t xml:space="preserve">терапия и парентеральное питание в хирургии. — Харьков: СИМ, 2011. — 148с. </w:t>
      </w:r>
    </w:p>
    <w:p w:rsidR="00A849EC" w:rsidRDefault="00FA7204">
      <w:pPr>
        <w:numPr>
          <w:ilvl w:val="0"/>
          <w:numId w:val="11"/>
        </w:numPr>
        <w:spacing w:after="12" w:line="270" w:lineRule="auto"/>
        <w:ind w:hanging="360"/>
      </w:pPr>
      <w:r>
        <w:rPr>
          <w:i w:val="0"/>
        </w:rPr>
        <w:t xml:space="preserve">Интенсивная терапия: национальное руководство: в 2 т. / Под ред. Б.Р. Гельфанда, А.И. Салтанова. — М.: ГЭОТАР-Медиа,2011. — Т. 1. — 960с. </w:t>
      </w:r>
    </w:p>
    <w:p w:rsidR="00A849EC" w:rsidRDefault="00FA7204">
      <w:pPr>
        <w:numPr>
          <w:ilvl w:val="0"/>
          <w:numId w:val="11"/>
        </w:numPr>
        <w:spacing w:after="12" w:line="270" w:lineRule="auto"/>
        <w:ind w:hanging="360"/>
      </w:pPr>
      <w:proofErr w:type="spellStart"/>
      <w:r>
        <w:rPr>
          <w:i w:val="0"/>
        </w:rPr>
        <w:t>Черний</w:t>
      </w:r>
      <w:proofErr w:type="spellEnd"/>
      <w:r>
        <w:rPr>
          <w:i w:val="0"/>
        </w:rPr>
        <w:t xml:space="preserve"> В.И., Колесников А..Н, Олейников К</w:t>
      </w:r>
      <w:r>
        <w:rPr>
          <w:i w:val="0"/>
        </w:rPr>
        <w:t xml:space="preserve">.Н., Егоров А.А, </w:t>
      </w:r>
      <w:proofErr w:type="spellStart"/>
      <w:r>
        <w:rPr>
          <w:i w:val="0"/>
        </w:rPr>
        <w:t>Билошапка</w:t>
      </w:r>
      <w:proofErr w:type="spellEnd"/>
      <w:r>
        <w:rPr>
          <w:i w:val="0"/>
        </w:rPr>
        <w:t xml:space="preserve"> В.И. Рациональная </w:t>
      </w:r>
      <w:proofErr w:type="spellStart"/>
      <w:r>
        <w:rPr>
          <w:i w:val="0"/>
        </w:rPr>
        <w:t>инфузионная</w:t>
      </w:r>
      <w:proofErr w:type="spellEnd"/>
      <w:r>
        <w:rPr>
          <w:i w:val="0"/>
        </w:rPr>
        <w:t xml:space="preserve"> терапия. — К.: Логос </w:t>
      </w:r>
    </w:p>
    <w:p w:rsidR="00A849EC" w:rsidRDefault="00FA7204">
      <w:pPr>
        <w:numPr>
          <w:ilvl w:val="0"/>
          <w:numId w:val="11"/>
        </w:numPr>
        <w:spacing w:after="12" w:line="270" w:lineRule="auto"/>
        <w:ind w:hanging="360"/>
      </w:pPr>
      <w:r>
        <w:rPr>
          <w:i w:val="0"/>
        </w:rPr>
        <w:t xml:space="preserve">Клинические рекомендации «Метаболический мониторинг и </w:t>
      </w: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поддержка при проведении длительной искусственной вентиляции легких» 2017 (пересмотр каждые 3 года). </w:t>
      </w:r>
    </w:p>
    <w:p w:rsidR="00A849EC" w:rsidRDefault="00FA7204">
      <w:pPr>
        <w:numPr>
          <w:ilvl w:val="0"/>
          <w:numId w:val="11"/>
        </w:numPr>
        <w:spacing w:after="12" w:line="270" w:lineRule="auto"/>
        <w:ind w:hanging="360"/>
      </w:pPr>
      <w:r>
        <w:rPr>
          <w:i w:val="0"/>
        </w:rPr>
        <w:t>Методичес</w:t>
      </w:r>
      <w:r>
        <w:rPr>
          <w:i w:val="0"/>
        </w:rPr>
        <w:t>кие рекомендации «</w:t>
      </w:r>
      <w:proofErr w:type="spellStart"/>
      <w:r>
        <w:rPr>
          <w:i w:val="0"/>
        </w:rPr>
        <w:t>Периоперационная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нутритивная</w:t>
      </w:r>
      <w:proofErr w:type="spellEnd"/>
      <w:r>
        <w:rPr>
          <w:i w:val="0"/>
        </w:rPr>
        <w:t xml:space="preserve"> поддержка» </w:t>
      </w:r>
    </w:p>
    <w:p w:rsidR="00A849EC" w:rsidRDefault="00FA7204">
      <w:pPr>
        <w:spacing w:after="12" w:line="270" w:lineRule="auto"/>
        <w:ind w:left="1450" w:hanging="10"/>
      </w:pPr>
      <w:r>
        <w:rPr>
          <w:i w:val="0"/>
        </w:rPr>
        <w:t xml:space="preserve">2021 г. </w:t>
      </w:r>
    </w:p>
    <w:p w:rsidR="00A849EC" w:rsidRDefault="00FA7204">
      <w:pPr>
        <w:spacing w:after="0" w:line="259" w:lineRule="auto"/>
        <w:ind w:left="1440" w:firstLine="0"/>
        <w:jc w:val="left"/>
      </w:pPr>
      <w:r>
        <w:rPr>
          <w:i w:val="0"/>
        </w:rPr>
        <w:t xml:space="preserve"> </w:t>
      </w:r>
    </w:p>
    <w:sectPr w:rsidR="00A849EC">
      <w:pgSz w:w="11906" w:h="16838"/>
      <w:pgMar w:top="1183" w:right="840" w:bottom="4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490"/>
    <w:multiLevelType w:val="hybridMultilevel"/>
    <w:tmpl w:val="3BBE64C8"/>
    <w:lvl w:ilvl="0" w:tplc="D8780C20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A2FC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07A3E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434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07AE0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4B35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0EF6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89F4E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42A6E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E3447"/>
    <w:multiLevelType w:val="hybridMultilevel"/>
    <w:tmpl w:val="9748470A"/>
    <w:lvl w:ilvl="0" w:tplc="A87A040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90A6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A2C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EE9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82F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CB6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8F84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94A6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85B3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F6144"/>
    <w:multiLevelType w:val="hybridMultilevel"/>
    <w:tmpl w:val="827C466E"/>
    <w:lvl w:ilvl="0" w:tplc="353CC8D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A087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2EA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08DF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661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7C24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4A9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66B75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90EF6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C62BB"/>
    <w:multiLevelType w:val="hybridMultilevel"/>
    <w:tmpl w:val="FA8ED27E"/>
    <w:lvl w:ilvl="0" w:tplc="CF7A28F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690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696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EE1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2EE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C6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7F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C8B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6B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116D5D"/>
    <w:multiLevelType w:val="hybridMultilevel"/>
    <w:tmpl w:val="AFBA28CC"/>
    <w:lvl w:ilvl="0" w:tplc="8F7640D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4E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4C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4B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487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E2D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2A8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06E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237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33C2E"/>
    <w:multiLevelType w:val="hybridMultilevel"/>
    <w:tmpl w:val="CED0A2C0"/>
    <w:lvl w:ilvl="0" w:tplc="45DA48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65A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D47D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8AD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6E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76EB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013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DE62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DE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80215B"/>
    <w:multiLevelType w:val="hybridMultilevel"/>
    <w:tmpl w:val="8EA4B352"/>
    <w:lvl w:ilvl="0" w:tplc="F1E6838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6C2E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99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437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025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6CE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EF25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886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A23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89634C"/>
    <w:multiLevelType w:val="hybridMultilevel"/>
    <w:tmpl w:val="50041B7C"/>
    <w:lvl w:ilvl="0" w:tplc="B9AEC4C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C7C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2B6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ADD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435D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6337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6CAA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0708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7078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6F77A0"/>
    <w:multiLevelType w:val="hybridMultilevel"/>
    <w:tmpl w:val="2CE809A4"/>
    <w:lvl w:ilvl="0" w:tplc="4BE892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646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E6F1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8F8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825F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EDC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481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0CEE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33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6C6095"/>
    <w:multiLevelType w:val="hybridMultilevel"/>
    <w:tmpl w:val="FE328C6A"/>
    <w:lvl w:ilvl="0" w:tplc="31422E5A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829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F2B1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614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06D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9AB7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EF8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A2A68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050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B078E1"/>
    <w:multiLevelType w:val="hybridMultilevel"/>
    <w:tmpl w:val="64B26594"/>
    <w:lvl w:ilvl="0" w:tplc="658E85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E3F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8408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274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AA39E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1C12A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AF5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83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442F6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EC"/>
    <w:rsid w:val="00A849EC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44F0"/>
  <w15:docId w15:val="{DCF55836-004A-4959-BA94-614A61A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firstLine="698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cp:lastModifiedBy>Захарова Анастасия Владимировна</cp:lastModifiedBy>
  <cp:revision>2</cp:revision>
  <dcterms:created xsi:type="dcterms:W3CDTF">2022-11-04T10:51:00Z</dcterms:created>
  <dcterms:modified xsi:type="dcterms:W3CDTF">2022-11-04T10:51:00Z</dcterms:modified>
</cp:coreProperties>
</file>