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D0" w:rsidRDefault="00EE0DD0" w:rsidP="00EE0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HYPERLINK "http://krasgmu.ru/index.php?page%5bcommon%5d=org&amp;id=1" 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Красноярский государственный медицинский университет им. проф. </w:t>
      </w:r>
      <w:proofErr w:type="spellStart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В.Ф.Войно-Ясенецкого</w:t>
      </w:r>
      <w:proofErr w:type="spellEnd"/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Минздрава России</w:t>
      </w:r>
      <w:r>
        <w:fldChar w:fldCharType="end"/>
      </w:r>
    </w:p>
    <w:p w:rsidR="00EE0DD0" w:rsidRDefault="00EE0DD0" w:rsidP="00EE0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внутренних болезней №2 с курсом ПО.</w:t>
      </w: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EE0DD0" w:rsidRDefault="00EE0DD0" w:rsidP="00EE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эндокринологии</w:t>
      </w:r>
    </w:p>
    <w:p w:rsidR="00EE0DD0" w:rsidRDefault="00EE0DD0" w:rsidP="00EE0D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Хроническая надпочечниковая недостаточность</w:t>
      </w: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Куратор</w:t>
      </w:r>
      <w:r>
        <w:rPr>
          <w:rFonts w:ascii="Times New Roman" w:hAnsi="Times New Roman" w:cs="Times New Roman"/>
          <w:sz w:val="28"/>
          <w:szCs w:val="28"/>
        </w:rPr>
        <w:t xml:space="preserve">: к.м.н.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асс.Дудина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клин.ординатор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Проскурина М.В</w:t>
      </w: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EE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</w:p>
    <w:p w:rsidR="00EE0DD0" w:rsidRDefault="00EE0DD0" w:rsidP="00EE0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EE0DD0" w:rsidRPr="00EA33A9" w:rsidRDefault="00EE0DD0" w:rsidP="00EE0DD0">
      <w:pPr>
        <w:rPr>
          <w:rFonts w:ascii="Times New Roman" w:hAnsi="Times New Roman" w:cs="Times New Roman"/>
          <w:b/>
          <w:sz w:val="28"/>
          <w:szCs w:val="28"/>
        </w:rPr>
      </w:pPr>
      <w:r w:rsidRPr="00EA33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EE0DD0" w:rsidRPr="00EA33A9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EA33A9">
        <w:rPr>
          <w:rFonts w:ascii="Times New Roman" w:hAnsi="Times New Roman" w:cs="Times New Roman"/>
          <w:sz w:val="28"/>
          <w:szCs w:val="28"/>
        </w:rPr>
        <w:t>1.Определение и классификация, этиология хронической надпочечниковой недостаточности.стр.1-6.</w:t>
      </w:r>
    </w:p>
    <w:p w:rsidR="00EE0DD0" w:rsidRPr="00EA33A9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EA33A9">
        <w:rPr>
          <w:rFonts w:ascii="Times New Roman" w:hAnsi="Times New Roman" w:cs="Times New Roman"/>
          <w:sz w:val="28"/>
          <w:szCs w:val="28"/>
        </w:rPr>
        <w:t>2. Клиническая картина заболевания стр. 6-8.</w:t>
      </w:r>
    </w:p>
    <w:p w:rsidR="00EE0DD0" w:rsidRPr="00EA33A9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EA33A9">
        <w:rPr>
          <w:rFonts w:ascii="Times New Roman" w:hAnsi="Times New Roman" w:cs="Times New Roman"/>
          <w:sz w:val="28"/>
          <w:szCs w:val="28"/>
        </w:rPr>
        <w:t>3.Острая надпочечниковая недостаточность стр.8-9.</w:t>
      </w:r>
    </w:p>
    <w:p w:rsidR="00EE0DD0" w:rsidRPr="00EA33A9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EA33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33A9">
        <w:rPr>
          <w:rFonts w:ascii="Times New Roman" w:hAnsi="Times New Roman" w:cs="Times New Roman"/>
          <w:sz w:val="28"/>
          <w:szCs w:val="28"/>
        </w:rPr>
        <w:t>Лечение  хронической</w:t>
      </w:r>
      <w:proofErr w:type="gramEnd"/>
      <w:r w:rsidRPr="00EA33A9">
        <w:rPr>
          <w:rFonts w:ascii="Times New Roman" w:hAnsi="Times New Roman" w:cs="Times New Roman"/>
          <w:sz w:val="28"/>
          <w:szCs w:val="28"/>
        </w:rPr>
        <w:t xml:space="preserve"> надпочечниковой недостаточности  стр.10-13.</w:t>
      </w:r>
    </w:p>
    <w:p w:rsidR="00EE0DD0" w:rsidRPr="00EA33A9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DD0" w:rsidRDefault="00EE0DD0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>Хроническая первичная надпочечниковая недостаточность.</w:t>
      </w: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A6A8C" wp14:editId="2D266D2E">
            <wp:extent cx="2727702" cy="359609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9147" cy="359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Надпочечниковая недостаточность (НН) - клинический синдром,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обусловленнный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недостаточной секрецией гормонов коры надпочечников, являющийся результатом нарушения функционирования одного или нескольких звеньев гипоталамо-гипофизарно-надпочечниковой системы (ГГНС). При широкой трактовке понятия НН, к этому синдрому помимо собственно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гипокортизолизма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, можно отнести врожденную дисфункцию коры надпочечников (ВДКН, врожденный адреногенитальный синдром), изолированный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гипоальдостеронизм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и некоторые другие еще более редкие заболевания. Однако, как правило под этим термином подразумевают различные по этиологии и патогенезу варианты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гипокортизолизма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Первичная хроническая надпочечниковая недостаточность (1-ХНН) аутоиммунной и туберкулезной этиологии более известна под названием болезнь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Аддисона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, которая была названа в честь английского врача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Thomas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Addison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, впервые в 1855 году описавшего клиническую картину заболевания.</w:t>
      </w: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b/>
          <w:sz w:val="28"/>
          <w:szCs w:val="28"/>
        </w:rPr>
        <w:t>Классификация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sz w:val="28"/>
          <w:szCs w:val="28"/>
        </w:rPr>
        <w:t>I. Первичная ХНН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Аутоиммунная деструкция коры надпочечников (85% от всех случаев 1-НН). </w:t>
      </w:r>
    </w:p>
    <w:p w:rsidR="00886DA1" w:rsidRPr="000C0593" w:rsidRDefault="00886DA1" w:rsidP="00886DA1">
      <w:pPr>
        <w:numPr>
          <w:ilvl w:val="2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Изолированная 1-НН</w:t>
      </w:r>
    </w:p>
    <w:p w:rsidR="00886DA1" w:rsidRPr="000C0593" w:rsidRDefault="00886DA1" w:rsidP="00886DA1">
      <w:pPr>
        <w:numPr>
          <w:ilvl w:val="2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Аутоиммунный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полигландулярный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синдром 1 типа</w:t>
      </w:r>
    </w:p>
    <w:p w:rsidR="00886DA1" w:rsidRPr="000C0593" w:rsidRDefault="00886DA1" w:rsidP="00886DA1">
      <w:pPr>
        <w:numPr>
          <w:ilvl w:val="2"/>
          <w:numId w:val="2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Аутоиммунный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полигландулярный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синдром 2 типа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>Туберкулез надпочечников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Адренолейкодистрофия</w:t>
      </w:r>
      <w:proofErr w:type="spellEnd"/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Ятрогенная 1-ХНН (двусторонняя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адреналэктомия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по поводу болезни Иценко-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Кушинга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, двустороннее кровоизлияние в надпочечники на фоне терапии антикоагулянтами)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Метастатическое и опухолевое поражение надпочечников 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Геморрагический инфаркт надпочечников (ДВС-синдром, синдром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Уотерхауса-Фридериксена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86DA1" w:rsidRPr="000C0593" w:rsidRDefault="00886DA1" w:rsidP="00886DA1">
      <w:pPr>
        <w:numPr>
          <w:ilvl w:val="1"/>
          <w:numId w:val="1"/>
        </w:num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C0593">
        <w:rPr>
          <w:rFonts w:ascii="Times New Roman" w:eastAsia="Calibri" w:hAnsi="Times New Roman" w:cs="Times New Roman"/>
          <w:bCs/>
          <w:sz w:val="28"/>
          <w:szCs w:val="28"/>
        </w:rPr>
        <w:t>Редкие причины: амилоидоз, грибковые инфекции, сифилис, ВИЧ-ассоциированный комплекс.</w:t>
      </w:r>
    </w:p>
    <w:p w:rsidR="00886DA1" w:rsidRPr="000C0593" w:rsidRDefault="00886DA1" w:rsidP="00886D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sz w:val="28"/>
          <w:szCs w:val="28"/>
        </w:rPr>
        <w:t>II. Центральные формы НН.</w:t>
      </w:r>
    </w:p>
    <w:p w:rsidR="00886DA1" w:rsidRPr="000C0593" w:rsidRDefault="00886DA1" w:rsidP="00886DA1">
      <w:pPr>
        <w:numPr>
          <w:ilvl w:val="1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Вторичная ХНН (2-ХНН). </w:t>
      </w:r>
    </w:p>
    <w:p w:rsidR="00886DA1" w:rsidRPr="000C0593" w:rsidRDefault="00886DA1" w:rsidP="00886DA1">
      <w:pPr>
        <w:numPr>
          <w:ilvl w:val="2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Длительная терапия препаратами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глюкокортикоидов</w:t>
      </w:r>
      <w:proofErr w:type="spellEnd"/>
    </w:p>
    <w:p w:rsidR="00886DA1" w:rsidRPr="000C0593" w:rsidRDefault="00886DA1" w:rsidP="00886DA1">
      <w:pPr>
        <w:numPr>
          <w:ilvl w:val="2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гипопитуитаризма</w:t>
      </w:r>
      <w:proofErr w:type="spellEnd"/>
    </w:p>
    <w:p w:rsidR="00886DA1" w:rsidRPr="000C0593" w:rsidRDefault="00886DA1" w:rsidP="00886DA1">
      <w:pPr>
        <w:numPr>
          <w:ilvl w:val="2"/>
          <w:numId w:val="3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>Изолированный дефицит АКТГ</w:t>
      </w:r>
    </w:p>
    <w:p w:rsidR="00B51408" w:rsidRPr="000C0593" w:rsidRDefault="00886DA1" w:rsidP="00886DA1">
      <w:pPr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>Третичная ХНН (3-ХНН). Опухоли, ишемические и любые другие повреждения гипоталамической области.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  <w:r w:rsidRPr="000C0593">
        <w:rPr>
          <w:rFonts w:ascii="Times New Roman" w:hAnsi="Times New Roman" w:cs="Times New Roman"/>
          <w:b/>
          <w:sz w:val="28"/>
          <w:szCs w:val="28"/>
        </w:rPr>
        <w:t xml:space="preserve">  Этиология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Аутоиммунное поражение коры надпочечников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Аутоиммунная деструкция коры надпочечников (аутоиммунный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адреналит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) в настоящее время является основной причиной 1-НН. На ее долю в развитых странах приходится до 90% и более случаев 1-НН. Следует отметить, что если во второй половине XIX и начале XX века аутоиммунная деструкция составляла не более 15-20% от всех случаев болезни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то на протяжении XX столетия соотношение этиологических факторов первичного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постепенно изменялось в сторону преобладания аутоиммунной деструкции над туберкулезной. Результатами исследований начала 90-х годов было показано, что специфическими иммунологическими </w:t>
      </w:r>
      <w:r w:rsidRPr="000C0593">
        <w:rPr>
          <w:rFonts w:ascii="Times New Roman" w:hAnsi="Times New Roman" w:cs="Times New Roman"/>
          <w:sz w:val="28"/>
          <w:szCs w:val="28"/>
        </w:rPr>
        <w:lastRenderedPageBreak/>
        <w:t xml:space="preserve">маркерами аутоиммунной деструкции коры надпочечников являются антитела к ферментам надпочечникового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стероидогенеза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21-гидроксилазе (P450c21), 17a-гидроксилазе (P450c17) и ферменту отщепления боковой цепи (P450scc). При изолированной 1-НН наибольшее значение имеют антитела к 21-гидроксилазе. Если значение указанных антител как серологического маркера 1-НН аутоиммунного генеза не вызывает сомнений, то их патогенетическая роль в деструкции коры надпочечников остается до конца неизвестной.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Аутоиммунные </w:t>
      </w:r>
      <w:proofErr w:type="spellStart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полигландулярные</w:t>
      </w:r>
      <w:proofErr w:type="spellEnd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синдромы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Принципиальным аспектом при обсуждении этиологии 1-НН являются аутоиммунные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полигландулярные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синдромы (АПС). АПС представляют собой первичное аутоиммунное поражение двух и более периферических эндокринных желез, приводящее, как правило, к их недостаточности, часто сочетающееся с различными органоспецифическими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неэндокринными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заболеваниями аутоиммунного генеза. В настоящее время на основании клинических и иммуногенетических особенностей выделяют АПС 1-го и 2-го типов (АПС-1 и АПС-2) (табл. 1 и 2).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8B533" wp14:editId="060C5506">
            <wp:extent cx="5430520" cy="1574165"/>
            <wp:effectExtent l="0" t="0" r="0" b="0"/>
            <wp:docPr id="40" name="Рисунок 40" descr="http://www.medlinks.ru/images/art/endo/Image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edlinks.ru/images/art/endo/Image2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  <w:r w:rsidRPr="000C0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68572" wp14:editId="3ADA3E15">
            <wp:extent cx="5391150" cy="2115185"/>
            <wp:effectExtent l="0" t="0" r="0" b="0"/>
            <wp:docPr id="41" name="Рисунок 41" descr="http://www.medlinks.ru/images/art/endo/Imag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edlinks.ru/images/art/endo/Image23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АПС-2</w:t>
      </w:r>
      <w:r w:rsidRPr="000C0593">
        <w:rPr>
          <w:rFonts w:ascii="Times New Roman" w:hAnsi="Times New Roman" w:cs="Times New Roman"/>
          <w:sz w:val="28"/>
          <w:szCs w:val="28"/>
        </w:rPr>
        <w:t xml:space="preserve"> – наиболее распространенный, но менее изученный вариант АПС. В свою очередь самым частым вариантом АПС-2 является синдром Шмидта, </w:t>
      </w:r>
      <w:r w:rsidRPr="000C059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представляющий собой сочетание 1-НН и аутоиммунных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тиреопатий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(аутоиммунный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или диффузный токсический зоб). Реже встречается сочетание 1-НН с сахарным диабетом I типа (синдром Карпентера).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Многие из заболеваний в рамках АПС-2 ассоциированы с антигенами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НLА-В8, НLА-DR3, НLА-DR4, НLА-DR5. Тем не менее в настоящее время не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выявленно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каких-либо существенных иммуногенетических различий между изолированным аутоиммунными эндокринопатиями и таковыми в рамках АПС-2. В большинстве случаев АПС-2 встречается спорадически, однако описано немало случаев семейных форм, при которых заболевание наблюдается у разных членов семьи в нескольких поколениях. АПС-2 примерно в 8 раз чаще встречается у женщин, манифестирует в среднем возрасте (между 20 и 50 годами), при этом интервал между клиническим дебютом его отдельных компонентов может составить более 20 лет. У 4050% больных с исходно изолированной хронической НН (1-ХНН) рано или поздно развивается другая аутоиммунная эндокринопатия.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АПС-1 </w:t>
      </w:r>
      <w:r w:rsidRPr="000C0593">
        <w:rPr>
          <w:rFonts w:ascii="Times New Roman" w:hAnsi="Times New Roman" w:cs="Times New Roman"/>
          <w:b/>
          <w:sz w:val="28"/>
          <w:szCs w:val="28"/>
        </w:rPr>
        <w:t>(APECED-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Autoimmune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polyendocrinopathy-candidiasis-ectodermal-dystrophy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>, MEDAC-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Multiple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Endocrine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Deficiency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Autoimmune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Candidiasis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C0593">
        <w:rPr>
          <w:rFonts w:ascii="Times New Roman" w:hAnsi="Times New Roman" w:cs="Times New Roman"/>
          <w:b/>
          <w:sz w:val="28"/>
          <w:szCs w:val="28"/>
        </w:rPr>
        <w:t>кандидо-полиэндокринный</w:t>
      </w:r>
      <w:proofErr w:type="spellEnd"/>
      <w:r w:rsidRPr="000C0593">
        <w:rPr>
          <w:rFonts w:ascii="Times New Roman" w:hAnsi="Times New Roman" w:cs="Times New Roman"/>
          <w:b/>
          <w:sz w:val="28"/>
          <w:szCs w:val="28"/>
        </w:rPr>
        <w:t xml:space="preserve"> синдром) </w:t>
      </w:r>
      <w:r w:rsidRPr="000C0593">
        <w:rPr>
          <w:rFonts w:ascii="Times New Roman" w:hAnsi="Times New Roman" w:cs="Times New Roman"/>
          <w:sz w:val="28"/>
          <w:szCs w:val="28"/>
        </w:rPr>
        <w:t xml:space="preserve">редкое заболевание с аутосомно-рецессивным типом наследования или встречающееся реже спорадически, для которого характерна </w:t>
      </w: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классическая триада</w:t>
      </w:r>
      <w:r w:rsidRPr="000C0593">
        <w:rPr>
          <w:rFonts w:ascii="Times New Roman" w:hAnsi="Times New Roman" w:cs="Times New Roman"/>
          <w:sz w:val="28"/>
          <w:szCs w:val="28"/>
        </w:rPr>
        <w:t xml:space="preserve">, описанная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Уайткером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слизисто</w:t>
      </w:r>
      <w:proofErr w:type="spellEnd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-кожный кандидоз, </w:t>
      </w:r>
      <w:proofErr w:type="spellStart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гипопаратиреоз</w:t>
      </w:r>
      <w:proofErr w:type="spellEnd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1-ХНН</w:t>
      </w:r>
      <w:r w:rsidRPr="000C0593">
        <w:rPr>
          <w:rFonts w:ascii="Times New Roman" w:hAnsi="Times New Roman" w:cs="Times New Roman"/>
          <w:sz w:val="28"/>
          <w:szCs w:val="28"/>
        </w:rPr>
        <w:t xml:space="preserve">. АПС-1 дебютирует, как правило, в детском возрасте. В подавляющем большинстве случаев первым проявлением является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-кожный кандидоз, развивающийся в первые 10 лет жизни, чаще в возрасте около 2 лет, при этом наблюдается поражение слизистых оболочек полости рта, гениталий, а также кожи, ногтевых валиков, ногтей, реже встречается поражение желудочно-кишечного тракта (ЖКТ), дыхательных путей. На фоне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-кожного кандидоза у 84% пациентов появляется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который у 88% больных развивается в первые 10 лет. Наиболее существенным открытием последних лет в области исследования АПС является открытие гена, мутации которого приводят к развитию АПС-1. Этот ген расположен на хромосоме 21q22.3 и получил название AIRE-1 (от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autoimmune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regulator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>).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Туберкулез надпочечников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Как уже указывалось, деструкция коркового вещества надпочечников туберкулезным процессом занимает второе место в ряду этиологических факторов 1-НН. Туберкулез надпочечников развивается вследствие гематогенного распространения микобактерий. Обычно в процесс </w:t>
      </w:r>
      <w:r w:rsidRPr="000C0593">
        <w:rPr>
          <w:rFonts w:ascii="Times New Roman" w:hAnsi="Times New Roman" w:cs="Times New Roman"/>
          <w:sz w:val="28"/>
          <w:szCs w:val="28"/>
        </w:rPr>
        <w:lastRenderedPageBreak/>
        <w:t xml:space="preserve">вовлекается как корковое, так и мозговое вещество (последний феномен клинического значения, по-видимому, практически не имеет). Как и в случае аутоиммунного поражения, при туберкулезном процессе НН клинически манифестирует только при разрушении 90% коркового вещества обоих надпочечников. При туберкулезе надпочечников в большинстве случаев у больных имеются следы ранее перенесенного туберкулеза или активный процесс.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Адренолейкодистрофия</w:t>
      </w:r>
      <w:proofErr w:type="spellEnd"/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Адренолейкодистрофия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(АЛД, болезнь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Зимерлинга-Крейтцфельдта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меланодермическая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лейкодистрофия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) является наиболее распространенным наследуемым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пероксисомным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заболеванием с Х-сцепленным рецессивным типом наследования, которое характеризуется избыточным накоплением предельных длинноцепочечных жирных кислот (ДЖК), как правило, в миелине, проявляющееся в преимущественном поражении белого вещества ЦНС, коры надпочечников и яичек. Болезнь обусловлена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делецией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гена ALD на длинном плече Х-хромосомы (Хq28), проявляющейся недостаточностью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лигноцероил-КоА-синтетазы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Метастатическое поражение надпочечников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Само по себе поражение надпочечников метастазами опухолей встречается достаточно часто. Так, отмечено, что метастазы рака молочной железы поражают надпочечники в 58% случаев,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бронхогенного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рака легкого в 3640%, меланомы в 33% случаев. Вместе с тем 1-НН при этом развивается очень редко, поскольку, как указывалось, для этого необходимо разрушение 90% коры обоих надпочечников. Наиболее часто опухолью, метастазы которой вызывают развитие клинической картины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неходжкинская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крупноклеточная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несколько реже причиной заболевания являются метастазы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бронхогенного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рака легкого.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6DA1" w:rsidRPr="000C0593" w:rsidRDefault="00886DA1" w:rsidP="00886D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Поражение надпочечников при ВИЧ-инфекции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>Субклиническая 1-НН выявляется у 812 % больных ВИЧ-инфекцией. Наиболее часто она развивается в результате поражения ткани надпочечников инфильтративным процессом с последующей ее деструкцией (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инфекция, грибковые инфекции, саркома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Капоши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лимфома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и т.д.). Применение различных медикаментозных препаратов, </w:t>
      </w:r>
      <w:r w:rsidRPr="000C0593">
        <w:rPr>
          <w:rFonts w:ascii="Times New Roman" w:hAnsi="Times New Roman" w:cs="Times New Roman"/>
          <w:sz w:val="28"/>
          <w:szCs w:val="28"/>
        </w:rPr>
        <w:lastRenderedPageBreak/>
        <w:t xml:space="preserve">влияющих на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стероидогенез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кетоконазол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фенитоин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), также может стать причиной 1-НН.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  <w:r w:rsidRPr="000C0593">
        <w:rPr>
          <w:rFonts w:ascii="Times New Roman" w:hAnsi="Times New Roman" w:cs="Times New Roman"/>
          <w:b/>
          <w:sz w:val="28"/>
          <w:szCs w:val="28"/>
        </w:rPr>
        <w:t xml:space="preserve">              Патогенез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0593">
        <w:rPr>
          <w:rFonts w:ascii="Times New Roman" w:hAnsi="Times New Roman" w:cs="Times New Roman"/>
          <w:sz w:val="28"/>
          <w:szCs w:val="28"/>
        </w:rPr>
        <w:t xml:space="preserve">В основе 1-НН лежит </w:t>
      </w: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абсолютный дефицит кортикостероидов</w:t>
      </w:r>
      <w:r w:rsidRPr="000C0593">
        <w:rPr>
          <w:rFonts w:ascii="Times New Roman" w:hAnsi="Times New Roman" w:cs="Times New Roman"/>
          <w:sz w:val="28"/>
          <w:szCs w:val="28"/>
        </w:rPr>
        <w:t xml:space="preserve">. Дефицит альдостерона приводит к потере через почки и ЖКТ натрия и воды с развитием дегидратации,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гипотонии, а также прогрессирующей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гиперкалиемии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. Дефицит кортизола основного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адаптогенного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гормона человеческого организма приводит к снижению сопротивляемости к различным эндо- и экзогенным стрессорам, на фоне которых (чаще всего на фоне инфекций) и происходит декомпенсация НН. Принципиальное значение играют выпадение такой функции кортизола, как стимуляция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глюконеогенеза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гликогенолиза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в печени, а также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пермиссивные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эффекты кортизола в отношении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гормонов и катехоламинов.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Клиническая картина 1-НН была достаточно полно описана самим Томасом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Аддисоном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>. В этом плане за последние 150 лет к этому описанию прибавились лишь незначительные дополнения.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1-НН манифестирует в среднем возрасте (между 20 и 50 годами). В настоящее время заболевание достоверно чаще встречается у женщин, что связывают с преобладанием 1-НН аутоиммунного генеза. Болезнью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туберкулезной этиологии мужчины и женщины болеют одинаково часто. 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  <w:r w:rsidRPr="000C0593">
        <w:rPr>
          <w:rFonts w:ascii="Times New Roman" w:hAnsi="Times New Roman" w:cs="Times New Roman"/>
          <w:b/>
          <w:sz w:val="28"/>
          <w:szCs w:val="28"/>
        </w:rPr>
        <w:t>Клиника</w:t>
      </w:r>
    </w:p>
    <w:p w:rsidR="00886DA1" w:rsidRPr="000C0593" w:rsidRDefault="00886DA1" w:rsidP="00886DA1">
      <w:pPr>
        <w:rPr>
          <w:rFonts w:ascii="Times New Roman" w:hAnsi="Times New Roman" w:cs="Times New Roman"/>
          <w:b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Гиперпигментация кожи и слизистых</w:t>
      </w:r>
      <w:r w:rsidRPr="000C0593">
        <w:rPr>
          <w:rFonts w:ascii="Times New Roman" w:hAnsi="Times New Roman" w:cs="Times New Roman"/>
          <w:sz w:val="28"/>
          <w:szCs w:val="28"/>
        </w:rPr>
        <w:t xml:space="preserve"> наиболее известный и типичный симптом 1-НН, который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связан с тем, что при 1-НН имеется гиперсекреция не только АКТГ, но его предшественника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пропиомеланокортина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, из которого, помимо АКТГ, в избытке образуется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меланоцитстимулирующий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гормон. Гиперпигментация наиболее заметна на открытых частях тела (лицо, руки, шея), в местах трения (кожные складки, места трения одеждой), местах естественного скопления меланина. Принципиальное значение имеет гиперпигментация слизистых (полость рта, десны, слизистая щек на уровне зубов, места трения зубных протезов).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Похудание</w:t>
      </w:r>
      <w:r w:rsidRPr="000C0593">
        <w:rPr>
          <w:rFonts w:ascii="Times New Roman" w:hAnsi="Times New Roman" w:cs="Times New Roman"/>
          <w:sz w:val="28"/>
          <w:szCs w:val="28"/>
        </w:rPr>
        <w:t xml:space="preserve"> типичный симптом НН; прогрессирующее увеличение массы тела пациента практически исключает диагноз. Потеря массы, как правило, значительная, достигает 5-20 кг.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и мышечная слабость</w:t>
      </w:r>
      <w:r w:rsidRPr="000C0593">
        <w:rPr>
          <w:rFonts w:ascii="Times New Roman" w:hAnsi="Times New Roman" w:cs="Times New Roman"/>
          <w:sz w:val="28"/>
          <w:szCs w:val="28"/>
        </w:rPr>
        <w:t xml:space="preserve"> в начале заболевания может быть выражена умеренно (снижение работоспособности) и достигает значительных степеней при декомпенсации заболевания (вплоть до адинамии). Характерным симптомом 1-НН является </w:t>
      </w: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психическая депрессия</w:t>
      </w:r>
      <w:r w:rsidRPr="000C0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lastRenderedPageBreak/>
        <w:t xml:space="preserve">Кардинальный симптом 1-НН </w:t>
      </w: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артериальная гипотензия</w:t>
      </w:r>
      <w:r w:rsidRPr="000C0593">
        <w:rPr>
          <w:rFonts w:ascii="Times New Roman" w:hAnsi="Times New Roman" w:cs="Times New Roman"/>
          <w:sz w:val="28"/>
          <w:szCs w:val="28"/>
        </w:rPr>
        <w:t xml:space="preserve">. Выраженная систолическая и диастолическая гипертензия в большинстве случаев позволяет исключить диагноз. </w:t>
      </w:r>
    </w:p>
    <w:p w:rsidR="00886DA1" w:rsidRPr="000C0593" w:rsidRDefault="00886DA1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Той или иной выраженности </w:t>
      </w:r>
      <w:r w:rsidRPr="000C0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диспепсические расстройства</w:t>
      </w:r>
      <w:r w:rsidRPr="000C0593">
        <w:rPr>
          <w:rFonts w:ascii="Times New Roman" w:hAnsi="Times New Roman" w:cs="Times New Roman"/>
          <w:sz w:val="28"/>
          <w:szCs w:val="28"/>
        </w:rPr>
        <w:t xml:space="preserve"> имеются практически всегда. Чаще это плохой аппетит и тошнота, периодически возникающие разлитые боли в животе, реже рвота, расстройство стула. Характерный симптом 1-НН,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связанный с выраженной потерей натрия, пристрастие к соленой пище. В ряде случаев мы наблюдали употребление пациентами соли в чистом виде, тем не менее многие пациенты этой жалобы вообще не предъявляли. Гипогликемические приступы редкий симптом 1-НН, чаще они возникают при 2-НН в связи с незначительной выраженностью других симптомов. Принципиально можно отметить, что ни один из отдельно взятых перечисленных симптомов 1-НН не является специфичным для этого заболевания. Значение имеет лишь сочетание этих симптомов. </w:t>
      </w:r>
    </w:p>
    <w:p w:rsidR="00D255DC" w:rsidRPr="000C0593" w:rsidRDefault="00886DA1" w:rsidP="00D255DC">
      <w:pPr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sz w:val="28"/>
          <w:szCs w:val="28"/>
        </w:rPr>
        <w:t xml:space="preserve">В клинической картине у больных с АПС-2 превалируют проявления 1-НН. Гиперпигментация при этом может быть выражена слабо, особенно при сочетании 1-НН и гипотиреоза. Типичной ошибкой является интерпретация умеренного повышения уровня тиреотропного гормона (ТТГ) в фазе декомпенсации 1-НН как первичного гипотиреоза. Такое повышение уровня ТТГ связывается с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аденогипофизарной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дисфункцией на фоне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. Тест необходимо повторить после достижения клинико-лабораторной компенсации 1-НН, дополнив его исследованием уровня </w:t>
      </w:r>
      <w:proofErr w:type="spellStart"/>
      <w:r w:rsidRPr="000C0593">
        <w:rPr>
          <w:rFonts w:ascii="Times New Roman" w:hAnsi="Times New Roman" w:cs="Times New Roman"/>
          <w:sz w:val="28"/>
          <w:szCs w:val="28"/>
        </w:rPr>
        <w:t>антитиреоидных</w:t>
      </w:r>
      <w:proofErr w:type="spellEnd"/>
      <w:r w:rsidRPr="000C0593">
        <w:rPr>
          <w:rFonts w:ascii="Times New Roman" w:hAnsi="Times New Roman" w:cs="Times New Roman"/>
          <w:sz w:val="28"/>
          <w:szCs w:val="28"/>
        </w:rPr>
        <w:t xml:space="preserve"> антител и УЗИ щитовидной железы. Типичными признаками развития 1-НН на фоне сахарного диабета 1-го типа являются</w:t>
      </w:r>
      <w:r w:rsidR="00D255DC" w:rsidRPr="000C0593">
        <w:rPr>
          <w:rFonts w:ascii="Times New Roman" w:hAnsi="Times New Roman" w:cs="Times New Roman"/>
          <w:sz w:val="28"/>
          <w:szCs w:val="28"/>
        </w:rPr>
        <w:t xml:space="preserve"> </w:t>
      </w:r>
      <w:r w:rsidR="00D255DC" w:rsidRPr="000C0593">
        <w:rPr>
          <w:rFonts w:ascii="Times New Roman" w:eastAsia="Calibri" w:hAnsi="Times New Roman" w:cs="Times New Roman"/>
          <w:sz w:val="28"/>
          <w:szCs w:val="28"/>
        </w:rPr>
        <w:t xml:space="preserve">снижение необходимой для пациента дозы инсулина и склонность к гипогликемиям, сочетающиеся, несмотря на, казалось бы, более легкое течение диабета, с похуданием, диспепсическими расстройствами, гипотонией.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Вторичный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гипокортицизм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Важнейшим патогенетическим отличием 2-НН является отсутствие дефицита альдостерона. Дефицит АКТГ в данном случае приводит к недостаточности кортизола и андрогенов, но не затрагивает практически независимую от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аденогипофизарных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влияний продукцию альдостерона, секреция которого регулируется системой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ренинангиотензиннатрий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-калий. В этой связи симптоматика 2-НН будет достаточно бедной. Не будут выражены такие симптомы, как артериальная гипотензия, диспепсические расстройства, пристрастие к соленой пище. Принципиальным клиническим отличием 2-НН является отсутствие гиперпигментации кожи и слизистых. На первый план в </w:t>
      </w: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клинической картине выступают общая слабость, похудание, реже гипогликемические эпизоды. Облегчает диагностику наличие анамнестических или клинических данных о гипофизарной патологии, операциях на гипофизе, длительном приеме кортикостероидов.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Острый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гипокортицизм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Наиболее частой причиной острого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является декомпенсация или острая манифестация хронических форм НН, этиология которой была разобрана ранее. Таким образом, практически всегда будет определяться выраженная симптоматика, характерная для хронической НН. Реже речь идет о геморрагическом инфаркте надпочечников, в основе патогенеза которого лежит ДВС-синдром при септических состояниях (синдром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УотерхаусаФридериксена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) и различных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коагулопатиях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В патогенезе острого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принципиальное значение имеет циркуляторная недостаточность и дегидратация. Выделяют три основные формы острой НН.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>1.</w:t>
      </w:r>
      <w:r w:rsidRPr="000C05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Сердечно-сосудистая.</w:t>
      </w:r>
      <w:r w:rsidRPr="000C05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Доминируют явления коллапса и острой сердечно-сосудистой недостаточности.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Гастроинтестинальная.</w:t>
      </w:r>
      <w:r w:rsidRPr="000C05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Доминируют диспепсические симптомы: выраженная рвота, понос. Эту форму необходимо дифференцировать с пищевыми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токсикоинфекциями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6DA1" w:rsidRPr="000C0593" w:rsidRDefault="00D255DC" w:rsidP="00886DA1">
      <w:pPr>
        <w:rPr>
          <w:rFonts w:ascii="Times New Roman" w:hAnsi="Times New Roman" w:cs="Times New Roman"/>
          <w:sz w:val="28"/>
          <w:szCs w:val="28"/>
        </w:rPr>
      </w:pPr>
      <w:r w:rsidRPr="000C0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D645A" wp14:editId="15EF794F">
            <wp:extent cx="4624417" cy="1881217"/>
            <wp:effectExtent l="0" t="0" r="0" b="0"/>
            <wp:docPr id="42" name="Рисунок 42" descr="http://www.medlinks.ru/images/art/endo/Image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edlinks.ru/images/art/endo/Image25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88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>При стертой клинической картине 1-НН, а также при пограничных или сомнительных результатах определения экскреции кортизола пациентам показано проведение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теста с 1-24 АКТГ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(первые 24 аминокислоты 39-аминоки</w:t>
      </w:r>
      <w:r w:rsidR="0055046C" w:rsidRPr="000C0593">
        <w:rPr>
          <w:rFonts w:ascii="Times New Roman" w:eastAsia="Calibri" w:hAnsi="Times New Roman" w:cs="Times New Roman"/>
          <w:sz w:val="28"/>
          <w:szCs w:val="28"/>
        </w:rPr>
        <w:t>слотной молекулы АКТГ</w:t>
      </w:r>
      <w:proofErr w:type="gramStart"/>
      <w:r w:rsidR="0055046C" w:rsidRPr="000C0593">
        <w:rPr>
          <w:rFonts w:ascii="Times New Roman" w:eastAsia="Calibri" w:hAnsi="Times New Roman" w:cs="Times New Roman"/>
          <w:sz w:val="28"/>
          <w:szCs w:val="28"/>
        </w:rPr>
        <w:t>) .</w:t>
      </w:r>
      <w:proofErr w:type="gram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Стимуляционный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тест с исследованием уровня кортизола в плазме крови через 30 и 60 мин после внутривенного введения 250 мг (25 ЕД) 1-24 АКТГ на 5 мл физиологического раствора – классическое исследование в диагностике первичного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гипокортицизма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. Повышение уровня кортизола более 20 мкг/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дл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(550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нмоль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/л) надежно </w:t>
      </w: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исключает НН. Для примера, у здорового человека максимальную стимуляцию коры надпочечников вызывает введение всего 1 мкг 1-24 АКТГ.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Этиологическая диагностика 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После лабораторного подтверждения наличия у пациента НН следующим этапом является выяснение ее причины. В клинической практике после установления диагноза 1-НН наиболее оптимально сразу исключить ее туберкулезную этиологию. С этой целью проводят рентгенографию грудной клетки, обследование у фтизиатра. При отсутствии данных о туберкулезном процессе (а это наиболее частая ситуация) устанавливается диагноз предположительно идиопатической (аутоиммунной) болезни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Аддисона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Веским аргументом в пользу этого диагноза будет наличие у пациента сопутствующих аутоиммунных эндокринопатий, т.е. фактически АПС. Следует отметить, что вполне возможно сочетание у пациента старых туберкулезных изменений в легких и 1-НН аутоиммунного генеза. Такие случаи неоднократно описывались в литературе и наблюдались нами. Исследованием, которое могло бы легко решить эту диагностическую проблему, является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определение циркулирующих антител к 21-гидроксилазе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(P450c21). Указанные антитела являются высокочувствительным и специфичным маркером 1-НН аутоиммунного генеза.</w:t>
      </w:r>
    </w:p>
    <w:p w:rsidR="00D255DC" w:rsidRPr="000C0593" w:rsidRDefault="00D255DC" w:rsidP="00D255D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C0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99980" wp14:editId="00C26D64">
            <wp:extent cx="4651375" cy="3156585"/>
            <wp:effectExtent l="0" t="0" r="0" b="0"/>
            <wp:docPr id="43" name="Рисунок 43" descr="http://www.medlinks.ru/images/art/endo/Image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edlinks.ru/images/art/endo/Image26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Традиционно в этиологической диагностике 1-НН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инструментальным методам, позволяющим визуализировать надпочечники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(рентгеновское исследование, компьютерная томография), отводится небольшая роль. Тем </w:t>
      </w: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менее ряд авторов сообщают, что в большинстве случаев туберкулеза надпочечников имеется увеличение органов по данным компьютерной томографии (КТ) и магнитно-резонансной томографии (МРТ), а в отдельных относительно редких случаях могут быть обнаружены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кальцинаты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Наибольшее значение указанные методы имеют в этиологической диагностике 2-НН.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Лабораторным маркером АЛД является высокий уровень ДЖК.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Это исследование особенно показано при сочетании 1-НН с различного рода неврологической симптоматикой (в частности, с периферической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нейропатией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). Для установления диагноза АЛД определенное значение имеют электромиография, а также КТ и МРТ головного мозга.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sz w:val="28"/>
          <w:szCs w:val="28"/>
        </w:rPr>
        <w:t xml:space="preserve"> Лечение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Заместительная терапия при остром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гипокортицизме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 тяжелой декомпенсации хронического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гипокортицизма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1. Не дожидаясь результатов лабораторных исследований (при возможности предварительный забор крови для определения уровня кортизола, АКТГ, калия, рутинный гематологический и биохимический анализы), как можно раньше, начинают внутривенное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введение 2-3 л физиологического раствора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(со скоростью 500 мл/час; при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коллаптоидном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состоянии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струйно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), возможно в сочетании с 5-10% раствором глюкозы. За 1-е сутки вводится минимум 4 л жидкости. Введение калийсодержащих и гипотонических растворов, а также диуретиков противопоказано.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100 мг гидрокортизона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внутривенно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сразу, затем каждые 6 ч на протяжении 1-х суток. Как альтернатива (на время доставки в клинику)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4 мг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дексаметазона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внутривенно 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(или эквивалентная доза преднизолона 40 мг), с последующим переходом на терапию гидрокортизоном. Параллельно симптоматическая терапия, чаще всего антибиотикотерапия вызвавших декомпенсацию заболевания инфекционных процессов.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 23-и сутки при положительной динамике доза гидрокортизона уменьшается до 150-200 мг/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сут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(при стабильной гемодинамике вводится внутримышечно). Назначение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минералокортикоидов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не требуется до тех пор, пока суточная доза гидрокортизона не будет достигать менее 100 мг/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При умеренно выраженной декомпенсации, а также впервые выявленном заболевании терапию, как правило, начинают с внутримышечного введения 100-150 мг гидрокортизона в сутки (например, утром 75 мг, в обеденное </w:t>
      </w: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время 50 мг и вечером еще 25 мг). Через несколько дней дозу препарата снижают и переходят на поддерживающую заместительную терапию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таблетированными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кортикостероидами. Следует отметить, что выраженный положительный эффект от терапии кортикостероидами имеет важное диагностическое значение. При наличии НН пациенты буквально на 13-и сутки отмечают заметное улучшение самочувствия.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Заместительная терапия хронического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гипокортицизма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23599" w:rsidRPr="000C0593" w:rsidRDefault="00A23599" w:rsidP="00A235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Заместительная терапия 1-НН подразумевает обязательное комбинированное назначение препаратов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минералокортикоидов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Типичной ошибкой является лечение болезни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Аддисона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с помощью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монотерапии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глюкокортикоидами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При 2-НН дефицит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минералокортикоидов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отсутствует и в назначении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минералокортикоидов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(9a-фторкортизола), за исключением тех случаев, когда у пациента имеется выраженная артериальная гипотензия, необходимости нет.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Заместительная терапия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минералокортикоидами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Современная заместительная терапия 1-НН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минералокортикоидами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подразумевает использование только одного препарата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флудрокортизона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Препарат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дезоксикортикостерона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ацетат обладает недостаточной минералокортикоидной активностью, инактивируется при первом прохождении через печень; в настоящее время его не используют, он снят с производства.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Флудрокортизон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назначают 1 раз в сутки в дозе 0,05-0,1 мг (как правило, ежедневно утром). В клинической практике рекомендуется использование следующих критериев адекватности терапии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флудрокортизоном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57F96" w:rsidRPr="000C0593" w:rsidRDefault="00E57F96" w:rsidP="00E57F96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нормальные уровни калия и натрия плазмы; </w:t>
      </w:r>
    </w:p>
    <w:p w:rsidR="00E57F96" w:rsidRPr="000C0593" w:rsidRDefault="00E57F96" w:rsidP="00E57F96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нормальный или умеренно повышенный уровень активности ренина плазмы; </w:t>
      </w:r>
    </w:p>
    <w:p w:rsidR="00E57F96" w:rsidRPr="000C0593" w:rsidRDefault="00E57F96" w:rsidP="00E57F96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нормальное (комфортное) артериальное давление; </w:t>
      </w:r>
    </w:p>
    <w:p w:rsidR="00E57F96" w:rsidRPr="000C0593" w:rsidRDefault="00E57F96" w:rsidP="00E57F96">
      <w:pPr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отсутствие отечности, задержки жидкости (признаки передозировки препарата).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Заместительная терапия </w:t>
      </w:r>
      <w:proofErr w:type="spellStart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глюкокортикоидами</w:t>
      </w:r>
      <w:proofErr w:type="spellEnd"/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В арсенале врача имеется большое число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, которые потенциально могут использоваться для заместительной терапии НН.</w:t>
      </w:r>
      <w:r w:rsidRPr="000C05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E57F96" w:rsidRPr="000C0593" w:rsidRDefault="00E57F96" w:rsidP="00E57F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C05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используемым в мире препаратом для заместительной терапии НН является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таблетированный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гидрокортизон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, после него следует значительно реже использующийся </w:t>
      </w:r>
      <w:r w:rsidRPr="000C059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кортизона ацетат</w:t>
      </w:r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. В России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таблетированный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гидрокортизон до настоящего времени </w:t>
      </w:r>
      <w:proofErr w:type="gramStart"/>
      <w:r w:rsidRPr="000C0593">
        <w:rPr>
          <w:rFonts w:ascii="Times New Roman" w:eastAsia="Calibri" w:hAnsi="Times New Roman" w:cs="Times New Roman"/>
          <w:sz w:val="28"/>
          <w:szCs w:val="28"/>
        </w:rPr>
        <w:t>практически не использовался</w:t>
      </w:r>
      <w:proofErr w:type="gram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и большая часть пациентов получает синтетические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глюкокортикоиды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>, реже кортизона ацетат. Отрицательным свойством синтетических препаратов является их относительно узкий терапевтический диапазон. С особой осторожностью следует назначать препараты длительного действия (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дексаметазон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), при использовании которых высока частота развития передозировки. Препаратом выбора у детей и подростков является именно гидрокортизон, поскольку на фоне терапии синтетическими препаратами в ряде исследований была выявлена задержка роста детей с НН. В этой связи при использовании синтетических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глюкокортикоидов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 можно предполагать большую частоту развития синдрома </w:t>
      </w:r>
      <w:proofErr w:type="spellStart"/>
      <w:r w:rsidRPr="000C0593">
        <w:rPr>
          <w:rFonts w:ascii="Times New Roman" w:eastAsia="Calibri" w:hAnsi="Times New Roman" w:cs="Times New Roman"/>
          <w:sz w:val="28"/>
          <w:szCs w:val="28"/>
        </w:rPr>
        <w:t>остеопении</w:t>
      </w:r>
      <w:proofErr w:type="spellEnd"/>
      <w:r w:rsidRPr="000C0593">
        <w:rPr>
          <w:rFonts w:ascii="Times New Roman" w:eastAsia="Calibri" w:hAnsi="Times New Roman" w:cs="Times New Roman"/>
          <w:sz w:val="28"/>
          <w:szCs w:val="28"/>
        </w:rPr>
        <w:t xml:space="preserve">, чем при терапии гидрокортизоном. </w:t>
      </w:r>
    </w:p>
    <w:p w:rsidR="00A23599" w:rsidRPr="000C0593" w:rsidRDefault="00A23599" w:rsidP="00D255DC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55DC" w:rsidRDefault="00D255DC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Pr="0057293A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EE0DD0" w:rsidRPr="0057293A" w:rsidRDefault="00EE0DD0" w:rsidP="00EE0DD0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t xml:space="preserve">Надпочечниковая </w:t>
      </w:r>
      <w:proofErr w:type="gramStart"/>
      <w:r w:rsidRPr="0057293A">
        <w:rPr>
          <w:rFonts w:ascii="Times New Roman" w:hAnsi="Times New Roman" w:cs="Times New Roman"/>
          <w:sz w:val="28"/>
          <w:szCs w:val="28"/>
        </w:rPr>
        <w:t>недостаточность  (</w:t>
      </w:r>
      <w:proofErr w:type="gramEnd"/>
      <w:r w:rsidRPr="0057293A">
        <w:rPr>
          <w:rFonts w:ascii="Times New Roman" w:hAnsi="Times New Roman" w:cs="Times New Roman"/>
          <w:sz w:val="28"/>
          <w:szCs w:val="28"/>
        </w:rPr>
        <w:t xml:space="preserve"> этиология, патогенез, клиника, диагностика , </w:t>
      </w:r>
      <w:proofErr w:type="spellStart"/>
      <w:r w:rsidRPr="0057293A">
        <w:rPr>
          <w:rFonts w:ascii="Times New Roman" w:hAnsi="Times New Roman" w:cs="Times New Roman"/>
          <w:sz w:val="28"/>
          <w:szCs w:val="28"/>
        </w:rPr>
        <w:t>лечеие</w:t>
      </w:r>
      <w:proofErr w:type="spellEnd"/>
      <w:r w:rsidRPr="0057293A">
        <w:rPr>
          <w:rFonts w:ascii="Times New Roman" w:hAnsi="Times New Roman" w:cs="Times New Roman"/>
          <w:sz w:val="28"/>
          <w:szCs w:val="28"/>
        </w:rPr>
        <w:t>)</w:t>
      </w:r>
      <w:r w:rsidRPr="005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93A">
        <w:rPr>
          <w:rFonts w:ascii="Times New Roman" w:hAnsi="Times New Roman" w:cs="Times New Roman"/>
          <w:sz w:val="28"/>
          <w:szCs w:val="28"/>
        </w:rPr>
        <w:t xml:space="preserve">И.И. Дедов, Е.И. </w:t>
      </w:r>
      <w:proofErr w:type="spellStart"/>
      <w:r w:rsidRPr="0057293A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57293A">
        <w:rPr>
          <w:rFonts w:ascii="Times New Roman" w:hAnsi="Times New Roman" w:cs="Times New Roman"/>
          <w:sz w:val="28"/>
          <w:szCs w:val="28"/>
        </w:rPr>
        <w:t>, В.В. Вакс. Методическое пособие для врачей, Москва 2010г.</w:t>
      </w:r>
    </w:p>
    <w:p w:rsidR="00EE0DD0" w:rsidRPr="0057293A" w:rsidRDefault="00EE0DD0" w:rsidP="00EE0DD0">
      <w:pPr>
        <w:pStyle w:val="a8"/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t> </w:t>
      </w:r>
    </w:p>
    <w:p w:rsidR="00EE0DD0" w:rsidRPr="0057293A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t xml:space="preserve">   2.Эндокринология учебник И.И. Дедов, Г.А Мельниченко, В.В Фадеев Москва, изд. </w:t>
      </w:r>
      <w:proofErr w:type="spellStart"/>
      <w:r w:rsidRPr="0057293A">
        <w:rPr>
          <w:rFonts w:ascii="Times New Roman" w:hAnsi="Times New Roman" w:cs="Times New Roman"/>
          <w:sz w:val="28"/>
          <w:szCs w:val="28"/>
        </w:rPr>
        <w:t>Литтера</w:t>
      </w:r>
      <w:proofErr w:type="spellEnd"/>
      <w:r w:rsidRPr="0057293A">
        <w:rPr>
          <w:rFonts w:ascii="Times New Roman" w:hAnsi="Times New Roman" w:cs="Times New Roman"/>
          <w:sz w:val="28"/>
          <w:szCs w:val="28"/>
        </w:rPr>
        <w:t>. Стр.188-196.</w:t>
      </w:r>
    </w:p>
    <w:p w:rsidR="00EE0DD0" w:rsidRPr="0057293A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t xml:space="preserve">3.Надпочечниковая </w:t>
      </w:r>
      <w:proofErr w:type="gramStart"/>
      <w:r w:rsidRPr="0057293A">
        <w:rPr>
          <w:rFonts w:ascii="Times New Roman" w:hAnsi="Times New Roman" w:cs="Times New Roman"/>
          <w:sz w:val="28"/>
          <w:szCs w:val="28"/>
        </w:rPr>
        <w:t>недостаточность  Фадеев</w:t>
      </w:r>
      <w:proofErr w:type="gramEnd"/>
      <w:r w:rsidRPr="0057293A">
        <w:rPr>
          <w:rFonts w:ascii="Times New Roman" w:hAnsi="Times New Roman" w:cs="Times New Roman"/>
          <w:sz w:val="28"/>
          <w:szCs w:val="28"/>
        </w:rPr>
        <w:t xml:space="preserve"> В.В, Мельниченко  Г.А РМЖ (Русский медицинский журнал) №12  2001г.</w:t>
      </w:r>
    </w:p>
    <w:p w:rsidR="00EE0DD0" w:rsidRPr="0057293A" w:rsidRDefault="00EE0DD0" w:rsidP="00EE0DD0">
      <w:pPr>
        <w:rPr>
          <w:rFonts w:ascii="Times New Roman" w:hAnsi="Times New Roman" w:cs="Times New Roman"/>
          <w:sz w:val="28"/>
          <w:szCs w:val="28"/>
        </w:rPr>
      </w:pPr>
      <w:r w:rsidRPr="0057293A">
        <w:rPr>
          <w:rFonts w:ascii="Times New Roman" w:hAnsi="Times New Roman" w:cs="Times New Roman"/>
          <w:sz w:val="28"/>
          <w:szCs w:val="28"/>
        </w:rPr>
        <w:t xml:space="preserve">4. Первичная надпочечниковая недостаточность </w:t>
      </w:r>
      <w:proofErr w:type="spellStart"/>
      <w:r w:rsidRPr="0057293A">
        <w:rPr>
          <w:rFonts w:ascii="Times New Roman" w:hAnsi="Times New Roman" w:cs="Times New Roman"/>
          <w:sz w:val="28"/>
          <w:szCs w:val="28"/>
        </w:rPr>
        <w:t>Панькив</w:t>
      </w:r>
      <w:proofErr w:type="spellEnd"/>
      <w:r w:rsidRPr="0057293A">
        <w:rPr>
          <w:rFonts w:ascii="Times New Roman" w:hAnsi="Times New Roman" w:cs="Times New Roman"/>
          <w:sz w:val="28"/>
          <w:szCs w:val="28"/>
        </w:rPr>
        <w:t xml:space="preserve"> В.И. Международный эндокринологический </w:t>
      </w:r>
      <w:proofErr w:type="gramStart"/>
      <w:r w:rsidRPr="0057293A">
        <w:rPr>
          <w:rFonts w:ascii="Times New Roman" w:hAnsi="Times New Roman" w:cs="Times New Roman"/>
          <w:sz w:val="28"/>
          <w:szCs w:val="28"/>
        </w:rPr>
        <w:t>журнал  №</w:t>
      </w:r>
      <w:proofErr w:type="gramEnd"/>
      <w:r w:rsidRPr="0057293A">
        <w:rPr>
          <w:rFonts w:ascii="Times New Roman" w:hAnsi="Times New Roman" w:cs="Times New Roman"/>
          <w:sz w:val="28"/>
          <w:szCs w:val="28"/>
        </w:rPr>
        <w:t>3 2013г.</w:t>
      </w:r>
    </w:p>
    <w:p w:rsidR="00EE0DD0" w:rsidRPr="0057293A" w:rsidRDefault="00EE0DD0" w:rsidP="00EE0DD0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p w:rsidR="00EE0DD0" w:rsidRPr="000C0593" w:rsidRDefault="00EE0DD0" w:rsidP="00886DA1">
      <w:pPr>
        <w:rPr>
          <w:rFonts w:ascii="Times New Roman" w:hAnsi="Times New Roman" w:cs="Times New Roman"/>
          <w:sz w:val="28"/>
          <w:szCs w:val="28"/>
        </w:rPr>
      </w:pPr>
    </w:p>
    <w:sectPr w:rsidR="00EE0DD0" w:rsidRPr="000C0593" w:rsidSect="00EE0DD0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EE" w:rsidRDefault="00644FEE" w:rsidP="00CC5640">
      <w:pPr>
        <w:spacing w:after="0" w:line="240" w:lineRule="auto"/>
      </w:pPr>
      <w:r>
        <w:separator/>
      </w:r>
    </w:p>
  </w:endnote>
  <w:endnote w:type="continuationSeparator" w:id="0">
    <w:p w:rsidR="00644FEE" w:rsidRDefault="00644FEE" w:rsidP="00C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073592"/>
      <w:docPartObj>
        <w:docPartGallery w:val="Page Numbers (Bottom of Page)"/>
        <w:docPartUnique/>
      </w:docPartObj>
    </w:sdtPr>
    <w:sdtEndPr/>
    <w:sdtContent>
      <w:p w:rsidR="00CC5640" w:rsidRDefault="00CC56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D0">
          <w:rPr>
            <w:noProof/>
          </w:rPr>
          <w:t>15</w:t>
        </w:r>
        <w:r>
          <w:fldChar w:fldCharType="end"/>
        </w:r>
      </w:p>
    </w:sdtContent>
  </w:sdt>
  <w:p w:rsidR="00CC5640" w:rsidRDefault="00CC5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EE" w:rsidRDefault="00644FEE" w:rsidP="00CC5640">
      <w:pPr>
        <w:spacing w:after="0" w:line="240" w:lineRule="auto"/>
      </w:pPr>
      <w:r>
        <w:separator/>
      </w:r>
    </w:p>
  </w:footnote>
  <w:footnote w:type="continuationSeparator" w:id="0">
    <w:p w:rsidR="00644FEE" w:rsidRDefault="00644FEE" w:rsidP="00CC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6DF3"/>
    <w:multiLevelType w:val="hybridMultilevel"/>
    <w:tmpl w:val="17821F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DE72E85"/>
    <w:multiLevelType w:val="multilevel"/>
    <w:tmpl w:val="E3FA86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" w:hanging="360"/>
      </w:pPr>
    </w:lvl>
    <w:lvl w:ilvl="2">
      <w:start w:val="1"/>
      <w:numFmt w:val="decimal"/>
      <w:lvlText w:val="%1.%2.%3."/>
      <w:lvlJc w:val="left"/>
      <w:pPr>
        <w:ind w:left="1050" w:hanging="720"/>
      </w:pPr>
    </w:lvl>
    <w:lvl w:ilvl="3">
      <w:start w:val="1"/>
      <w:numFmt w:val="decimal"/>
      <w:lvlText w:val="%1.%2.%3.%4."/>
      <w:lvlJc w:val="left"/>
      <w:pPr>
        <w:ind w:left="1215" w:hanging="72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1905" w:hanging="1080"/>
      </w:pPr>
    </w:lvl>
    <w:lvl w:ilvl="6">
      <w:start w:val="1"/>
      <w:numFmt w:val="decimal"/>
      <w:lvlText w:val="%1.%2.%3.%4.%5.%6.%7."/>
      <w:lvlJc w:val="left"/>
      <w:pPr>
        <w:ind w:left="2430" w:hanging="1440"/>
      </w:pPr>
    </w:lvl>
    <w:lvl w:ilvl="7">
      <w:start w:val="1"/>
      <w:numFmt w:val="decimal"/>
      <w:lvlText w:val="%1.%2.%3.%4.%5.%6.%7.%8."/>
      <w:lvlJc w:val="left"/>
      <w:pPr>
        <w:ind w:left="2595" w:hanging="1440"/>
      </w:pPr>
    </w:lvl>
    <w:lvl w:ilvl="8">
      <w:start w:val="1"/>
      <w:numFmt w:val="decimal"/>
      <w:lvlText w:val="%1.%2.%3.%4.%5.%6.%7.%8.%9."/>
      <w:lvlJc w:val="left"/>
      <w:pPr>
        <w:ind w:left="3120" w:hanging="1800"/>
      </w:pPr>
    </w:lvl>
  </w:abstractNum>
  <w:abstractNum w:abstractNumId="2" w15:restartNumberingAfterBreak="0">
    <w:nsid w:val="2EC50753"/>
    <w:multiLevelType w:val="hybridMultilevel"/>
    <w:tmpl w:val="65A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6574"/>
    <w:multiLevelType w:val="multilevel"/>
    <w:tmpl w:val="CF9C3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4200" w:hanging="108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4" w15:restartNumberingAfterBreak="0">
    <w:nsid w:val="799515DC"/>
    <w:multiLevelType w:val="multilevel"/>
    <w:tmpl w:val="A46A0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A1"/>
    <w:rsid w:val="000C0593"/>
    <w:rsid w:val="0055046C"/>
    <w:rsid w:val="00644FEE"/>
    <w:rsid w:val="006B7E2A"/>
    <w:rsid w:val="00886DA1"/>
    <w:rsid w:val="008E2C06"/>
    <w:rsid w:val="00A23599"/>
    <w:rsid w:val="00A262AF"/>
    <w:rsid w:val="00B51408"/>
    <w:rsid w:val="00CC5640"/>
    <w:rsid w:val="00D255DC"/>
    <w:rsid w:val="00E57F96"/>
    <w:rsid w:val="00E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EABA"/>
  <w15:chartTrackingRefBased/>
  <w15:docId w15:val="{6F39607F-FD38-418D-A52C-D9EFC6A2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640"/>
  </w:style>
  <w:style w:type="paragraph" w:styleId="a5">
    <w:name w:val="footer"/>
    <w:basedOn w:val="a"/>
    <w:link w:val="a6"/>
    <w:uiPriority w:val="99"/>
    <w:unhideWhenUsed/>
    <w:rsid w:val="00C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640"/>
  </w:style>
  <w:style w:type="character" w:styleId="a7">
    <w:name w:val="Hyperlink"/>
    <w:basedOn w:val="a0"/>
    <w:uiPriority w:val="99"/>
    <w:semiHidden/>
    <w:unhideWhenUsed/>
    <w:rsid w:val="00EE0D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E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medlinks.ru/images/art/endo/Image23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http://www.medlinks.ru/images/art/endo/Image26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image" Target="http://www.medlinks.ru/images/art/endo/Image24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medlinks.ru/images/art/endo/Image2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4E99-ED24-4269-86B7-380819CD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Optimal</dc:creator>
  <cp:keywords/>
  <dc:description/>
  <cp:lastModifiedBy>Optimal</cp:lastModifiedBy>
  <cp:revision>6</cp:revision>
  <dcterms:created xsi:type="dcterms:W3CDTF">2018-04-22T07:24:00Z</dcterms:created>
  <dcterms:modified xsi:type="dcterms:W3CDTF">2018-05-03T13:23:00Z</dcterms:modified>
</cp:coreProperties>
</file>