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0" w:name="i15206"/>
      <w:r w:rsidRPr="00CF48B7">
        <w:rPr>
          <w:rFonts w:ascii="Helvetica" w:eastAsia="Times New Roman" w:hAnsi="Helvetica" w:cs="Helvetica"/>
          <w:color w:val="2A62BC"/>
          <w:kern w:val="36"/>
          <w:sz w:val="28"/>
          <w:szCs w:val="28"/>
          <w:u w:val="single"/>
          <w:lang w:eastAsia="ru-RU"/>
        </w:rPr>
        <w:t>Постановление Главного государственного санитарного врача РФ</w:t>
      </w:r>
      <w:r w:rsidRPr="00CF48B7">
        <w:rPr>
          <w:rFonts w:ascii="Helvetica" w:eastAsia="Times New Roman" w:hAnsi="Helvetica" w:cs="Helvetica"/>
          <w:color w:val="2A62BC"/>
          <w:kern w:val="36"/>
          <w:sz w:val="28"/>
          <w:szCs w:val="28"/>
          <w:u w:val="single"/>
          <w:lang w:eastAsia="ru-RU"/>
        </w:rPr>
        <w:br/>
        <w:t>от 19 апреля 2010 г. № 25</w:t>
      </w:r>
      <w:bookmarkEnd w:id="0"/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" w:name="i27366"/>
      <w:r w:rsidRPr="00CF48B7">
        <w:rPr>
          <w:rFonts w:ascii="Helvetica" w:eastAsia="Times New Roman" w:hAnsi="Helvetica" w:cs="Helvetica"/>
          <w:color w:val="2A62BC"/>
          <w:kern w:val="36"/>
          <w:sz w:val="28"/>
          <w:szCs w:val="28"/>
          <w:u w:val="single"/>
          <w:lang w:eastAsia="ru-RU"/>
        </w:rPr>
        <w:t>Об утверждении СанПиН 2.4.4.2599-10</w:t>
      </w:r>
      <w:bookmarkEnd w:id="1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 соответствии с Федеральным законом от 30.03.1999 </w:t>
      </w:r>
      <w:hyperlink r:id="rId5" w:tooltip="О санитарно-эпидемиологическом благополучии населения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№ 52-ФЗ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"О санитарно-эпидемиологическом благополучии населения"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2009, № 1, ст. 17) и постановлением Правительства Российской Федерации от 24.07.2000 </w:t>
      </w:r>
      <w:hyperlink r:id="rId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№ 554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2004, № 47, ст. 4666; 2005, № 39, ст. 3953) постановляю: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 Ввести в действие указанные санитарные правила с момента официального опубликования.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24"/>
          <w:szCs w:val="24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Г.Г. Онищенко</w:t>
      </w:r>
    </w:p>
    <w:p w:rsidR="00CF48B7" w:rsidRPr="00CF48B7" w:rsidRDefault="00CF48B7" w:rsidP="00CF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Зарегистрировано в Минюсте РФ 26 мая 2010 г.</w:t>
      </w:r>
    </w:p>
    <w:p w:rsidR="00CF48B7" w:rsidRPr="00CF48B7" w:rsidRDefault="00CF48B7" w:rsidP="00CF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Регистрационный № 17378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" w:name="i3770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Санитарно-эпидемиологические правила и нормативы</w:t>
      </w:r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br/>
        <w:t>СанПиН 2.4.4.2599-10</w:t>
      </w:r>
      <w:bookmarkEnd w:id="2"/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" w:name="i42305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bookmarkEnd w:id="3"/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" w:name="i55918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Содержание</w:t>
      </w:r>
      <w:bookmarkEnd w:id="4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F48B7" w:rsidRPr="00CF48B7" w:rsidTr="00CF48B7">
        <w:trPr>
          <w:jc w:val="center"/>
        </w:trPr>
        <w:tc>
          <w:tcPr>
            <w:tcW w:w="9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7" w:anchor="i61941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8" w:anchor="i74005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II. Гигиенические требования к режиму дня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9" w:anchor="i8383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III. Гигиенические требования к организации физического воспитания детей и оздоровительных мероприятий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0" w:anchor="i9630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IV. Требования к территории оздоровительного учреждения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1" w:anchor="i10391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V. Требования к зданию, помещениям и оборудованию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2" w:anchor="i114177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VI. Требования к воздушно-тепловому режиму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3" w:anchor="i128063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VII. Требования к естественному и искусственному освещению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4" w:anchor="i132155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VIII. Требования к водоснабжению, канализации и организации питьевого режима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5" w:anchor="i145077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IX. Требования к организации здорового питания и формированию примерного меню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6" w:anchor="i158514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X. Требования к условиям изготовления кулинарной продукции, витаминизация готовых блюд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7" w:anchor="i164242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XI. Требования к санитарному содержанию территории, помещений и мытью посуды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8" w:anchor="i177688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XII. Требования к соблюдению правил личной гигиены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19" w:anchor="i18484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XIII. Требования к соблюдению санитарных правил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20" w:anchor="i197666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1" w:anchor="i21366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Документы, необходимые для открытия детского оздоровительного учреждения на время каникул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22" w:anchor="i227599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3" w:anchor="i247158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О порядке прохождения обязательных медицинских обследований вновь поступающих лиц на работу в оздоровительные учреждения*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24" w:anchor="i25654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5" w:anchor="i275712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Суточная потребность в пищевых веществах и энергии детей оздоровительных учреждений с учетом их возраста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26" w:anchor="i314576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7" w:anchor="i333412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 xml:space="preserve">Рекомендуемая форма составления примерного меню и пищевой </w:t>
              </w:r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lastRenderedPageBreak/>
                <w:t>ценности приготовляемых блюд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28" w:anchor="i346394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5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9" w:anchor="i364499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Рекомендуемая масса порций блюд (в граммах) для детей различного возраста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30" w:anchor="i375313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6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1" w:anchor="i391752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Расчеты для проведения С-витаминизации третьих блюд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32" w:anchor="i405466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7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3" w:anchor="i425575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Таблица замены продуктов по белкам и углеводам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34" w:anchor="i431866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8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5" w:anchor="i454609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Перечень продуктов и блюд, которые не допускаются для реализации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36" w:anchor="i463942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9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7" w:anchor="i48600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Документация пищеблока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38" w:anchor="i565326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10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9" w:anchor="i581504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Рекомендации по отбору суточной пробы</w:t>
              </w:r>
            </w:hyperlink>
          </w:p>
          <w:p w:rsidR="00CF48B7" w:rsidRPr="00CF48B7" w:rsidRDefault="00CF48B7" w:rsidP="00CF48B7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40" w:anchor="i593821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Приложение 11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1" w:anchor="i611685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        </w:r>
            </w:hyperlink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" w:name="i61941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lastRenderedPageBreak/>
        <w:t>I. Общие положения и область применения</w:t>
      </w:r>
      <w:bookmarkEnd w:id="5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1.4. Учредителю оздоровительного учреждения с дневным пребыванием детей необходимо в срок не менее,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позднее, чем за 30 дней до начала работы оздоровительного учреждения предоставить документы в соответствии с </w:t>
      </w:r>
      <w:hyperlink r:id="rId42" w:anchor="i208777" w:tooltip="Документы, необходимые для открытия детского оздоровительного учреждения на время каникул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Приложением 1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в установленном порядке (</w:t>
      </w:r>
      <w:hyperlink r:id="rId43" w:anchor="i237291" w:tooltip="О порядке прохождения обязательных медицинских обследований вновь поступающих лиц на работу в оздоровительные учреждения*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 2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6" w:name="i74005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II. Гигиенические требования к режиму дня</w:t>
      </w:r>
      <w:bookmarkEnd w:id="6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 8.30. до 14.30 часов, с организацией 2-х разового питания (завтрак и обед);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CF48B7" w:rsidRPr="00CF48B7" w:rsidRDefault="00CF48B7" w:rsidP="00CF48B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 оздоровительных учреждениях рекомендуется следующий режим дня: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146"/>
        <w:gridCol w:w="3049"/>
      </w:tblGrid>
      <w:tr w:rsidR="00CF48B7" w:rsidRPr="00CF48B7" w:rsidTr="00CF48B7">
        <w:trPr>
          <w:trHeight w:val="20"/>
          <w:jc w:val="center"/>
        </w:trPr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режима дня</w:t>
            </w:r>
          </w:p>
        </w:tc>
        <w:tc>
          <w:tcPr>
            <w:tcW w:w="3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Пребывание детей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8.30 до 14.30 часов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8.30 до 18 часов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зарядка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линейка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9.00-9.15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9.00-9.15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9.15-10.00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9.15-10.00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плану отрядов, общественно полезный </w:t>
            </w:r>
            <w:hyperlink r:id="rId44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0"/>
                  <w:szCs w:val="20"/>
                  <w:u w:val="single"/>
                  <w:lang w:eastAsia="ru-RU"/>
                </w:rPr>
                <w:t>труд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работа кружков и секций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Оздоровительные процедуры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время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14.30-15.30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16.00-16.30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16.30-18.00.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2.4. Организация и режим занятий с использованием компьютерной техники проводится в помещениях, оборудованных в соответствии с </w:t>
      </w:r>
      <w:hyperlink r:id="rId45" w:tooltip="Гигиенические требования к видеодисплейным терминалам, персональным электронно-вычислительным машинам и организации работы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,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предъявляющие гигиенические требования к персональным электронно-вычислительным машинам и организации работы.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7" w:name="i8383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  <w:bookmarkEnd w:id="7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3.2. Физкультурно-оздоровительная работа предусматривает следующие мероприятия: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утренняя гимнастика;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занятия физкультурой в кружках, секциях, обучение плаванию;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прогулки, экскурсии и походы с играми на местности;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спортивные соревнования и праздники;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занятия на тренажерах.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Не допускается купание сразу после еды и физических упражнений с большой нагрузкой.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 </w:t>
      </w:r>
      <w:hyperlink r:id="rId46" w:tooltip="Гигиенические требования к охране поверхностных вод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санитарным правилам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 предъявляющим гигиенические требования к охране поверхностных вод и (или) предъявляющим </w:t>
      </w:r>
      <w:hyperlink r:id="rId47" w:tooltip="2.1.5.2582-10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санитарно-эпидемиологические требования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 к охране прибрежных вод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При использовании плавательных бассейнов для детей должны соблюдаться </w:t>
      </w:r>
      <w:hyperlink r:id="rId48" w:tooltip="Гигиенические требования к устройству, эксплуатации и качеству воды плавательных бассейнов. Санитарные правила и нормы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санитарно-эпидемиологические требования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 предъявляемые к устройству, эксплуатации и качеству воды плавательных бассейнов.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18°С, для детей специальной группы - не ниже 22°С. Продолжительность первых процедур - 15-20 минут.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- 18-25°С.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Дети специальной группы принимают солнечные ванны по рекомендации врача.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8" w:name="i9630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IV. Требования к территории оздоровительного учреждения</w:t>
      </w:r>
      <w:bookmarkEnd w:id="8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9" w:name="i10391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V. Требования к зданию, помещениям и оборудованию</w:t>
      </w:r>
      <w:bookmarkEnd w:id="9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5.2. Набор помещений оздоровительного учреждения должен включать: игровые комнаты, помещения для занятий кружков, спальные помещения, помещения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использованием имеющихся душевых или специально приспособленных помещений (площадок).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5.3. Спальные помещения оборудуются из расчета не менее 3 кв. м на 1 человека, но не более 15 человек в 1 помещении.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Спальные помещения для мальчиков и девочек устраиваются раздельными, независимо от возраста детей.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 </w:t>
      </w:r>
      <w:hyperlink r:id="rId49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санитарно-эпидемиологическими требованиями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5.12. Уровни эквивалентного шума в помещениях оздоровительного учреждения не должны превышать 40 дБА.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0" w:name="i114177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VI. Требования к воздушно-тепловому режиму</w:t>
      </w:r>
      <w:bookmarkEnd w:id="10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6.1. Температура воздуха в помещениях оздоровительного учреждения не должна быть ниже 18°С, относительная влажность воздуха должна быть в пределах 40-60%.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Проветривание помещений проводится в отсутствии детей.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1" w:name="i128063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VII. Требования к естественному и искусственному освещению</w:t>
      </w:r>
      <w:bookmarkEnd w:id="11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7.1. Все основные помещения оздоровительного учреждения должны иметь естественное освещение.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 </w:t>
      </w:r>
      <w:hyperlink r:id="rId50" w:tooltip="2.2.1/2.1.1.1278-03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 предъявляющие требования к естественному, искусственному, совмещенному освещению жилых и общественных зданий.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2" w:name="i132155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VIII. Требования к водоснабжению, канализации и организации питьевого режима</w:t>
      </w:r>
      <w:bookmarkEnd w:id="12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8.3. В неканализованных районах оздоровительные учреждения оборудуются внутренней канализацией при условии устройства локальных очистных сооружений.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Допускается оборудование учреждений люфтклозетами (с организацией вывоза стоков), надворными туалетами.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8.4. Оздоровительные учреждения обеспечиваются водой, отвечающей </w:t>
      </w:r>
      <w:hyperlink r:id="rId51" w:tooltip="Питьевая вода. Гигиенические требования к качеству воды, расфасованной в емкости. Контроль качеств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требованиям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безопасности на питьевую воду.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3" w:name="i145077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IX. Требования к организации здорового питания и формированию примерного меню</w:t>
      </w:r>
      <w:bookmarkEnd w:id="13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 дневное меню для летних каникул).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потребностях в пищевых веществах (</w:t>
      </w:r>
      <w:hyperlink r:id="rId52" w:anchor="i288862" w:tooltip="Суточная потребность в пищевых веществах и энергии детей оздоровительных учреждений с учетом их возраст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таблица 1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приложения 3) и рекомендуемого набора продуктов, в зависимости от возраста детей (</w:t>
      </w:r>
      <w:hyperlink r:id="rId53" w:anchor="i308146" w:tooltip="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таблица 2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приложения 3) настоящих санитарных правил.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hyperlink r:id="rId54" w:anchor="i327254" w:tooltip="Рекомендуемая форма составления примерного меню и пищевой ценности приготовляемых блюд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приложения 4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правил), а также меню-раскладка, содержащих количественные данные о рецептуре блюд.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9.5. Примерное меню разрабатывается юридическим лицом, обеспечивающим питание в оздоровительном учреждении и согласовывается руководителем оздоровительного учреждения.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9.6. В примерном меню должны быть соблюдены требования настоящих санитарных правил по массе порций блюд (</w:t>
      </w:r>
      <w:hyperlink r:id="rId55" w:anchor="i354503" w:tooltip="Рекомендуемая масса порций блюд (в граммах) для детей различного возраст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 5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правил), их пищевой и энергетической ценности, суточной потребности в витаминах (</w:t>
      </w:r>
      <w:hyperlink r:id="rId56" w:anchor="i265161" w:tooltip="Суточная потребность в пищевых веществах и энергии детей оздоровительных учреждений с учетом их возраст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приложения 3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и </w:t>
      </w:r>
      <w:hyperlink r:id="rId57" w:anchor="i382371" w:tooltip="Расчеты для проведения С-витаминизации третьих блюд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6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должны соответствовать их наименованиям, указанным в использованных сборниках рецептур.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9.10. В примерном меню не допускается повторение одних и тех же блюд или кулинарных изделий в один и тот же день или последующие 2-3 дня.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Допускается в течение дня отступления от норм калорийности по отдельным приемам пищи в пределах ±5%,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r:id="rId58" w:anchor="i417253" w:tooltip="Таблица замены продуктов по белкам и углеводам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 7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настоящих санитарных правил), что должно быть подтверждено необходимыми расчетами.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 </w:t>
      </w:r>
      <w:hyperlink r:id="rId59" w:anchor="i444635" w:tooltip="Перечень продуктов и блюд, которые не допускаются для реализации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приложении 8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9.20. Прием пищевых продуктов и продовольственного сырья в организации общественного питания обслуживающие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9.24.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hyperlink r:id="rId60" w:anchor="i472341" w:tooltip="Документация пищеблок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 9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правил), а также отбираться суточные пробы от каждой партии приготовленных блюд.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Отбор суточных проб проводит медицинский работник или, под его руководством, повар в соответствии с рекомендациями </w:t>
      </w:r>
      <w:hyperlink r:id="rId61" w:anchor="i577590" w:tooltip="Рекомендации по отбору суточной пробы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приложения 10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4" w:name="i158514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X. Требования к условиям изготовления кулинарной продукции, витаминизация готовых блюд</w:t>
      </w:r>
      <w:bookmarkEnd w:id="14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 </w:t>
      </w:r>
      <w:hyperlink r:id="rId62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</w:t>
      </w:r>
      <w:hyperlink r:id="rId63" w:anchor="i382371" w:tooltip="Расчеты для проведения С-витаминизации третьих блюд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 6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).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5" w:name="i164242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XI. Требования к санитарному содержанию территории, помещений и мытью посуды</w:t>
      </w:r>
      <w:bookmarkEnd w:id="15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Ветошь в конце работы замачивают в воде при температуре не ниже 45°С, с добавлением моющих средств, дезинфицируют или кипятят, ополаскивают, просушивают и хранят в таре для чистой ветоши.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 </w:t>
      </w:r>
      <w:hyperlink r:id="rId64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санитарно-эпидемиологическим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 </w:t>
      </w:r>
      <w:hyperlink r:id="rId65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11.14. Хранение уборочного инвентаря в производственных помещениях столовой не допускается.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 </w:t>
      </w:r>
      <w:hyperlink r:id="rId66" w:tooltip="Правила сбора, хранения и удаления отходов лечебно-профилактических учреждений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 </w:t>
      </w:r>
      <w:hyperlink r:id="rId67" w:tooltip="Плавательные бассейны. Гигиенические требования к устройству, эксплуатации и качеству воды. Контроль качеств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санитарно-эпидемиологическими требованиями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для плавательных бассейнов.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11.18. Спортивный инвентарь подлежит обработке моющими средствами ежедневно.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 целях профилактике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6" w:name="i177688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XII. Требования к соблюдению правил личной гигиены</w:t>
      </w:r>
      <w:bookmarkEnd w:id="16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учреждений, необходимо выполнение следующих мероприятий: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а) в столовой должны быть созданы условия для соблюдения персоналом правил личной гигиены;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12.2. Работники столовой обязаны: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а) приходить на работу в чистой одежде и обуви;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б) оставлять верхнюю одежду, головной убор, личные вещи в бытовой комнате;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г) коротко стричь ногти;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з) не выходить на улицу и не посещать туалет в специальной санитарной одежде;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и) не принимать пищу и не курить на рабочем месте.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7" w:name="i18484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XIII. Требования к соблюдению санитарных правил</w:t>
      </w:r>
      <w:bookmarkEnd w:id="17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а) наличие в учреждении настоящих санитарных правил и </w:t>
      </w:r>
      <w:hyperlink r:id="rId68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санитарных правил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б) выполнение требований санитарных правил всеми сотрудниками учреждения;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в) необходимые условия для соблюдения санитарных правил;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е) организацию мероприятий по дезинфекции, дезинсекции и дератизации;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</w:t>
      </w: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периодичностью проведения лабораторных и инструментальных исследований (</w:t>
      </w:r>
      <w:hyperlink r:id="rId69" w:anchor="i604017" w:tooltip="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" w:history="1">
        <w:r w:rsidRPr="00CF48B7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приложение 11</w:t>
        </w:r>
      </w:hyperlink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настоящих санитарных правил).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8" w:name="i197666"/>
      <w:bookmarkStart w:id="19" w:name="i208777"/>
      <w:bookmarkEnd w:id="18"/>
      <w:bookmarkEnd w:id="19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1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0" w:name="i21366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Документы, необходимые для открытия детского оздоровительного учреждения на время каникул</w:t>
      </w:r>
      <w:bookmarkEnd w:id="20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утвержденное штатное расписание и списочный состав сотрудников;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примерное меню;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режим дня;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списки поставщиков пищевых продуктов, бутилированной (расфасованной в емкости) питьевой воды;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1" w:name="i227599"/>
      <w:bookmarkStart w:id="22" w:name="i237291"/>
      <w:bookmarkEnd w:id="21"/>
      <w:bookmarkEnd w:id="22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2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3" w:name="i247158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О порядке прохождения обязательных медицинских обследований вновь поступающих лиц на работу в оздоровительные учреждения*</w:t>
      </w:r>
      <w:bookmarkEnd w:id="2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95"/>
      </w:tblGrid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производимых работ</w:t>
            </w:r>
          </w:p>
        </w:tc>
        <w:tc>
          <w:tcPr>
            <w:tcW w:w="3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 - 1 раз в год.</w:t>
            </w:r>
          </w:p>
          <w:p w:rsidR="00CF48B7" w:rsidRPr="00CF48B7" w:rsidRDefault="00CF48B7" w:rsidP="00CF48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 - при поступлении на работу.</w:t>
            </w:r>
          </w:p>
          <w:p w:rsidR="00CF48B7" w:rsidRPr="00CF48B7" w:rsidRDefault="00CF48B7" w:rsidP="00CF48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Крупнокадровая флюорография - 1 раз в год.</w:t>
            </w:r>
          </w:p>
          <w:p w:rsidR="00CF48B7" w:rsidRPr="00CF48B7" w:rsidRDefault="00CF48B7" w:rsidP="00CF48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на возбудителей кишечных инфекций и серологическое обследование на брюшной тиф - при поступлении и по эпидпоказаниям.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4" w:name="i256540"/>
      <w:bookmarkStart w:id="25" w:name="i265161"/>
      <w:bookmarkEnd w:id="24"/>
      <w:bookmarkEnd w:id="25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3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1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6" w:name="i275712"/>
      <w:bookmarkStart w:id="27" w:name="i288862"/>
      <w:bookmarkEnd w:id="26"/>
      <w:bookmarkEnd w:id="27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Суточная потребность в пищевых веществах и энергии детей оздоровительных учреждений с учетом их возраста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2859"/>
        <w:gridCol w:w="3049"/>
      </w:tblGrid>
      <w:tr w:rsidR="00CF48B7" w:rsidRPr="00CF48B7" w:rsidTr="00CF48B7">
        <w:trPr>
          <w:trHeight w:val="20"/>
          <w:jc w:val="center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пищевых веществ</w:t>
            </w:r>
          </w:p>
        </w:tc>
        <w:tc>
          <w:tcPr>
            <w:tcW w:w="3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(допускается 335 за счет фруктов)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(допускается 383 за счет фруктов)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 калорийность (ккал)*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(2359 при увеличении углеводов)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</w:t>
            </w:r>
          </w:p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(2720 при увеличении углеводов)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8" w:name="i292669"/>
      <w:bookmarkStart w:id="29" w:name="i308146"/>
      <w:bookmarkEnd w:id="28"/>
      <w:bookmarkEnd w:id="29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430"/>
        <w:gridCol w:w="1430"/>
        <w:gridCol w:w="1430"/>
        <w:gridCol w:w="1525"/>
      </w:tblGrid>
      <w:tr w:rsidR="00CF48B7" w:rsidRPr="00CF48B7" w:rsidTr="00CF48B7">
        <w:trPr>
          <w:trHeight w:val="20"/>
          <w:jc w:val="center"/>
        </w:trPr>
        <w:tc>
          <w:tcPr>
            <w:tcW w:w="1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0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г, мл, нетто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лети старше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лети старше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свежие, зелень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сухие, в т.ч. шиповник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жалованное (мясо на кости) 1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(95)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(105)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Цыплята 1 категории потрошенные (куры 1 кат. п/п)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(51)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(76)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Рыба-филе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(массовая доля жира 2,5%, 3,2%)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(массовая доля жира не более 9%)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(массовая доля жира не более 15%)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диетическое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 w:rsidRPr="00CF4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9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ru-RU"/>
        </w:rPr>
        <w:t>Примечание: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 Масса брутто приводится для нормы отходов 25%.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CF48B7" w:rsidRPr="00CF48B7" w:rsidRDefault="00CF48B7" w:rsidP="00CF48B7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lastRenderedPageBreak/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0" w:name="i314576"/>
      <w:bookmarkStart w:id="31" w:name="i327254"/>
      <w:bookmarkEnd w:id="30"/>
      <w:bookmarkEnd w:id="31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4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2" w:name="i333412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Рекомендуемая форма составления примерного меню и пищевой ценности приготовляемых блюд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890"/>
        <w:gridCol w:w="1155"/>
        <w:gridCol w:w="866"/>
        <w:gridCol w:w="1059"/>
        <w:gridCol w:w="962"/>
        <w:gridCol w:w="1732"/>
      </w:tblGrid>
      <w:tr w:rsidR="00CF48B7" w:rsidRPr="00CF48B7" w:rsidTr="00CF48B7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1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5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1 - завтрак: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1 - обед: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1 - полдник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2 - завтрак: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2 - обед: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2 - полдник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СМЕНУ ВСЕГО: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СМЕНУ соотношение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3" w:name="i346394"/>
      <w:bookmarkStart w:id="34" w:name="i354503"/>
      <w:bookmarkEnd w:id="33"/>
      <w:bookmarkEnd w:id="34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5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5" w:name="i364499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Рекомендуемая масса порций блюд (в граммах) для детей различного возраста</w:t>
      </w:r>
      <w:bookmarkEnd w:id="3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2193"/>
        <w:gridCol w:w="2287"/>
      </w:tblGrid>
      <w:tr w:rsidR="00CF48B7" w:rsidRPr="00CF48B7" w:rsidTr="00CF48B7">
        <w:trPr>
          <w:trHeight w:val="20"/>
          <w:jc w:val="center"/>
        </w:trPr>
        <w:tc>
          <w:tcPr>
            <w:tcW w:w="2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блюд</w:t>
            </w:r>
          </w:p>
        </w:tc>
        <w:tc>
          <w:tcPr>
            <w:tcW w:w="23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порций в граммах для обучающихся двух возрастных групп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200-250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100-150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250-300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Мясное, рыбное блюдо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100-120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180-230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6" w:name="i375313"/>
      <w:bookmarkStart w:id="37" w:name="i382371"/>
      <w:bookmarkEnd w:id="36"/>
      <w:bookmarkEnd w:id="37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6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8" w:name="i391752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Расчеты для проведения С-витаминизации третьих блюд</w:t>
      </w:r>
      <w:bookmarkEnd w:id="3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2955"/>
        <w:gridCol w:w="3049"/>
      </w:tblGrid>
      <w:tr w:rsidR="00CF48B7" w:rsidRPr="00CF48B7" w:rsidTr="00CF48B7">
        <w:trPr>
          <w:trHeight w:val="20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31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витамина С мг/ сутки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летние каникулы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весенние, осенние и зимние каникулы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до 10 лет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11 лет и старше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9" w:name="i405466"/>
      <w:bookmarkStart w:id="40" w:name="i417253"/>
      <w:bookmarkEnd w:id="39"/>
      <w:bookmarkEnd w:id="40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7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1" w:name="i425575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Таблица замены продуктов по белкам и углеводам</w:t>
      </w:r>
      <w:bookmarkEnd w:id="4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15"/>
        <w:gridCol w:w="1132"/>
        <w:gridCol w:w="1132"/>
        <w:gridCol w:w="1227"/>
        <w:gridCol w:w="1698"/>
      </w:tblGrid>
      <w:tr w:rsidR="00CF48B7" w:rsidRPr="00CF48B7" w:rsidTr="00CF48B7">
        <w:trPr>
          <w:trHeight w:val="20"/>
          <w:jc w:val="center"/>
        </w:trPr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Чернослив (без косточек)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+6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+4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-9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+13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-11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-6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-8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-20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-13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творога (по белку)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-3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+9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-5 г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2" w:name="i431866"/>
      <w:bookmarkStart w:id="43" w:name="i444635"/>
      <w:bookmarkEnd w:id="42"/>
      <w:bookmarkEnd w:id="43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8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4" w:name="i454609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Перечень продуктов и блюд, которые не допускаются для реализации</w:t>
      </w:r>
      <w:bookmarkEnd w:id="44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2. Остатки пищи от предыдущего приема и пища, приготовленная накануне.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 Плодоовощная продукция с признаками порчи.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 Субпродукты, кроме печени, языка, сердца.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6. Непотрошеная птица.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7. Мясо диких животных.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8. Яйца и мясо водоплавающих птиц.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10. Консервы с нарушением герметичности банок, бомбажные, "хлопуши", банки с ржавчиной, деформированные, без этикеток.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12. Любые пищевые продукты домашнего (не промышленного) изготовления.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13. Кремовые кондитерские изделия (пирожные и торты).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14. Зельцы, изделия из мясной обрези, диафрагмы; рулеты из мякоти голов, кровяные и ливерные колбасы.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15. Творог из непастеризованного молока, фляжный творог, фляжная сметана без термической обработки.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16. Простокваша-"самоквас".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17. Грибы и продукты, из них приготовленные (кулинарные изделия).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18. Квас.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20. Сырокопченые мясные гастрономические изделия и колбасы.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21. Жареные во фритюре пищевые продукты и изделия.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22. Уксус, горчица, хрен, перец острый (красный, черный) и другие острые (жгучие) приправы.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23. Кофе натуральный; тонизирующие, в том числе энергетические напитки, алкоголь.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24. Кулинарные жиры, свиное или баранье сало.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25. Ядро абрикосовой косточки, арахис.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26. Газированные напитки.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27. Молочные продукты и мороженое на основе растительных жиров.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28. Маринованные овощи и фрукты, в том числе в виде салатов.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29. Кумыс и другие кисломолочные продукты с содержанием этанола (более 0,5%).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30. Заливные блюда (мясные и рыбные), студни, форшмак из сельди.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31. Холодные напитки и морсы (без термической обработки) из плодово-ягодного сырья.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32. Окрошки и холодные супы.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33. Макароны по-флотски (с мясным фаршем), макароны с рубленым яйцом.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34. Яичница-глазунья.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35. Паштеты.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36. Блинчики с мясом и с творогом.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5" w:name="i463942"/>
      <w:bookmarkStart w:id="46" w:name="i472341"/>
      <w:bookmarkEnd w:id="45"/>
      <w:bookmarkEnd w:id="46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9</w:t>
      </w:r>
    </w:p>
    <w:p w:rsidR="00CF48B7" w:rsidRPr="00CF48B7" w:rsidRDefault="00CF48B7" w:rsidP="00CF48B7">
      <w:pPr>
        <w:shd w:val="clear" w:color="auto" w:fill="FFFFFF"/>
        <w:spacing w:after="120" w:line="240" w:lineRule="auto"/>
        <w:ind w:firstLine="697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7" w:name="i486000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Документация пищеблока</w:t>
      </w:r>
      <w:bookmarkEnd w:id="47"/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8" w:name="i498403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1. Журнал бракеража пищевых продуктов и продовольственного сырья</w:t>
      </w:r>
      <w:bookmarkEnd w:id="4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052"/>
        <w:gridCol w:w="1248"/>
        <w:gridCol w:w="1164"/>
        <w:gridCol w:w="1009"/>
        <w:gridCol w:w="1015"/>
        <w:gridCol w:w="1129"/>
        <w:gridCol w:w="929"/>
        <w:gridCol w:w="689"/>
      </w:tblGrid>
      <w:tr w:rsidR="00CF48B7" w:rsidRPr="00CF48B7" w:rsidTr="00CF48B7">
        <w:trPr>
          <w:trHeight w:val="20"/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час, поступления продовол-го сырья и пищевых продуктов (в килограммах, литрах, штуках)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пищевых продуктов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поступившего продовол-го сырья и пищевых продуктов (в килограммах, литрах, штуках)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дающего безопасность принятого пищевого продукта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органолеп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тической оценки поступив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шего продовол-го сырья и пищевых продуктов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Конечный срок реализации продовол-го сырья и пищевых продуктов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час фактической реализации продовол-го сырья и пищевых продуктов по дням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ответстве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нного лица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чание*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______________________________</w:t>
      </w:r>
    </w:p>
    <w:p w:rsidR="00CF48B7" w:rsidRPr="00CF48B7" w:rsidRDefault="00CF48B7" w:rsidP="00CF48B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 </w:t>
      </w:r>
      <w:r w:rsidRPr="00CF48B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ru-RU"/>
        </w:rPr>
        <w:t>Примечание:</w:t>
      </w: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 Указываются факты списания, возврата продуктов и др.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9" w:name="i508256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2. Журнал бракеража готовой кулинарной продукции</w:t>
      </w:r>
      <w:bookmarkEnd w:id="4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115"/>
        <w:gridCol w:w="1329"/>
        <w:gridCol w:w="1731"/>
        <w:gridCol w:w="1511"/>
        <w:gridCol w:w="1198"/>
        <w:gridCol w:w="1239"/>
      </w:tblGrid>
      <w:tr w:rsidR="00CF48B7" w:rsidRPr="00CF48B7" w:rsidTr="00CF48B7">
        <w:trPr>
          <w:trHeight w:val="20"/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Подписи членов бракеражной комиссии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Примечание*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lastRenderedPageBreak/>
        <w:t>______________________________</w:t>
      </w:r>
    </w:p>
    <w:p w:rsidR="00CF48B7" w:rsidRPr="00CF48B7" w:rsidRDefault="00CF48B7" w:rsidP="00CF48B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 </w:t>
      </w:r>
      <w:r w:rsidRPr="00CF48B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ru-RU"/>
        </w:rPr>
        <w:t>Примечание:</w:t>
      </w: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 Указываются факты запрещения к реализации готовой продукции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0" w:name="i518269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3. "Ведомость контроля за рационом питания"</w:t>
      </w:r>
      <w:bookmarkEnd w:id="5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993"/>
        <w:gridCol w:w="977"/>
        <w:gridCol w:w="1406"/>
        <w:gridCol w:w="632"/>
        <w:gridCol w:w="340"/>
        <w:gridCol w:w="340"/>
        <w:gridCol w:w="439"/>
        <w:gridCol w:w="1022"/>
        <w:gridCol w:w="828"/>
        <w:gridCol w:w="1108"/>
      </w:tblGrid>
      <w:tr w:rsidR="00CF48B7" w:rsidRPr="00CF48B7" w:rsidTr="00CF48B7">
        <w:trPr>
          <w:trHeight w:val="20"/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группы продуктов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155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выдано продуктов в нетто по дням (всего), г на одного человека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среднем за 18 дней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нормы в % (±)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Мясные продукты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колбасные изделия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Молоко, молочные и кисломолочные продукты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изделия, крупы, бобовые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Кондитерские и выпечные изделия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напиток, какао, чай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1" w:name="i523981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4. "Журнал здоровья"</w:t>
      </w:r>
      <w:bookmarkEnd w:id="5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214"/>
        <w:gridCol w:w="1445"/>
        <w:gridCol w:w="1155"/>
        <w:gridCol w:w="1155"/>
        <w:gridCol w:w="866"/>
        <w:gridCol w:w="1059"/>
        <w:gridCol w:w="1059"/>
      </w:tblGrid>
      <w:tr w:rsidR="00CF48B7" w:rsidRPr="00CF48B7" w:rsidTr="00CF48B7">
        <w:trPr>
          <w:trHeight w:val="2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работника*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5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Зд.**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Отстранен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hyperlink r:id="rId70" w:history="1">
              <w:r w:rsidRPr="00CF48B7">
                <w:rPr>
                  <w:rFonts w:ascii="Times New Roman" w:eastAsia="Times New Roman" w:hAnsi="Times New Roman" w:cs="Times New Roman"/>
                  <w:color w:val="2A62BC"/>
                  <w:sz w:val="20"/>
                  <w:szCs w:val="20"/>
                  <w:u w:val="single"/>
                  <w:lang w:eastAsia="ru-RU"/>
                </w:rPr>
                <w:t>отп</w:t>
              </w:r>
            </w:hyperlink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ru-RU"/>
        </w:rPr>
        <w:lastRenderedPageBreak/>
        <w:t>Примечание: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** Условные обозначения: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Зд. - здоров;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Отстранен - отстранен от работы;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отп. - отпуск;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В - выходной;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б/л - больничный лист.</w:t>
      </w:r>
    </w:p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2" w:name="i531466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5. "Журнал проведения витаминизации третьих и сладких блюд"</w:t>
      </w:r>
      <w:bookmarkEnd w:id="5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47"/>
        <w:gridCol w:w="1329"/>
        <w:gridCol w:w="1162"/>
        <w:gridCol w:w="1517"/>
        <w:gridCol w:w="1535"/>
        <w:gridCol w:w="1048"/>
        <w:gridCol w:w="1139"/>
      </w:tblGrid>
      <w:tr w:rsidR="00CF48B7" w:rsidRPr="00CF48B7" w:rsidTr="00CF48B7">
        <w:trPr>
          <w:trHeight w:val="2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нование препарата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внесенного витаминного препарата (гр)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внесения препарата или приготовления витаминизи</w:t>
            </w: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рованного блюда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3" w:name="i541546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6. "Журнал учета температурного режима холодильного оборудования"</w:t>
      </w:r>
      <w:bookmarkEnd w:id="5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907"/>
        <w:gridCol w:w="762"/>
        <w:gridCol w:w="762"/>
        <w:gridCol w:w="762"/>
        <w:gridCol w:w="762"/>
        <w:gridCol w:w="762"/>
        <w:gridCol w:w="953"/>
      </w:tblGrid>
      <w:tr w:rsidR="00CF48B7" w:rsidRPr="00CF48B7" w:rsidTr="00CF48B7">
        <w:trPr>
          <w:trHeight w:val="20"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холодильного оборудования</w:t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 град. С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8B7" w:rsidRPr="00CF48B7" w:rsidRDefault="00CF48B7" w:rsidP="00CF48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4" w:name="i551006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Форма 7. "Журнал учета неисправностей технологического и холодильного оборудования"</w:t>
      </w:r>
      <w:bookmarkEnd w:id="5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925"/>
        <w:gridCol w:w="3178"/>
        <w:gridCol w:w="1444"/>
        <w:gridCol w:w="1155"/>
      </w:tblGrid>
      <w:tr w:rsidR="00CF48B7" w:rsidRPr="00CF48B7" w:rsidTr="00CF48B7">
        <w:trPr>
          <w:trHeight w:val="20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неисправного оборудование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установления неисправности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меры, (ремонт, изменения в рационе питания)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устранения неисправности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отв. лица</w:t>
            </w:r>
          </w:p>
        </w:tc>
      </w:tr>
    </w:tbl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5" w:name="i565326"/>
      <w:bookmarkStart w:id="56" w:name="i577590"/>
      <w:bookmarkEnd w:id="55"/>
      <w:bookmarkEnd w:id="56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10</w:t>
      </w:r>
    </w:p>
    <w:p w:rsidR="00CF48B7" w:rsidRPr="00CF48B7" w:rsidRDefault="00CF48B7" w:rsidP="00CF48B7">
      <w:pPr>
        <w:shd w:val="clear" w:color="auto" w:fill="FFFFFF"/>
        <w:spacing w:after="120" w:line="240" w:lineRule="auto"/>
        <w:ind w:firstLine="697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7" w:name="i581504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Рекомендации по отбору суточной пробы</w:t>
      </w:r>
      <w:bookmarkEnd w:id="57"/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CF48B7" w:rsidRPr="00CF48B7" w:rsidRDefault="00CF48B7" w:rsidP="00CF48B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°С.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58" w:name="i593821"/>
      <w:bookmarkStart w:id="59" w:name="i604017"/>
      <w:bookmarkEnd w:id="58"/>
      <w:bookmarkEnd w:id="59"/>
      <w:r w:rsidRPr="00CF48B7"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  <w:t>Приложение 11</w:t>
      </w:r>
    </w:p>
    <w:p w:rsidR="00CF48B7" w:rsidRPr="00CF48B7" w:rsidRDefault="00CF48B7" w:rsidP="00CF48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СанПиН 2.4.4.2599-10</w:t>
      </w:r>
    </w:p>
    <w:p w:rsidR="00CF48B7" w:rsidRPr="00CF48B7" w:rsidRDefault="00CF48B7" w:rsidP="00CF48B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60" w:name="i611685"/>
      <w:r w:rsidRPr="00CF48B7">
        <w:rPr>
          <w:rFonts w:ascii="Helvetica" w:eastAsia="Times New Roman" w:hAnsi="Helvetica" w:cs="Helvetica"/>
          <w:color w:val="2A62BC"/>
          <w:kern w:val="36"/>
          <w:sz w:val="17"/>
          <w:szCs w:val="17"/>
          <w:u w:val="single"/>
          <w:lang w:eastAsia="ru-RU"/>
        </w:rPr>
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</w:r>
      <w:bookmarkEnd w:id="6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763"/>
        <w:gridCol w:w="1812"/>
        <w:gridCol w:w="1430"/>
      </w:tblGrid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исследований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не менее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Кратность не реже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Салаты, вторые блюда, гарниры, соусы, творожные, яичные, овощные блюда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блюда исследуемого приема пищи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блюда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Третьи блюда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CF48B7" w:rsidRPr="00CF48B7" w:rsidTr="00CF48B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смывов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48B7" w:rsidRPr="00CF48B7" w:rsidRDefault="00CF48B7" w:rsidP="00CF48B7">
            <w:pPr>
              <w:shd w:val="clear" w:color="auto" w:fill="FFFFFF"/>
              <w:spacing w:after="0" w:line="2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F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</w:tbl>
    <w:p w:rsidR="00CF48B7" w:rsidRPr="00CF48B7" w:rsidRDefault="00CF48B7" w:rsidP="00CF48B7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32"/>
          <w:szCs w:val="32"/>
          <w:lang w:eastAsia="ru-RU"/>
        </w:rPr>
      </w:pPr>
      <w:r w:rsidRPr="00CF48B7">
        <w:rPr>
          <w:rFonts w:ascii="Times New Roman" w:eastAsia="Times New Roman" w:hAnsi="Times New Roman" w:cs="Times New Roman"/>
          <w:i/>
          <w:iCs/>
          <w:color w:val="4E5256"/>
          <w:sz w:val="24"/>
          <w:szCs w:val="24"/>
          <w:lang w:eastAsia="ru-RU"/>
        </w:rPr>
        <w:t>Текст документа соответствует источнику.</w:t>
      </w:r>
    </w:p>
    <w:p w:rsidR="002363EA" w:rsidRDefault="002363EA">
      <w:bookmarkStart w:id="61" w:name="_GoBack"/>
      <w:bookmarkEnd w:id="61"/>
    </w:p>
    <w:sectPr w:rsidR="0023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7"/>
    <w:rsid w:val="002363EA"/>
    <w:rsid w:val="00C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48B7"/>
  </w:style>
  <w:style w:type="character" w:styleId="a3">
    <w:name w:val="Hyperlink"/>
    <w:basedOn w:val="a0"/>
    <w:uiPriority w:val="99"/>
    <w:semiHidden/>
    <w:unhideWhenUsed/>
    <w:rsid w:val="00CF48B7"/>
  </w:style>
  <w:style w:type="character" w:styleId="a4">
    <w:name w:val="FollowedHyperlink"/>
    <w:basedOn w:val="a0"/>
    <w:uiPriority w:val="99"/>
    <w:semiHidden/>
    <w:unhideWhenUsed/>
    <w:rsid w:val="00CF48B7"/>
    <w:rPr>
      <w:color w:val="800080"/>
      <w:u w:val="single"/>
    </w:rPr>
  </w:style>
  <w:style w:type="paragraph" w:customStyle="1" w:styleId="a9">
    <w:name w:val="a9"/>
    <w:basedOn w:val="a"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f2"/>
    <w:basedOn w:val="a"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af8"/>
    <w:basedOn w:val="a0"/>
    <w:rsid w:val="00CF48B7"/>
  </w:style>
  <w:style w:type="paragraph" w:styleId="11">
    <w:name w:val="toc 1"/>
    <w:basedOn w:val="a"/>
    <w:autoRedefine/>
    <w:uiPriority w:val="39"/>
    <w:unhideWhenUsed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4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af9"/>
    <w:basedOn w:val="a0"/>
    <w:rsid w:val="00CF48B7"/>
  </w:style>
  <w:style w:type="paragraph" w:styleId="a5">
    <w:name w:val="Body Text Indent"/>
    <w:basedOn w:val="a"/>
    <w:link w:val="a6"/>
    <w:uiPriority w:val="99"/>
    <w:semiHidden/>
    <w:unhideWhenUsed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4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48B7"/>
  </w:style>
  <w:style w:type="character" w:styleId="a3">
    <w:name w:val="Hyperlink"/>
    <w:basedOn w:val="a0"/>
    <w:uiPriority w:val="99"/>
    <w:semiHidden/>
    <w:unhideWhenUsed/>
    <w:rsid w:val="00CF48B7"/>
  </w:style>
  <w:style w:type="character" w:styleId="a4">
    <w:name w:val="FollowedHyperlink"/>
    <w:basedOn w:val="a0"/>
    <w:uiPriority w:val="99"/>
    <w:semiHidden/>
    <w:unhideWhenUsed/>
    <w:rsid w:val="00CF48B7"/>
    <w:rPr>
      <w:color w:val="800080"/>
      <w:u w:val="single"/>
    </w:rPr>
  </w:style>
  <w:style w:type="paragraph" w:customStyle="1" w:styleId="a9">
    <w:name w:val="a9"/>
    <w:basedOn w:val="a"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f2"/>
    <w:basedOn w:val="a"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af8"/>
    <w:basedOn w:val="a0"/>
    <w:rsid w:val="00CF48B7"/>
  </w:style>
  <w:style w:type="paragraph" w:styleId="11">
    <w:name w:val="toc 1"/>
    <w:basedOn w:val="a"/>
    <w:autoRedefine/>
    <w:uiPriority w:val="39"/>
    <w:unhideWhenUsed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4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af9"/>
    <w:basedOn w:val="a0"/>
    <w:rsid w:val="00CF48B7"/>
  </w:style>
  <w:style w:type="paragraph" w:styleId="a5">
    <w:name w:val="Body Text Indent"/>
    <w:basedOn w:val="a"/>
    <w:link w:val="a6"/>
    <w:uiPriority w:val="99"/>
    <w:semiHidden/>
    <w:unhideWhenUsed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4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1.gostedu.ru/58/58527/" TargetMode="External"/><Relationship Id="rId18" Type="http://schemas.openxmlformats.org/officeDocument/2006/relationships/hyperlink" Target="http://base1.gostedu.ru/58/58527/" TargetMode="External"/><Relationship Id="rId26" Type="http://schemas.openxmlformats.org/officeDocument/2006/relationships/hyperlink" Target="http://base1.gostedu.ru/58/58527/" TargetMode="External"/><Relationship Id="rId39" Type="http://schemas.openxmlformats.org/officeDocument/2006/relationships/hyperlink" Target="http://base1.gostedu.ru/58/58527/" TargetMode="External"/><Relationship Id="rId21" Type="http://schemas.openxmlformats.org/officeDocument/2006/relationships/hyperlink" Target="http://base1.gostedu.ru/58/58527/" TargetMode="External"/><Relationship Id="rId34" Type="http://schemas.openxmlformats.org/officeDocument/2006/relationships/hyperlink" Target="http://base1.gostedu.ru/58/58527/" TargetMode="External"/><Relationship Id="rId42" Type="http://schemas.openxmlformats.org/officeDocument/2006/relationships/hyperlink" Target="http://base1.gostedu.ru/58/58527/" TargetMode="External"/><Relationship Id="rId47" Type="http://schemas.openxmlformats.org/officeDocument/2006/relationships/hyperlink" Target="http://base1.gostedu.ru/57/57909/index.htm" TargetMode="External"/><Relationship Id="rId50" Type="http://schemas.openxmlformats.org/officeDocument/2006/relationships/hyperlink" Target="http://base1.gostedu.ru/11/11776/index.htm" TargetMode="External"/><Relationship Id="rId55" Type="http://schemas.openxmlformats.org/officeDocument/2006/relationships/hyperlink" Target="http://base1.gostedu.ru/58/58527/" TargetMode="External"/><Relationship Id="rId63" Type="http://schemas.openxmlformats.org/officeDocument/2006/relationships/hyperlink" Target="http://base1.gostedu.ru/58/58527/" TargetMode="External"/><Relationship Id="rId68" Type="http://schemas.openxmlformats.org/officeDocument/2006/relationships/hyperlink" Target="http://base1.gostedu.ru/53/53610/index.htm" TargetMode="External"/><Relationship Id="rId7" Type="http://schemas.openxmlformats.org/officeDocument/2006/relationships/hyperlink" Target="http://base1.gostedu.ru/58/58527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1.gostedu.ru/58/58527/" TargetMode="External"/><Relationship Id="rId29" Type="http://schemas.openxmlformats.org/officeDocument/2006/relationships/hyperlink" Target="http://base1.gostedu.ru/58/585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1.gostedu.ru/7/7740/index.htm" TargetMode="External"/><Relationship Id="rId11" Type="http://schemas.openxmlformats.org/officeDocument/2006/relationships/hyperlink" Target="http://base1.gostedu.ru/58/58527/" TargetMode="External"/><Relationship Id="rId24" Type="http://schemas.openxmlformats.org/officeDocument/2006/relationships/hyperlink" Target="http://base1.gostedu.ru/58/58527/" TargetMode="External"/><Relationship Id="rId32" Type="http://schemas.openxmlformats.org/officeDocument/2006/relationships/hyperlink" Target="http://base1.gostedu.ru/58/58527/" TargetMode="External"/><Relationship Id="rId37" Type="http://schemas.openxmlformats.org/officeDocument/2006/relationships/hyperlink" Target="http://base1.gostedu.ru/58/58527/" TargetMode="External"/><Relationship Id="rId40" Type="http://schemas.openxmlformats.org/officeDocument/2006/relationships/hyperlink" Target="http://base1.gostedu.ru/58/58527/" TargetMode="External"/><Relationship Id="rId45" Type="http://schemas.openxmlformats.org/officeDocument/2006/relationships/hyperlink" Target="http://base1.gostedu.ru/5/5223/index.htm" TargetMode="External"/><Relationship Id="rId53" Type="http://schemas.openxmlformats.org/officeDocument/2006/relationships/hyperlink" Target="http://base1.gostedu.ru/58/58527/" TargetMode="External"/><Relationship Id="rId58" Type="http://schemas.openxmlformats.org/officeDocument/2006/relationships/hyperlink" Target="http://base1.gostedu.ru/58/58527/" TargetMode="External"/><Relationship Id="rId66" Type="http://schemas.openxmlformats.org/officeDocument/2006/relationships/hyperlink" Target="http://base1.gostedu.ru/7/7929/index.htm" TargetMode="External"/><Relationship Id="rId5" Type="http://schemas.openxmlformats.org/officeDocument/2006/relationships/hyperlink" Target="http://base1.gostedu.ru/6/6000/index.htm" TargetMode="External"/><Relationship Id="rId15" Type="http://schemas.openxmlformats.org/officeDocument/2006/relationships/hyperlink" Target="http://base1.gostedu.ru/58/58527/" TargetMode="External"/><Relationship Id="rId23" Type="http://schemas.openxmlformats.org/officeDocument/2006/relationships/hyperlink" Target="http://base1.gostedu.ru/58/58527/" TargetMode="External"/><Relationship Id="rId28" Type="http://schemas.openxmlformats.org/officeDocument/2006/relationships/hyperlink" Target="http://base1.gostedu.ru/58/58527/" TargetMode="External"/><Relationship Id="rId36" Type="http://schemas.openxmlformats.org/officeDocument/2006/relationships/hyperlink" Target="http://base1.gostedu.ru/58/58527/" TargetMode="External"/><Relationship Id="rId49" Type="http://schemas.openxmlformats.org/officeDocument/2006/relationships/hyperlink" Target="http://base1.gostedu.ru/53/53610/index.htm" TargetMode="External"/><Relationship Id="rId57" Type="http://schemas.openxmlformats.org/officeDocument/2006/relationships/hyperlink" Target="http://base1.gostedu.ru/58/58527/" TargetMode="External"/><Relationship Id="rId61" Type="http://schemas.openxmlformats.org/officeDocument/2006/relationships/hyperlink" Target="http://base1.gostedu.ru/58/58527/" TargetMode="External"/><Relationship Id="rId10" Type="http://schemas.openxmlformats.org/officeDocument/2006/relationships/hyperlink" Target="http://base1.gostedu.ru/58/58527/" TargetMode="External"/><Relationship Id="rId19" Type="http://schemas.openxmlformats.org/officeDocument/2006/relationships/hyperlink" Target="http://base1.gostedu.ru/58/58527/" TargetMode="External"/><Relationship Id="rId31" Type="http://schemas.openxmlformats.org/officeDocument/2006/relationships/hyperlink" Target="http://base1.gostedu.ru/58/58527/" TargetMode="External"/><Relationship Id="rId44" Type="http://schemas.openxmlformats.org/officeDocument/2006/relationships/hyperlink" Target="http://geobases.ru/rubric/%D1%82%D1%80%D1%83%D0%B4/0" TargetMode="External"/><Relationship Id="rId52" Type="http://schemas.openxmlformats.org/officeDocument/2006/relationships/hyperlink" Target="http://base1.gostedu.ru/58/58527/" TargetMode="External"/><Relationship Id="rId60" Type="http://schemas.openxmlformats.org/officeDocument/2006/relationships/hyperlink" Target="http://base1.gostedu.ru/58/58527/" TargetMode="External"/><Relationship Id="rId65" Type="http://schemas.openxmlformats.org/officeDocument/2006/relationships/hyperlink" Target="http://base1.gostedu.ru/53/53610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1.gostedu.ru/58/58527/" TargetMode="External"/><Relationship Id="rId14" Type="http://schemas.openxmlformats.org/officeDocument/2006/relationships/hyperlink" Target="http://base1.gostedu.ru/58/58527/" TargetMode="External"/><Relationship Id="rId22" Type="http://schemas.openxmlformats.org/officeDocument/2006/relationships/hyperlink" Target="http://base1.gostedu.ru/58/58527/" TargetMode="External"/><Relationship Id="rId27" Type="http://schemas.openxmlformats.org/officeDocument/2006/relationships/hyperlink" Target="http://base1.gostedu.ru/58/58527/" TargetMode="External"/><Relationship Id="rId30" Type="http://schemas.openxmlformats.org/officeDocument/2006/relationships/hyperlink" Target="http://base1.gostedu.ru/58/58527/" TargetMode="External"/><Relationship Id="rId35" Type="http://schemas.openxmlformats.org/officeDocument/2006/relationships/hyperlink" Target="http://base1.gostedu.ru/58/58527/" TargetMode="External"/><Relationship Id="rId43" Type="http://schemas.openxmlformats.org/officeDocument/2006/relationships/hyperlink" Target="http://base1.gostedu.ru/58/58527/" TargetMode="External"/><Relationship Id="rId48" Type="http://schemas.openxmlformats.org/officeDocument/2006/relationships/hyperlink" Target="http://base1.gostedu.ru/5/5221/index.htm" TargetMode="External"/><Relationship Id="rId56" Type="http://schemas.openxmlformats.org/officeDocument/2006/relationships/hyperlink" Target="http://base1.gostedu.ru/58/58527/" TargetMode="External"/><Relationship Id="rId64" Type="http://schemas.openxmlformats.org/officeDocument/2006/relationships/hyperlink" Target="http://base1.gostedu.ru/53/53610/index.htm" TargetMode="External"/><Relationship Id="rId69" Type="http://schemas.openxmlformats.org/officeDocument/2006/relationships/hyperlink" Target="http://base1.gostedu.ru/58/58527/" TargetMode="External"/><Relationship Id="rId8" Type="http://schemas.openxmlformats.org/officeDocument/2006/relationships/hyperlink" Target="http://base1.gostedu.ru/58/58527/" TargetMode="External"/><Relationship Id="rId51" Type="http://schemas.openxmlformats.org/officeDocument/2006/relationships/hyperlink" Target="http://base1.gostedu.ru/41/41662/index.ht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1.gostedu.ru/58/58527/" TargetMode="External"/><Relationship Id="rId17" Type="http://schemas.openxmlformats.org/officeDocument/2006/relationships/hyperlink" Target="http://base1.gostedu.ru/58/58527/" TargetMode="External"/><Relationship Id="rId25" Type="http://schemas.openxmlformats.org/officeDocument/2006/relationships/hyperlink" Target="http://base1.gostedu.ru/58/58527/" TargetMode="External"/><Relationship Id="rId33" Type="http://schemas.openxmlformats.org/officeDocument/2006/relationships/hyperlink" Target="http://base1.gostedu.ru/58/58527/" TargetMode="External"/><Relationship Id="rId38" Type="http://schemas.openxmlformats.org/officeDocument/2006/relationships/hyperlink" Target="http://base1.gostedu.ru/58/58527/" TargetMode="External"/><Relationship Id="rId46" Type="http://schemas.openxmlformats.org/officeDocument/2006/relationships/hyperlink" Target="http://base1.gostedu.ru/8/8514/index.htm" TargetMode="External"/><Relationship Id="rId59" Type="http://schemas.openxmlformats.org/officeDocument/2006/relationships/hyperlink" Target="http://base1.gostedu.ru/58/58527/" TargetMode="External"/><Relationship Id="rId67" Type="http://schemas.openxmlformats.org/officeDocument/2006/relationships/hyperlink" Target="http://base1.gostedu.ru/11/11719/index.htm" TargetMode="External"/><Relationship Id="rId20" Type="http://schemas.openxmlformats.org/officeDocument/2006/relationships/hyperlink" Target="http://base1.gostedu.ru/58/58527/" TargetMode="External"/><Relationship Id="rId41" Type="http://schemas.openxmlformats.org/officeDocument/2006/relationships/hyperlink" Target="http://base1.gostedu.ru/58/58527/" TargetMode="External"/><Relationship Id="rId54" Type="http://schemas.openxmlformats.org/officeDocument/2006/relationships/hyperlink" Target="http://base1.gostedu.ru/58/58527/" TargetMode="External"/><Relationship Id="rId62" Type="http://schemas.openxmlformats.org/officeDocument/2006/relationships/hyperlink" Target="http://base1.gostedu.ru/53/53610/index.htm" TargetMode="External"/><Relationship Id="rId70" Type="http://schemas.openxmlformats.org/officeDocument/2006/relationships/hyperlink" Target="http://geobases.ru/rubric/%D0%BE%D1%82%D0%BF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10310</Words>
  <Characters>58770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2016-12-18T04:05:00Z</dcterms:created>
  <dcterms:modified xsi:type="dcterms:W3CDTF">2016-12-18T04:06:00Z</dcterms:modified>
</cp:coreProperties>
</file>