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71" w:rsidRDefault="00665C71" w:rsidP="00665C71">
      <w:pPr>
        <w:pStyle w:val="a6"/>
        <w:rPr>
          <w:sz w:val="24"/>
        </w:rPr>
      </w:pPr>
      <w:r>
        <w:rPr>
          <w:sz w:val="24"/>
        </w:rPr>
        <w:t xml:space="preserve">ФЕДЕРАЛЬНОЕ </w:t>
      </w:r>
      <w:r w:rsidRPr="00FD5D32">
        <w:rPr>
          <w:sz w:val="24"/>
        </w:rPr>
        <w:t>ГОСУДАРСТВЕННОЕ</w:t>
      </w:r>
      <w:r>
        <w:rPr>
          <w:sz w:val="24"/>
        </w:rPr>
        <w:t xml:space="preserve"> БЮДЖЕТНОЕ</w:t>
      </w:r>
      <w:r w:rsidRPr="00FD5D32">
        <w:rPr>
          <w:sz w:val="24"/>
        </w:rPr>
        <w:t xml:space="preserve"> </w:t>
      </w:r>
    </w:p>
    <w:p w:rsidR="00665C71" w:rsidRPr="000A3E4F" w:rsidRDefault="00665C71" w:rsidP="00665C71">
      <w:pPr>
        <w:pStyle w:val="a6"/>
        <w:rPr>
          <w:sz w:val="24"/>
        </w:rPr>
      </w:pPr>
      <w:r w:rsidRPr="00FD5D32">
        <w:rPr>
          <w:sz w:val="24"/>
        </w:rPr>
        <w:t>ОБРАЗОВАТЕЛЬНОЕ УЧРЕЖДЕНИЕ</w:t>
      </w:r>
      <w:r>
        <w:rPr>
          <w:sz w:val="24"/>
        </w:rPr>
        <w:t xml:space="preserve"> </w:t>
      </w:r>
      <w:r>
        <w:t xml:space="preserve">ВЫСШЕГО </w:t>
      </w:r>
      <w:r w:rsidRPr="000A3E4F">
        <w:t>ОБРАЗОВАНИЯ</w:t>
      </w:r>
    </w:p>
    <w:p w:rsidR="00665C71" w:rsidRPr="00FD5D32" w:rsidRDefault="00665C71" w:rsidP="00665C71">
      <w:pPr>
        <w:jc w:val="center"/>
        <w:rPr>
          <w:b/>
          <w:bCs/>
        </w:rPr>
      </w:pPr>
      <w:r w:rsidRPr="00FD5D32">
        <w:t>«</w:t>
      </w:r>
      <w:r w:rsidRPr="00FD5D32">
        <w:rPr>
          <w:b/>
          <w:bCs/>
        </w:rPr>
        <w:t>КРАСНОЯРСКИЙ  ГОСУДАРСТВЕННЫЙ  МЕДИЦИНСКИЙ  УНИВЕРСИТЕТ ИМЕНИ ПРОФЕССОРА В.Ф. ВОЙНО-ЯСЕНЕЦКОГО»</w:t>
      </w:r>
    </w:p>
    <w:p w:rsidR="00665C71" w:rsidRPr="00FD5D32" w:rsidRDefault="00665C71" w:rsidP="00665C71">
      <w:pPr>
        <w:jc w:val="center"/>
        <w:rPr>
          <w:b/>
          <w:bCs/>
        </w:rPr>
      </w:pPr>
      <w:r w:rsidRPr="00FD5D32">
        <w:rPr>
          <w:b/>
          <w:bCs/>
          <w:caps/>
        </w:rPr>
        <w:t>МИНИСТЕРСТВА ЗДРАВООХРАНЕНИЯ рОССИЙСКОЙ ФЕДЕРАЦИИ</w:t>
      </w:r>
    </w:p>
    <w:p w:rsidR="00665C71" w:rsidRPr="00250A3C" w:rsidRDefault="00665C71" w:rsidP="00665C71">
      <w:pPr>
        <w:pStyle w:val="a5"/>
        <w:jc w:val="center"/>
      </w:pPr>
    </w:p>
    <w:p w:rsidR="002535C3" w:rsidRDefault="002535C3" w:rsidP="002535C3">
      <w:pPr>
        <w:ind w:left="113" w:firstLine="709"/>
        <w:jc w:val="center"/>
        <w:rPr>
          <w:sz w:val="28"/>
          <w:szCs w:val="28"/>
        </w:rPr>
      </w:pPr>
      <w:r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665C71" w:rsidRPr="00250A3C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Pr="001E11A9" w:rsidRDefault="00665C71" w:rsidP="00665C71">
      <w:pPr>
        <w:pStyle w:val="a5"/>
        <w:jc w:val="center"/>
        <w:rPr>
          <w:sz w:val="36"/>
          <w:szCs w:val="36"/>
        </w:rPr>
      </w:pPr>
      <w:r w:rsidRPr="001E11A9">
        <w:rPr>
          <w:sz w:val="36"/>
          <w:szCs w:val="36"/>
        </w:rPr>
        <w:t>Реферат</w:t>
      </w:r>
    </w:p>
    <w:p w:rsidR="00665C71" w:rsidRPr="00111CB8" w:rsidRDefault="00665C71" w:rsidP="00665C71">
      <w:pPr>
        <w:pStyle w:val="a5"/>
        <w:jc w:val="center"/>
        <w:rPr>
          <w:sz w:val="32"/>
          <w:szCs w:val="32"/>
        </w:rPr>
      </w:pPr>
    </w:p>
    <w:p w:rsidR="00665C71" w:rsidRPr="00665C71" w:rsidRDefault="00665C71" w:rsidP="00665C71">
      <w:pPr>
        <w:pStyle w:val="a5"/>
        <w:jc w:val="center"/>
        <w:rPr>
          <w:sz w:val="32"/>
          <w:szCs w:val="32"/>
        </w:rPr>
      </w:pPr>
      <w:r w:rsidRPr="00665C71">
        <w:rPr>
          <w:b/>
          <w:bCs/>
          <w:sz w:val="32"/>
          <w:szCs w:val="32"/>
        </w:rPr>
        <w:t>«Инфар</w:t>
      </w:r>
      <w:r w:rsidRPr="00111CB8">
        <w:rPr>
          <w:b/>
          <w:bCs/>
          <w:sz w:val="32"/>
          <w:szCs w:val="32"/>
        </w:rPr>
        <w:t xml:space="preserve">кт миокарда. </w:t>
      </w:r>
      <w:r w:rsidR="00716655">
        <w:rPr>
          <w:b/>
          <w:bCs/>
          <w:sz w:val="32"/>
          <w:szCs w:val="32"/>
        </w:rPr>
        <w:t>Интенсивная терапия</w:t>
      </w:r>
      <w:r w:rsidRPr="00665C71">
        <w:rPr>
          <w:b/>
          <w:bCs/>
          <w:sz w:val="32"/>
          <w:szCs w:val="32"/>
        </w:rPr>
        <w:t>».</w:t>
      </w:r>
    </w:p>
    <w:p w:rsidR="00665C71" w:rsidRPr="001E11A9" w:rsidRDefault="00665C71" w:rsidP="00665C71">
      <w:pPr>
        <w:pStyle w:val="a5"/>
        <w:rPr>
          <w:sz w:val="36"/>
          <w:szCs w:val="36"/>
        </w:rPr>
      </w:pPr>
    </w:p>
    <w:p w:rsidR="00665C71" w:rsidRPr="00250A3C" w:rsidRDefault="00665C71" w:rsidP="00665C71">
      <w:pPr>
        <w:pStyle w:val="a5"/>
        <w:jc w:val="center"/>
      </w:pPr>
    </w:p>
    <w:p w:rsidR="00665C71" w:rsidRDefault="00665C71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</w:p>
    <w:p w:rsidR="00665C71" w:rsidRDefault="00665C71" w:rsidP="00665C71">
      <w:pPr>
        <w:pStyle w:val="a5"/>
        <w:jc w:val="right"/>
      </w:pPr>
      <w:r>
        <w:t xml:space="preserve">Выполнил: ординатор 2 года </w:t>
      </w:r>
    </w:p>
    <w:p w:rsidR="00665C71" w:rsidRPr="00250A3C" w:rsidRDefault="002535C3" w:rsidP="009A797D">
      <w:pPr>
        <w:pStyle w:val="a5"/>
        <w:jc w:val="right"/>
      </w:pPr>
      <w:r>
        <w:t>Гурьянов Д.А.</w:t>
      </w:r>
    </w:p>
    <w:p w:rsidR="00665C71" w:rsidRDefault="00665C71" w:rsidP="00665C71">
      <w:pPr>
        <w:pStyle w:val="a5"/>
        <w:jc w:val="center"/>
      </w:pPr>
    </w:p>
    <w:p w:rsidR="00665C71" w:rsidRDefault="00665C71" w:rsidP="00665C71">
      <w:pPr>
        <w:pStyle w:val="a5"/>
        <w:jc w:val="center"/>
      </w:pPr>
    </w:p>
    <w:p w:rsidR="00665C71" w:rsidRDefault="00665C71" w:rsidP="00665C71">
      <w:pPr>
        <w:pStyle w:val="a5"/>
        <w:ind w:firstLine="0"/>
      </w:pPr>
    </w:p>
    <w:p w:rsidR="009A797D" w:rsidRDefault="009A797D" w:rsidP="00665C71">
      <w:pPr>
        <w:pStyle w:val="a5"/>
        <w:jc w:val="center"/>
      </w:pPr>
    </w:p>
    <w:p w:rsidR="00665C71" w:rsidRPr="00250A3C" w:rsidRDefault="00665C71" w:rsidP="00665C71">
      <w:pPr>
        <w:pStyle w:val="a5"/>
        <w:jc w:val="center"/>
      </w:pPr>
      <w:r>
        <w:t>Красноярск</w:t>
      </w:r>
    </w:p>
    <w:p w:rsidR="00665C71" w:rsidRPr="00250A3C" w:rsidRDefault="00665C71" w:rsidP="00665C71">
      <w:pPr>
        <w:pStyle w:val="a5"/>
        <w:jc w:val="center"/>
      </w:pPr>
      <w:r>
        <w:t>20</w:t>
      </w:r>
      <w:r w:rsidR="009A797D">
        <w:t>23</w:t>
      </w:r>
    </w:p>
    <w:p w:rsidR="00665C71" w:rsidRDefault="00665C71" w:rsidP="00665C71">
      <w:pPr>
        <w:spacing w:after="0"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lastRenderedPageBreak/>
        <w:br w:type="page"/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>План: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1. Введение.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Инфаркт миокарда. Краткая характеристика заболевания: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2.1. Понятие инфаркта миокарда.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Этиопатогенетические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аспекты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развития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2.2. Классификация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2.3. Клинические формы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2.4. Диагностика инфаркта миокарда на догоспитальном этапе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2.5. Осложнения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 Основные принципы оказания неотложной помощи на догоспитальном этапе при инфаркте миокарда: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3.1. Обезболивание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3.2. Ограничение размеров некроза миокарда.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3.3. Восстановление коронарного кровотока.</w:t>
      </w:r>
    </w:p>
    <w:p w:rsidR="00665C71" w:rsidRP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3.4. Профилактика осложнений инфаркта миокарда.</w:t>
      </w:r>
    </w:p>
    <w:p w:rsidR="00665C71" w:rsidRP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4. Заключение</w:t>
      </w:r>
    </w:p>
    <w:p w:rsidR="00665C71" w:rsidRP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5. Список использованной литературы</w:t>
      </w: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</w:p>
    <w:p w:rsidR="00665C71" w:rsidRPr="00665C71" w:rsidRDefault="00665C71" w:rsidP="00665C71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lastRenderedPageBreak/>
        <w:t>1. 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Введение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Несмотря на современные достижения медицины, последнее десятилетие характеризуется неуклонным ростом сердечно-сосудистых заболеваний. Атеросклероз, ишемическая болезнь сердца, гипертоническая болезнь и их осложнения вышли на первое место среди причин заболеваемости, потери трудоспособности, инвалидности и смертности населения. В России ежегодная смертность от сердечнососудистых причин превышает один миллион человек.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Известно, что течение и исход кардиологических заболеваний существенно зависят от своевременности оказания квалифицированной медицинской помощи. Особенно большое значение имеют сроки и качество оказания неотложной помощи на догоспитальном этапе. При этом лечение на догоспитальном и госпитальном этапах представляет собой единый согласованный процесс, основанный на общих подходах к вопросам диагностики, лечения и, что особенно важно, медицинской тактики. Только так можно рассчитывать на оптимальный результат.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2. Инфаркт миокарда. Краткая характеристика заболевания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2.1.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Этиопатогенетические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аспекты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Инфаркт миокарда – ишемический некроз миокарда вследствие острого несоответствия коронарного кровотока потребностям миокарда, связанного с окклюзией коронарной артерии, чаще всего обусловленной тромбозом.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Этиология.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 У 97-98% больных основное значение в развитии инфаркта миокарда имеет атеросклероз коронарных артерий. В редких случаях инфаркт миокарда возникает вследствие эмболии коронарных сосудов, воспалительного процесса в них, выраженного и длительного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коронароспазма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 Причиной возникновения острого нарушения коронарного кровообращения с развитием ишемии и некроза участка миокарда, как правило, является тромбоз коронарной артерии.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Патогенез.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Возникновению тромбоза коронарных артерий способствуют местные изменения интимы сосудов (разрыв атеросклеротической бляшки или трещина в покрывающей её капсуле, реже кровоизлияние в бляшку), а также повышение активности свёртывающей и снижение активности антисвёртывающей системы. При повреждении бляшки, коллагеновые волокна обнажаются, в месте повреждения происходит адгезия и агрегация тромбоцитов, выделение тромбоцитарных факторов свёртывания крови и активация плазменных факторов коагуляции. Образуется тромб, закрывающий просвет артерии. Тромбоз коронарной артерии, как правило, сочетается с её спазмом. Возникающая острая окклюзия коронарной артерии вызывает ишемию миокарда и его некроз. Накопление недоокислённых продуктов обмена при ишемии миокарда ведёт к раздражению интерорецепторов миокарда или кровеносных сосудов, что реализуется в виде появления резкого ангинозного приступа.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2.2. Классификация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По глубине очага некроза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инфаркт миокарда бывает: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крупноочаговый и трансмуральный инфаркт миокарда с зубцом Q,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мелкоочаговый инфаркт миокарда без зубца Q.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По локализации очага некроза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инфаркт миокарда бывает: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правого желудочка,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передней стенки левого желудочка,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нижней стенки левого желудочка,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боковой стенки левого желудочка,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циркулярный инфаркт,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высоких боковых отделов,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верхушки сердца,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межжелудочковой перегородки.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По локализации в слоях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миокарда различают: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субэндокардиальный,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субэпикардиальный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9A797D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интрамуральный.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>2.3 Клинические формы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Клинически выделяют 5 периодов в течении инфаркта миокарда: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1).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Продромальный период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длительностью от нескольких часов до 30 суток. Главной особенностью этого периода считается рецидивирующий болевой синдром и электрическая нестабильность миокарда, которая проявляется чаще всего желудочковыми экстрасистолами или пароксизмальной желудочковой тахикардией. Нередко может отсутствовать.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2)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Острейший период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от возникновения резкой ишемии миокарда до появления признаков некроза (от 30 минут до 2 часов). Классическое начало в 70-80% случаев характеризуется появлением ангинозного приступа. Болевой синдром часто сопровождается чувством страха, возбуждением, беспокойством, а так же вегетативными нарушениями, например повышенным потоотделением. В 20-30% случаев могут быть атипичные формы: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Аритмическая.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 Проявляется возникновением острых нарушений ритма и проводимости. К их числу относятся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политопная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групповая, ранняя желудочковая экстрасистолия, пароксизмальная желудочковая тахикардия, фибрилляция желудочков. Клинически может проявляться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синкопальными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состояниями.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Цереброваскулярная.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Наблюдается у больных с отягощённым неврологическим анамнезом, проявляется появлением очаговой неврологической симптоматики.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Астматическая.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Встречается у больных с исходной сердечной недостаточностью, с постинфарктным или выраженным атеросклеротическим кардиосклерозом, длительной гипертензией, сахарным диабетом. Астматическую форму инфаркта миокарда предполагают в случаях, когда ведущим симптомом заболевания является внезапный, часто немотивированный приступ одышки или отёка лёгких.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Абдоминальная.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Чаще наблюдается при локализации некроза на нижней стенке левого желудочка. Проявляется появлением боли в эпигастральной области, тошнотой, рвотой, метеоризмом, расстройством стула, явлениями пареза кишечника. Нередко наблюдается цианоз, одышка, в то время</w:t>
      </w:r>
      <w:proofErr w:type="gramStart"/>
      <w:r w:rsidRPr="00665C71">
        <w:rPr>
          <w:rFonts w:eastAsia="Times New Roman"/>
          <w:color w:val="000000"/>
          <w:sz w:val="22"/>
          <w:szCs w:val="22"/>
          <w:lang w:eastAsia="ru-RU"/>
        </w:rPr>
        <w:t>,</w:t>
      </w:r>
      <w:proofErr w:type="gram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как живот остаётся мягким и симптомы раздражения брюшины отсутствуют.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Малосимптомная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.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Проявляется такой неспецифической симптоматикой, как слабость, ухудшение сна или настроения, ощущения дискомфорта в грудной клетке. Обычно наблюдается у пациентов пожилого и старческого возраста, особенно страдающих сахарным диабетом.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3) Острый период.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Соответствует времени формирования очага некроза и возникновению так называемого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резорбционно-некротического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синдрома, связанного с общей реакцией организма на всасывание (резорбцию) некротических масс в кровь, сопровождающийся нарушением функционального состояния сердечно-сосудистой системы. При неосложнённом течении инфаркта миокарда острый период обычно продолжается около 7-10 дней.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4) Подострый период.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В подостром периоде инфаркта миокарда постепенно формируется соединительнотканный рубец, замещающий некротические массы. Продолжительность подострого периода колеблется в широких пределах и зависит, прежде всего, от объёма очага некроза, состояния окружающего миокарда, не вовлечённого в некротический процесс, степени развития коллатералей, наличия сопутствующих заболеваний и осложнений инфаркта миокарда. Продолжительность подострого периода составляет 4-6 недель.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5) Постинфарктный период.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В ближайшем постинфарктном периоде в области рубца увеличивается количество коллагена и завершается его уплотнение (консолидация рубца). Одновременно продолжается формирование ряда компенсаторных механизмов, направленных на поддержание гемодинамики на должном уровне.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2.4. Диагностика инфаркта миокарда на догоспитальном этапе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Основой диагностики инфаркта миокарда на догоспитальном этапе является тщательный анализ болевого синдрома с учётом анамнеза, указывающего на наличие ИБС или соответствующих факторов риска, появление специфического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миокардиального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белка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тропонина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 (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тропаниновый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тест) и динамических изменений на ЭКГ.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Изменение на ЭКГ: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появление патологического зубца Q (шире, чем 0,03с и глубже ¼ зубца R);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lastRenderedPageBreak/>
        <w:t>уменьшение или полное исчезновение зубца R (трансмуральный инфаркт); куполообразное смещение сегмента ST кверху от изолинии, формирование отрицательного зубца T, наличие реципрокных изменений в противоположных отведениях.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2.5. Осложнения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1. Нарушения сердечного ритма и проводимости (ранние,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реперфузионные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поздние)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Асистолия.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 Кардиогенный шок.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4. Острая сердечная недостаточность.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5. Разрывы сердца (ранние и поздние, наружные и внутренние, полные и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br/>
        <w:t xml:space="preserve">незавершённые, медленнотекущие и одномоментные) с развитием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тампо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-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нады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6. Острая аневризма сердца.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7. Тромбоз левого желудочка.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8. Ранняя постинфарктная стенокардия.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3. Основные принципы оказания медицинской помощи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на догоспитальном этапе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Приступая к оказанию помощи при инфаркте миокарда, следует хорошо понимать, что первые минуты и часы с момента его начала – это время, когда фармакотерапия наиболее эффективна и, чем раньше будет начато лечение, тем больше шансов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на улучшение прогноза этого крайне тяжёлого заболевания.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Оказание медицинской помощи на догоспитальном этапе направлено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на: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адекватное обезболивание,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восстановление коронарного кровотока,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ограничение размеров некроза,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лечение и профилактика ранних осложнений инфаркта миокарда.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Пациента с инфарктом миокарда или подозрением на него следует немедленно перевести в горизонтальное положение (лёжа, полулёжа, полусидя в зависимости от интенсивности застойных явлений в лёгких), начать оксигенотерапию 100% увлажнённым кислородом, произвести катетеризацию периферической вены.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3.1. Обезболивание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Купирование ангинозного приступа является обязательным условием всех дальнейших лечебных мероприятий. Сохраняющаяся ангинозная боль поддерживает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гиперактивацию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симпатадреналовой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системы, которая сопровождается тахикардией, положительным инотропным действием, увеличением потребности миокарда в кислороде и приводит, в конечном итоге, к увеличению зоны некроза. Так же на фоне активации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симпатадреналовой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системы понижается порог фибрилляции желудочков, что само по себе может иметь фатальные последствия.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Во всех случаях, если нет выраженной артериальной гипотензии (систолическое давление не ниже 90 мм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рт.ст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.) и тяжёлой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тахи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- или брадикардии, лечение начинают с аэрозольной формы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нитроглицерина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(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нитрокор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нитроспрей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) или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изосорбида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натрия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(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изокет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) 0,4 мг или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сублингвальной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формы нитроглицерина 0,5мг. Далее при тяжёлом ангинозном синдроме нитроглицерин назначают внутривенно капельно, а при относительно лёгком – повторно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сублингвально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Наркотические анальгетики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Классическим средством купирования боли у больных инфарктом миокарда является применение наркотических анальгетиков.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Морфин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являющийся агонистом опиоидных рецепторов, помимо быстрого купирования боли, уменьшает венозный тонус и, следовательно, уменьшает венозный возврат крови к сердцу, величину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преднагрузки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и потребность миокарда в кислороде. Кроме того морфин обладает выраженным седативным эффектом. Вводится внутривенно дробно в 2-3 этапа в дозе 10 мг (1мл 1% раствора). Сначала в течение 2 минут 3-5 мг препарата, затем, при необходимости и отсутствии побочных эффектов повторяют до суммарной дозы 10мг до полного купирования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lastRenderedPageBreak/>
        <w:t>болевого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синдрома.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Морфин</w:t>
      </w:r>
      <w:r w:rsidR="009A797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нельзя применять у пожилых ослабленных больных с признаками угнетения дыхания. Он относительно противопоказан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при тяжёлом поражении правого желудочка и нижнем инфаркте миокарда с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синдромом «брадикардия – артериальная гипотензия».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Фентанил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обладает мощной, быстроразвивающейся, но непродолжительной обезболивающей активностью. Вводится внутривенно медленно в дозе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0,1 мг (2мл 0,005% раствора) в 2 этапа. Больным пожилого возраста 0,05мг (1мл 0,005% раствора). Действие препарата наступает через 1 мин., достигает максимума через 3-7 мин., но продолжается не более 25-30 мин.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Нейролептанальгезия</w:t>
      </w:r>
      <w:proofErr w:type="spellEnd"/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Для усиления и пролонгации эффекта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фентанила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его можно комбинировать с нейролептиком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дроперидолом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.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Механизм его действия обусловлен блокадой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альфа-адренорецепторов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прерывающей поток афферентной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импульсации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в ЦНС и вызывающей периферическую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вазодилатацию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. Кроме того,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дроперидол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незначительно замедляет АВ – проведение и оказывает мощное противорвотное действие. Ввиду его влияния на артериальное давление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доза</w:t>
      </w:r>
      <w:r w:rsidR="009A797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дроперидола</w:t>
      </w:r>
      <w:proofErr w:type="spellEnd"/>
      <w:r w:rsidR="009A797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выбирается в зависимости от его исходного уровня: при систолическом давлении 100-110 мм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рт.ст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 вводят 2,5 мг, 120-140 мм рт.ст.-5мг, 140-160 мм рт.ст.-7,5мг.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Атаранальгезия</w:t>
      </w:r>
      <w:proofErr w:type="spellEnd"/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Применение наркотических анальгетиков вместе с транквилизаторами (обычно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диазепамом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) возможно, но существенно повышает риск возникновения нарушений дыхания.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Закись азота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В настоящее время применение закиси азота при инфаркте миокарда считается недостаточно эффективным, а масочная методика обезболивания плохо переносится пациентами. Поэтому закись азота у больных с инфарктом миокарда применять нецелесообразно.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3.2 Ограничение размеров очага некроза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Нитраты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Внутривенное введение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нитроглицерина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в первые часы заболевания более эффективно способствует ограничению размеров некроза, чем назначение препаратов внутрь.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Показания к внутривенному введению нитроглицерина: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1. Сохраняющаяся или рецидивирующая ангинозная боль.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Сохраняющаяся или рецидивирующая острая застойная сердечная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недостаточность.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 Необходимость проведения контролируемой гипотензивной терапии.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Противопоказания к назначению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нитропрепаратов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1. Систолическое давление ниже 90мм рт. ст.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ЧСС &lt;50 или &gt;100 в 1 мин.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 Подозрение на поражение правого желудочка.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Водные растворы нитроглицерина (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перлинганит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) или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изосорбид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динитрат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(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изокет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) вводят внутривенно капельно или через дозатор, подбирая индивидуальную скорость введения до достижения клинического эффекта, но не допуская чрезмерного снижения систолического давления (не ниже 100-110мм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рт.ст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.) начиная со скоростью 5мкг/мин. Оптимальная скорость инфузии чаще всего колеблется в пределах 40-60мкг/мин.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Бета-адреноблокаторы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Больным, не имеющим противопоказаний, необходимо раннее назначение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блокаторов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бета-адренорецепторов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пропранолол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метопролол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). Раннее назначение бета – адреноблокаторов способствует уменьшению размеров ишемического повреждения миокарда, значительно снижает частоту развития осложнений и летальность.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lastRenderedPageBreak/>
        <w:t>Бета-адреноблокаторы особенно эффективны у пациентов имеющих дополнительные факторы риска: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1. Возраст старше 60 лет.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Инфаркт миокарда в анамнезе.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3. Артериальная гипертензия.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4. Сердечная недостаточность.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5. Стенокардия.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6. Лечение сердечными гликозидами и диуретиками.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7. Сахарный диабет.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Наиболее безопасным на догоспитальном этапе считается назначение бета – адреноблокаторов внутрь.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Пропранолол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назначается в дозе 20мг внутрь или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сублингвально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Метопролол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– 50мг внутрь или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сублингвально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3.3 Восстановление коронарного кровотока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Одним из наиболее важных этапов оказания неотложной помощи при инфаркте миокарда, с учётом этиологии и патогенеза, является восстановление кровотока в зоне ишемии и коррекция реологических свойств крови, т.е.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антикаогулянтная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антиагрегантная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Тромболитическая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терапия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В основе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 лежит то, что все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тромболитические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препараты активируют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плазминоген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– ключевой профермент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фибринолитической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систеиы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. В результате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плазминоген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превращается в активный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фибринолитический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фермент – плазмин, который переводит фибрин в растворимое состояние.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Показания к проведению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тромболизиса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-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 ангинозная боль, сохраняющаяся без поддерживающих факторов более 30 мин. и не уступающая повторному приёму нитроглицерина, сопровождающаяся подъёмом ST по крайней мере в двух отведениях либо появлением блокады ножки пучка Гиса.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терапия показана в первые 6 часов заболевания (при сохраняющейся или рецидивирующей боли – 12-24 часа).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Противопоказания к проведению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тромболизиса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Абсолютные противопоказания: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тяжёлая травма, хирургическое вмешательство или травма головы в пред –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шествующие 3 недели;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желудочно-кишечное кровотечение в предшествующие 30 дней;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заболевания крови (гемофилия, геморрагический диатез);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расслаивающаяся аневризма аорты;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онкологические заболевания;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варикозное расширение вен пищевода;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тяжёлые поражения печени и почек;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бронхоэктатическая болезнь;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беременность.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Относительные противопоказания: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возраст старше 70 лет;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преходящее нарушение мозгового кровообращения в предшествующие 6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месяцев;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сахарный диабет второго типа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лечение непрямыми антикоагулянтами;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пункция сосудов, не поддающихся прижатию;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неконтролируемая артериальная гипертензия (систолическое АД выше 180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мм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рт.ст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.);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- аллергические реакции;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Препараты, используемые для проведения системного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тромболизиса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актелизе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альтеплаза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),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урокиназа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lastRenderedPageBreak/>
        <w:t xml:space="preserve">- тканевой активатор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плазминогена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В настоящее время для проведения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 чаще всего используют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стрептокиназу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актелизе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Стрептокиназа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 вводится внутривенно (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капельно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или через дозатор) в дозе 1500 000 МЕ на 100 мл изотонического раствора натрия хлорида в течение 30 минут. При высоком риске аллергических реакций перед введением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стрептокиназы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рекомендуется внутривенно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струйно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ввести 30-60 мг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преднизолона. При назначении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стрептокиназы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следует помнить, что она обладает антигенными свойствами и после её введения титр антител к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увеличивается в сотни раз и остаётся высоким несколько месяцев. Поэтому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стрептокиназу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не рекомендуют вводить повторно по крайней мере в течение 2 лет после первого применения.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В отличие от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стрептокиназы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тромболитик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 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актилизе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(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альтеплаза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) не обладает антигенными свойствами, не вызывает пирогенных и аллергических реакций и в то же время является наиболее эффективным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тромболитиком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 Примерная схема применения: внутривенно 15мг в виде болюса и 50мг в виде инфузии в течение 30 мин. и 35мг внутривенно капельно в течение следующих 60мин.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Признаки эффективности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терапии: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1. Прекращение ангинозной боли.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Нормализация или значительное смещение сегмента ST к изолинии.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Осложнения </w:t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терапии: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1.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Реперфузионные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аритмии – самое частое осложнение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 и одновременно косвенное свидетельство восстановления коронарного кровотока. Чаще всего это – ускоренный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идеовентрикулярный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ритм, желудочковые экстрасистолы, пароксизмы неустойчивой желудочковой тахикардии, преходящая AV – блокада, фибрилляция желудочков). Встречается в 20-60% случаев.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Феномен «оглушённого миокарда» — нарушение сократительной функции сердца после восстановления коронарного кровотока – проявляется признаками застойной сердечной недостаточности.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3.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Реокклюзия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коронарной артерии наблюдается в 15-20% случаев и часто протекает бессимптомно. Может проявляться возобновлением ангинозной боли и ухудшением гемодинамики. При этом назначают внутривенно капельно нитроглицерин, гепарин и ацетилсалициловую кислоту.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4. Кровотечения. Чаще всего развиваются из мест пункции вены. При этом достаточно бывает наложить давящую повязку. В 1% случаев кровотечение может быть значительным.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5. Артериальная гипотензия. Обычно корригируется снижением скорости введения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тромболитика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. Если этого недостаточно, то введение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тробмболитического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препарата следует прекратить и приподнять нижние конечности пациента на 20 градусов.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6. Аллергические реакции. Требуется немедленное прекращение введения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тромболитика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и назначение в зависимости от степени тяжести и клинических проявлений антигистаминных препаратов, глюкокортикоидных гормонов,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бронхолитиков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, а при развитии анафилактического шока – адреналина.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7. Геморрагический инсульт. Может развиться у пациентов старческого возраста с неконтролируемой артериальной гипертензией и отягощённым неврологическим анамнезом. Поэтому больным данной категории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терапия не показана. При развитии геморрагического инсульта необходимо прекратить введение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тромболитика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и далее проводить лечение так же, как и без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В связи с тем, что при лизисе тромба высвобождается тромбин, стимулирующий агрегацию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тромбоцитов</w:t>
      </w:r>
      <w:proofErr w:type="gramStart"/>
      <w:r w:rsidRPr="00665C71">
        <w:rPr>
          <w:rFonts w:eastAsia="Times New Roman"/>
          <w:color w:val="000000"/>
          <w:sz w:val="22"/>
          <w:szCs w:val="22"/>
          <w:lang w:eastAsia="ru-RU"/>
        </w:rPr>
        <w:t>,т</w:t>
      </w:r>
      <w:proofErr w:type="gramEnd"/>
      <w:r w:rsidRPr="00665C71">
        <w:rPr>
          <w:rFonts w:eastAsia="Times New Roman"/>
          <w:color w:val="000000"/>
          <w:sz w:val="22"/>
          <w:szCs w:val="22"/>
          <w:lang w:eastAsia="ru-RU"/>
        </w:rPr>
        <w:t>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рекомендуется назначение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антиагрегантов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Антиагрегантная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терапия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Ацетилсалициловая кислота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как прямой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антиагрегант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показана с первых часов инфаркта миокарда независимо от того, будет проводится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терапия или нет. Начинать лечение следует как можно раньше с дозы 250 мг (разжевать).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Плавикс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показан в дозе 75мг/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сут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в сочетании с ацетилсалициловой кислотой, как при проведении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терапии, так и без неё.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>Антикаогулянтная</w:t>
      </w:r>
      <w:proofErr w:type="spellEnd"/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терапия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Гепарин 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является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антикаогулянтом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прямого действия. Гепарин «тормозит» все три фазы свёртывания крови: фазы образования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тромбопластина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тромбина и фибрина, а также в определённой мере препятствует агрегации тромбоцитов. Гепарин показан при проведении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актелизе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внутривенно струйно в дозе 60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ед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/кг, но не более 4000ед. При проведении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стрептокиназой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гепарин можно не назначать, если нет других показаний к применению препарата. Если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тромболитическая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терапия не проводится, гепарин вводится внутривенно струйно в дозе 5000 – 10000ед.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3.4 Профилактика ранних осложнений инфаркта миокарда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Все вышеперечисленные перечисленные мероприятия, включая щадящую транспортировку на носилках, являются профилактикой ранних осложнений инфаркта миокарда.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В настоящее время, используемый ранее для профилактики фибрилляции желудочков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лидокаин,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 не применяется, ввиду значительного увеличения количества случаев развития асистолии.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Применение, используемого ранее 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магния сульфата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, в ходе длительных клинических испытаний</w:t>
      </w: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br/>
      </w: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не подтвердилось положительное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влиянияе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этого препарата на течение и исход инфаркта миокарда. Поэтому в настоящее время профилактическое применение магния сульфата в остром периоде инфаркта миокарда считают непоказанным.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Заключение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Таким образом, представленный выше алгоритм оказания неотложной помощи на догоспитальном этапе при инфаркте миокарда, по современным представлениям является наиболее оптимальным, то есть минимально достаточным и максимально эффективным. Что в дальнейшем позволит существенно улучшить результаты лечения больных с инфарктом миокарда на госпитальном этапе.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b/>
          <w:bCs/>
          <w:color w:val="000000"/>
          <w:sz w:val="22"/>
          <w:szCs w:val="22"/>
          <w:lang w:eastAsia="ru-RU"/>
        </w:rPr>
        <w:t>Список использованной литературы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1. С.Ф.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Багненко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, А.Г. Мирошниченко, А.Л.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Вёрткин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«Руководство по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скорой медицинской помощи» 2014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г.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>2. Н.Н. Крюков, Е.Н. Николаевский, В.П. Поляков «Ишемическая болезнь сердца (современные аспекты клиники, диагностики, лечения, профилактики, медицинской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реабилитации, экспертизы)» 2013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г.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3. С.А.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Крыжановский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«Клиническая фармакология» 2015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г.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4. В.В.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Руксин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«Краткое руководство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по неотложной кардиологии» 2017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г.</w:t>
      </w:r>
    </w:p>
    <w:p w:rsidR="00665C71" w:rsidRPr="00665C71" w:rsidRDefault="00665C71" w:rsidP="00665C7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5. В.В. </w:t>
      </w:r>
      <w:proofErr w:type="spellStart"/>
      <w:r w:rsidRPr="00665C71">
        <w:rPr>
          <w:rFonts w:eastAsia="Times New Roman"/>
          <w:color w:val="000000"/>
          <w:sz w:val="22"/>
          <w:szCs w:val="22"/>
          <w:lang w:eastAsia="ru-RU"/>
        </w:rPr>
        <w:t>Руксин</w:t>
      </w:r>
      <w:proofErr w:type="spellEnd"/>
      <w:r w:rsidRPr="00665C71">
        <w:rPr>
          <w:rFonts w:eastAsia="Times New Roman"/>
          <w:color w:val="000000"/>
          <w:sz w:val="22"/>
          <w:szCs w:val="22"/>
          <w:lang w:eastAsia="ru-RU"/>
        </w:rPr>
        <w:t xml:space="preserve"> «Неотложная кардиологическая помо</w:t>
      </w:r>
      <w:r>
        <w:rPr>
          <w:rFonts w:eastAsia="Times New Roman"/>
          <w:color w:val="000000"/>
          <w:sz w:val="22"/>
          <w:szCs w:val="22"/>
          <w:lang w:eastAsia="ru-RU"/>
        </w:rPr>
        <w:t>щь на догоспитальном этапе» 2012</w:t>
      </w:r>
      <w:r w:rsidRPr="00665C71">
        <w:rPr>
          <w:rFonts w:eastAsia="Times New Roman"/>
          <w:color w:val="000000"/>
          <w:sz w:val="22"/>
          <w:szCs w:val="22"/>
          <w:lang w:eastAsia="ru-RU"/>
        </w:rPr>
        <w:t>г.</w:t>
      </w:r>
    </w:p>
    <w:p w:rsidR="002E3B2E" w:rsidRPr="00665C71" w:rsidRDefault="002E3B2E" w:rsidP="00665C71">
      <w:pPr>
        <w:spacing w:after="0"/>
        <w:rPr>
          <w:sz w:val="22"/>
          <w:szCs w:val="22"/>
        </w:rPr>
      </w:pPr>
    </w:p>
    <w:sectPr w:rsidR="002E3B2E" w:rsidRPr="00665C71" w:rsidSect="002E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5C71"/>
    <w:rsid w:val="002535C3"/>
    <w:rsid w:val="002E3B2E"/>
    <w:rsid w:val="00441E31"/>
    <w:rsid w:val="00665C71"/>
    <w:rsid w:val="00716655"/>
    <w:rsid w:val="009A797D"/>
    <w:rsid w:val="00B724DA"/>
    <w:rsid w:val="00C66522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2E"/>
  </w:style>
  <w:style w:type="paragraph" w:styleId="2">
    <w:name w:val="heading 2"/>
    <w:basedOn w:val="a"/>
    <w:link w:val="20"/>
    <w:uiPriority w:val="9"/>
    <w:qFormat/>
    <w:rsid w:val="00665C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C7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C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71"/>
    <w:rPr>
      <w:b/>
      <w:bCs/>
    </w:rPr>
  </w:style>
  <w:style w:type="character" w:customStyle="1" w:styleId="apple-converted-space">
    <w:name w:val="apple-converted-space"/>
    <w:basedOn w:val="a0"/>
    <w:rsid w:val="00665C71"/>
  </w:style>
  <w:style w:type="paragraph" w:customStyle="1" w:styleId="a5">
    <w:name w:val="Б"/>
    <w:qFormat/>
    <w:rsid w:val="00665C71"/>
    <w:pPr>
      <w:spacing w:after="0" w:line="360" w:lineRule="auto"/>
      <w:ind w:firstLine="709"/>
      <w:contextualSpacing/>
      <w:jc w:val="both"/>
    </w:pPr>
    <w:rPr>
      <w:rFonts w:eastAsia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665C71"/>
    <w:pPr>
      <w:spacing w:after="0" w:line="240" w:lineRule="auto"/>
      <w:jc w:val="center"/>
    </w:pPr>
    <w:rPr>
      <w:rFonts w:eastAsia="Times New Roman"/>
      <w:b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65C71"/>
    <w:rPr>
      <w:rFonts w:eastAsia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Димасик</cp:lastModifiedBy>
  <cp:revision>3</cp:revision>
  <dcterms:created xsi:type="dcterms:W3CDTF">2023-10-23T15:35:00Z</dcterms:created>
  <dcterms:modified xsi:type="dcterms:W3CDTF">2024-01-18T12:05:00Z</dcterms:modified>
</cp:coreProperties>
</file>