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B9" w:rsidRDefault="003D0169" w:rsidP="00BD3681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№ 9 (</w:t>
      </w:r>
      <w:r w:rsidR="00BD3681" w:rsidRPr="00F550C6">
        <w:rPr>
          <w:rFonts w:ascii="Times New Roman" w:eastAsia="Times New Roman" w:hAnsi="Times New Roman" w:cs="Times New Roman"/>
          <w:bCs/>
          <w:sz w:val="28"/>
          <w:szCs w:val="28"/>
        </w:rPr>
        <w:t>6 часов).</w:t>
      </w:r>
    </w:p>
    <w:p w:rsidR="00BD3681" w:rsidRPr="003D0169" w:rsidRDefault="00BD3681" w:rsidP="003D0169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0C6">
        <w:rPr>
          <w:rFonts w:ascii="Times New Roman" w:eastAsia="Times New Roman" w:hAnsi="Times New Roman" w:cs="Times New Roman"/>
          <w:bCs/>
          <w:sz w:val="28"/>
          <w:szCs w:val="28"/>
        </w:rPr>
        <w:t>Диетическое питание, питание  детей до 3х лет. Анализ  ассортимента. Хранение. Реализация.</w:t>
      </w:r>
    </w:p>
    <w:p w:rsidR="00F23162" w:rsidRDefault="00F23162"/>
    <w:p w:rsidR="00723FB9" w:rsidRPr="00EC5AF7" w:rsidRDefault="00723FB9" w:rsidP="005457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Диетическое питание</w:t>
      </w:r>
      <w:r w:rsidRPr="00EC5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лечебное и профилактическое питание, сочетающее в себе комплекс сбалансированных витаминов, минералов, белков, жиров и углеводов.</w:t>
      </w:r>
    </w:p>
    <w:p w:rsidR="00723FB9" w:rsidRPr="00EC5AF7" w:rsidRDefault="00723FB9" w:rsidP="005457C0">
      <w:pPr>
        <w:pStyle w:val="a3"/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>В ассортименте диетического питания выделяют:</w:t>
      </w:r>
    </w:p>
    <w:p w:rsidR="00EC5AF7" w:rsidRPr="00EC5AF7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spellStart"/>
      <w:r w:rsidRPr="00EC5AF7">
        <w:rPr>
          <w:color w:val="000000" w:themeColor="text1"/>
          <w:sz w:val="28"/>
          <w:szCs w:val="28"/>
        </w:rPr>
        <w:t>Энпиты</w:t>
      </w:r>
      <w:proofErr w:type="spellEnd"/>
      <w:r w:rsidRPr="00EC5AF7">
        <w:rPr>
          <w:color w:val="000000" w:themeColor="text1"/>
          <w:sz w:val="28"/>
          <w:szCs w:val="28"/>
        </w:rPr>
        <w:t xml:space="preserve"> — сухие молочные питательные смеси для </w:t>
      </w:r>
      <w:proofErr w:type="spellStart"/>
      <w:r w:rsidRPr="00EC5AF7">
        <w:rPr>
          <w:color w:val="000000" w:themeColor="text1"/>
          <w:sz w:val="28"/>
          <w:szCs w:val="28"/>
        </w:rPr>
        <w:t>энтерально</w:t>
      </w:r>
      <w:r w:rsidRPr="00EC5AF7">
        <w:rPr>
          <w:color w:val="000000" w:themeColor="text1"/>
          <w:sz w:val="28"/>
          <w:szCs w:val="28"/>
        </w:rPr>
        <w:softHyphen/>
        <w:t>го</w:t>
      </w:r>
      <w:proofErr w:type="spellEnd"/>
      <w:r w:rsidRPr="00EC5AF7">
        <w:rPr>
          <w:color w:val="000000" w:themeColor="text1"/>
          <w:sz w:val="28"/>
          <w:szCs w:val="28"/>
        </w:rPr>
        <w:t xml:space="preserve"> питания с повышенным или пониженным содержанием ос</w:t>
      </w:r>
      <w:r w:rsidRPr="00EC5AF7">
        <w:rPr>
          <w:color w:val="000000" w:themeColor="text1"/>
          <w:sz w:val="28"/>
          <w:szCs w:val="28"/>
        </w:rPr>
        <w:softHyphen/>
        <w:t>новных пищевых ингредиентов:</w:t>
      </w:r>
    </w:p>
    <w:p w:rsidR="00EC5AF7" w:rsidRPr="00EC5AF7" w:rsidRDefault="00723FB9" w:rsidP="005457C0">
      <w:pPr>
        <w:pStyle w:val="a3"/>
        <w:numPr>
          <w:ilvl w:val="0"/>
          <w:numId w:val="3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gramStart"/>
      <w:r w:rsidRPr="00EC5AF7">
        <w:rPr>
          <w:color w:val="000000" w:themeColor="text1"/>
          <w:sz w:val="28"/>
          <w:szCs w:val="28"/>
        </w:rPr>
        <w:t>белковый для введения в рацион дополнительного белка;</w:t>
      </w:r>
      <w:proofErr w:type="gramEnd"/>
    </w:p>
    <w:p w:rsidR="00EC5AF7" w:rsidRPr="00EC5AF7" w:rsidRDefault="00723FB9" w:rsidP="005457C0">
      <w:pPr>
        <w:pStyle w:val="a3"/>
        <w:numPr>
          <w:ilvl w:val="0"/>
          <w:numId w:val="3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>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:rsidR="00EC5AF7" w:rsidRPr="00EC5AF7" w:rsidRDefault="00723FB9" w:rsidP="005457C0">
      <w:pPr>
        <w:pStyle w:val="a3"/>
        <w:numPr>
          <w:ilvl w:val="0"/>
          <w:numId w:val="3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gramStart"/>
      <w:r w:rsidRPr="00EC5AF7">
        <w:rPr>
          <w:color w:val="000000" w:themeColor="text1"/>
          <w:sz w:val="28"/>
          <w:szCs w:val="28"/>
        </w:rPr>
        <w:t>обезжиренный</w:t>
      </w:r>
      <w:proofErr w:type="gramEnd"/>
      <w:r w:rsidRPr="00EC5AF7">
        <w:rPr>
          <w:color w:val="000000" w:themeColor="text1"/>
          <w:sz w:val="28"/>
          <w:szCs w:val="28"/>
        </w:rPr>
        <w:t xml:space="preserve"> для уменьшения в рационе жира и сохране</w:t>
      </w:r>
      <w:r w:rsidRPr="00EC5AF7">
        <w:rPr>
          <w:color w:val="000000" w:themeColor="text1"/>
          <w:sz w:val="28"/>
          <w:szCs w:val="28"/>
        </w:rPr>
        <w:softHyphen/>
        <w:t>ния нормального уровня белка при дисфункции кишечника, ги</w:t>
      </w:r>
      <w:r w:rsidRPr="00EC5AF7">
        <w:rPr>
          <w:color w:val="000000" w:themeColor="text1"/>
          <w:sz w:val="28"/>
          <w:szCs w:val="28"/>
        </w:rPr>
        <w:softHyphen/>
        <w:t xml:space="preserve">потрофии, </w:t>
      </w:r>
      <w:proofErr w:type="spellStart"/>
      <w:r w:rsidRPr="00EC5AF7">
        <w:rPr>
          <w:color w:val="000000" w:themeColor="text1"/>
          <w:sz w:val="28"/>
          <w:szCs w:val="28"/>
        </w:rPr>
        <w:t>муковисцидозе</w:t>
      </w:r>
      <w:proofErr w:type="spellEnd"/>
      <w:r w:rsidRPr="00EC5AF7">
        <w:rPr>
          <w:color w:val="000000" w:themeColor="text1"/>
          <w:sz w:val="28"/>
          <w:szCs w:val="28"/>
        </w:rPr>
        <w:t>, ожирении;</w:t>
      </w:r>
    </w:p>
    <w:p w:rsidR="007F714A" w:rsidRPr="007F714A" w:rsidRDefault="00723FB9" w:rsidP="005457C0">
      <w:pPr>
        <w:pStyle w:val="a3"/>
        <w:numPr>
          <w:ilvl w:val="0"/>
          <w:numId w:val="3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 xml:space="preserve">противоанемический </w:t>
      </w:r>
      <w:proofErr w:type="spellStart"/>
      <w:r w:rsidRPr="00EC5AF7">
        <w:rPr>
          <w:color w:val="000000" w:themeColor="text1"/>
          <w:sz w:val="28"/>
          <w:szCs w:val="28"/>
        </w:rPr>
        <w:t>энпит</w:t>
      </w:r>
      <w:proofErr w:type="spellEnd"/>
      <w:r w:rsidRPr="00EC5AF7">
        <w:rPr>
          <w:color w:val="000000" w:themeColor="text1"/>
          <w:sz w:val="28"/>
          <w:szCs w:val="28"/>
        </w:rPr>
        <w:t>.</w:t>
      </w:r>
    </w:p>
    <w:p w:rsidR="00723FB9" w:rsidRPr="00EC5AF7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spellStart"/>
      <w:r w:rsidRPr="00EC5AF7">
        <w:rPr>
          <w:color w:val="000000" w:themeColor="text1"/>
          <w:sz w:val="28"/>
          <w:szCs w:val="28"/>
        </w:rPr>
        <w:t>Низколактозные</w:t>
      </w:r>
      <w:proofErr w:type="spellEnd"/>
      <w:r w:rsidRPr="00EC5AF7">
        <w:rPr>
          <w:color w:val="000000" w:themeColor="text1"/>
          <w:sz w:val="28"/>
          <w:szCs w:val="28"/>
        </w:rPr>
        <w:t xml:space="preserve"> смеси — продукты, изготовленные на молоч</w:t>
      </w:r>
      <w:r w:rsidRPr="00EC5AF7">
        <w:rPr>
          <w:color w:val="000000" w:themeColor="text1"/>
          <w:sz w:val="28"/>
          <w:szCs w:val="28"/>
        </w:rPr>
        <w:softHyphen/>
        <w:t>ной основе, освобожденной от лактозы; используются при раз</w:t>
      </w:r>
      <w:r w:rsidRPr="00EC5AF7">
        <w:rPr>
          <w:color w:val="000000" w:themeColor="text1"/>
          <w:sz w:val="28"/>
          <w:szCs w:val="28"/>
        </w:rPr>
        <w:softHyphen/>
        <w:t>личных формах ферментной недостаточности (</w:t>
      </w:r>
      <w:proofErr w:type="spellStart"/>
      <w:r w:rsidRPr="00EC5AF7">
        <w:rPr>
          <w:color w:val="000000" w:themeColor="text1"/>
          <w:sz w:val="28"/>
          <w:szCs w:val="28"/>
        </w:rPr>
        <w:t>лактозная</w:t>
      </w:r>
      <w:proofErr w:type="spellEnd"/>
      <w:r w:rsidRPr="00EC5AF7">
        <w:rPr>
          <w:color w:val="000000" w:themeColor="text1"/>
          <w:sz w:val="28"/>
          <w:szCs w:val="28"/>
        </w:rPr>
        <w:t xml:space="preserve">, </w:t>
      </w:r>
      <w:proofErr w:type="spellStart"/>
      <w:r w:rsidRPr="00EC5AF7">
        <w:rPr>
          <w:color w:val="000000" w:themeColor="text1"/>
          <w:sz w:val="28"/>
          <w:szCs w:val="28"/>
        </w:rPr>
        <w:t>галактоземия</w:t>
      </w:r>
      <w:proofErr w:type="spellEnd"/>
      <w:r w:rsidRPr="00EC5AF7">
        <w:rPr>
          <w:color w:val="000000" w:themeColor="text1"/>
          <w:sz w:val="28"/>
          <w:szCs w:val="28"/>
        </w:rPr>
        <w:t>).</w:t>
      </w:r>
    </w:p>
    <w:p w:rsidR="00723FB9" w:rsidRPr="00EC5AF7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spellStart"/>
      <w:r w:rsidRPr="00EC5AF7">
        <w:rPr>
          <w:color w:val="000000" w:themeColor="text1"/>
          <w:sz w:val="28"/>
          <w:szCs w:val="28"/>
        </w:rPr>
        <w:t>Безбелковые</w:t>
      </w:r>
      <w:proofErr w:type="spellEnd"/>
      <w:r w:rsidRPr="00EC5AF7">
        <w:rPr>
          <w:color w:val="000000" w:themeColor="text1"/>
          <w:sz w:val="28"/>
          <w:szCs w:val="28"/>
        </w:rPr>
        <w:t xml:space="preserve"> продукты — это макаронные изделия, концентра</w:t>
      </w:r>
      <w:r w:rsidRPr="00EC5AF7">
        <w:rPr>
          <w:color w:val="000000" w:themeColor="text1"/>
          <w:sz w:val="28"/>
          <w:szCs w:val="28"/>
        </w:rPr>
        <w:softHyphen/>
        <w:t xml:space="preserve">ты для домашнего приготовления хлеба, кексов, </w:t>
      </w:r>
      <w:proofErr w:type="spellStart"/>
      <w:r w:rsidRPr="00EC5AF7">
        <w:rPr>
          <w:color w:val="000000" w:themeColor="text1"/>
          <w:sz w:val="28"/>
          <w:szCs w:val="28"/>
        </w:rPr>
        <w:t>желированных</w:t>
      </w:r>
      <w:proofErr w:type="spellEnd"/>
      <w:r w:rsidRPr="00EC5AF7">
        <w:rPr>
          <w:color w:val="000000" w:themeColor="text1"/>
          <w:sz w:val="28"/>
          <w:szCs w:val="28"/>
        </w:rPr>
        <w:t xml:space="preserve"> десертных блюд. Вырабатываются на основе пшеничного и куку</w:t>
      </w:r>
      <w:r w:rsidRPr="00EC5AF7">
        <w:rPr>
          <w:color w:val="000000" w:themeColor="text1"/>
          <w:sz w:val="28"/>
          <w:szCs w:val="28"/>
        </w:rPr>
        <w:softHyphen/>
        <w:t>рузного крахмала, отличаются низким содержанием белка.</w:t>
      </w:r>
    </w:p>
    <w:p w:rsidR="00EC5AF7" w:rsidRPr="00EC5AF7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lastRenderedPageBreak/>
        <w:t xml:space="preserve">Больным сахарным диабетом необходимы заменители сахара или </w:t>
      </w:r>
      <w:proofErr w:type="spellStart"/>
      <w:r w:rsidRPr="00EC5AF7">
        <w:rPr>
          <w:color w:val="000000" w:themeColor="text1"/>
          <w:sz w:val="28"/>
          <w:szCs w:val="28"/>
        </w:rPr>
        <w:t>подсластители</w:t>
      </w:r>
      <w:proofErr w:type="spellEnd"/>
      <w:r w:rsidRPr="00EC5AF7">
        <w:rPr>
          <w:color w:val="000000" w:themeColor="text1"/>
          <w:sz w:val="28"/>
          <w:szCs w:val="28"/>
        </w:rPr>
        <w:t>. В настоящее время в качестве заменителей сахара в аптечных учреждениях предлагаются:</w:t>
      </w:r>
    </w:p>
    <w:p w:rsidR="00EC5AF7" w:rsidRPr="00EC5AF7" w:rsidRDefault="00723FB9" w:rsidP="005457C0">
      <w:pPr>
        <w:pStyle w:val="a3"/>
        <w:numPr>
          <w:ilvl w:val="0"/>
          <w:numId w:val="4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>истинные: фруктоза сорбит, ксилит (обладают и сладким вкусом и калорийностью);</w:t>
      </w:r>
    </w:p>
    <w:p w:rsidR="00723FB9" w:rsidRPr="00EC5AF7" w:rsidRDefault="00723FB9" w:rsidP="005457C0">
      <w:pPr>
        <w:pStyle w:val="a3"/>
        <w:numPr>
          <w:ilvl w:val="0"/>
          <w:numId w:val="4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proofErr w:type="spellStart"/>
      <w:r w:rsidRPr="00EC5AF7">
        <w:rPr>
          <w:color w:val="000000" w:themeColor="text1"/>
          <w:sz w:val="28"/>
          <w:szCs w:val="28"/>
        </w:rPr>
        <w:t>подсластители</w:t>
      </w:r>
      <w:proofErr w:type="spellEnd"/>
      <w:r w:rsidRPr="00EC5AF7">
        <w:rPr>
          <w:color w:val="000000" w:themeColor="text1"/>
          <w:sz w:val="28"/>
          <w:szCs w:val="28"/>
        </w:rPr>
        <w:t xml:space="preserve"> или пищевые добавки (в сотни раз слаще сахара, но низкокалорийные).</w:t>
      </w:r>
    </w:p>
    <w:p w:rsidR="00723FB9" w:rsidRPr="00EC5AF7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>Для пациентов с почечной недостаточностью предлагается пи</w:t>
      </w:r>
      <w:r w:rsidRPr="00EC5AF7">
        <w:rPr>
          <w:color w:val="000000" w:themeColor="text1"/>
          <w:sz w:val="28"/>
          <w:szCs w:val="28"/>
        </w:rPr>
        <w:softHyphen/>
        <w:t xml:space="preserve">тательная смесь </w:t>
      </w:r>
      <w:proofErr w:type="spellStart"/>
      <w:r w:rsidRPr="00EC5AF7">
        <w:rPr>
          <w:color w:val="000000" w:themeColor="text1"/>
          <w:sz w:val="28"/>
          <w:szCs w:val="28"/>
        </w:rPr>
        <w:t>Нефрамин</w:t>
      </w:r>
      <w:proofErr w:type="spellEnd"/>
      <w:r w:rsidRPr="00EC5AF7">
        <w:rPr>
          <w:color w:val="000000" w:themeColor="text1"/>
          <w:sz w:val="28"/>
          <w:szCs w:val="28"/>
        </w:rPr>
        <w:t xml:space="preserve"> — </w:t>
      </w:r>
      <w:proofErr w:type="spellStart"/>
      <w:r w:rsidRPr="00EC5AF7">
        <w:rPr>
          <w:color w:val="000000" w:themeColor="text1"/>
          <w:sz w:val="28"/>
          <w:szCs w:val="28"/>
        </w:rPr>
        <w:t>р-р</w:t>
      </w:r>
      <w:proofErr w:type="spellEnd"/>
      <w:r w:rsidRPr="00EC5AF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EC5AF7">
        <w:rPr>
          <w:color w:val="000000" w:themeColor="text1"/>
          <w:sz w:val="28"/>
          <w:szCs w:val="28"/>
        </w:rPr>
        <w:t>инфузий</w:t>
      </w:r>
      <w:proofErr w:type="spellEnd"/>
      <w:r w:rsidRPr="00EC5AF7">
        <w:rPr>
          <w:color w:val="000000" w:themeColor="text1"/>
          <w:sz w:val="28"/>
          <w:szCs w:val="28"/>
        </w:rPr>
        <w:t xml:space="preserve"> (Турция), содержа</w:t>
      </w:r>
      <w:r w:rsidRPr="00EC5AF7">
        <w:rPr>
          <w:color w:val="000000" w:themeColor="text1"/>
          <w:sz w:val="28"/>
          <w:szCs w:val="28"/>
        </w:rPr>
        <w:softHyphen/>
        <w:t>щая белки, жиры, углеводы, витамины, микроэлементы.</w:t>
      </w:r>
    </w:p>
    <w:p w:rsidR="00723FB9" w:rsidRDefault="00723FB9" w:rsidP="005457C0">
      <w:pPr>
        <w:pStyle w:val="a3"/>
        <w:numPr>
          <w:ilvl w:val="0"/>
          <w:numId w:val="1"/>
        </w:numPr>
        <w:shd w:val="clear" w:color="auto" w:fill="FFFFFF"/>
        <w:spacing w:before="134" w:beforeAutospacing="0" w:after="0" w:afterAutospacing="0" w:line="360" w:lineRule="auto"/>
        <w:ind w:right="502" w:firstLine="709"/>
        <w:rPr>
          <w:color w:val="000000" w:themeColor="text1"/>
          <w:sz w:val="28"/>
          <w:szCs w:val="28"/>
        </w:rPr>
      </w:pPr>
      <w:r w:rsidRPr="00EC5AF7">
        <w:rPr>
          <w:color w:val="000000" w:themeColor="text1"/>
          <w:sz w:val="28"/>
          <w:szCs w:val="28"/>
        </w:rPr>
        <w:t xml:space="preserve">Для пациентов с </w:t>
      </w:r>
      <w:proofErr w:type="spellStart"/>
      <w:r w:rsidRPr="00EC5AF7">
        <w:rPr>
          <w:color w:val="000000" w:themeColor="text1"/>
          <w:sz w:val="28"/>
          <w:szCs w:val="28"/>
        </w:rPr>
        <w:t>фенилкетонурией</w:t>
      </w:r>
      <w:proofErr w:type="spellEnd"/>
      <w:r w:rsidRPr="00EC5AF7">
        <w:rPr>
          <w:color w:val="000000" w:themeColor="text1"/>
          <w:sz w:val="28"/>
          <w:szCs w:val="28"/>
        </w:rPr>
        <w:t xml:space="preserve"> есть питательная смесь, со</w:t>
      </w:r>
      <w:r w:rsidRPr="00EC5AF7">
        <w:rPr>
          <w:color w:val="000000" w:themeColor="text1"/>
          <w:sz w:val="28"/>
          <w:szCs w:val="28"/>
        </w:rPr>
        <w:softHyphen/>
        <w:t>держащая комплекс аминокислот, витаминов, макро- и микроэле</w:t>
      </w:r>
      <w:r w:rsidRPr="00EC5AF7">
        <w:rPr>
          <w:color w:val="000000" w:themeColor="text1"/>
          <w:sz w:val="28"/>
          <w:szCs w:val="28"/>
        </w:rPr>
        <w:softHyphen/>
        <w:t xml:space="preserve">ментов — </w:t>
      </w:r>
      <w:proofErr w:type="spellStart"/>
      <w:r w:rsidRPr="00EC5AF7">
        <w:rPr>
          <w:color w:val="000000" w:themeColor="text1"/>
          <w:sz w:val="28"/>
          <w:szCs w:val="28"/>
        </w:rPr>
        <w:t>Нофелан</w:t>
      </w:r>
      <w:proofErr w:type="spellEnd"/>
      <w:proofErr w:type="gramStart"/>
      <w:r w:rsidRPr="00EC5AF7">
        <w:rPr>
          <w:color w:val="000000" w:themeColor="text1"/>
          <w:sz w:val="28"/>
          <w:szCs w:val="28"/>
        </w:rPr>
        <w:t xml:space="preserve"> С</w:t>
      </w:r>
      <w:proofErr w:type="gramEnd"/>
      <w:r w:rsidRPr="00EC5AF7">
        <w:rPr>
          <w:color w:val="000000" w:themeColor="text1"/>
          <w:sz w:val="28"/>
          <w:szCs w:val="28"/>
        </w:rPr>
        <w:t xml:space="preserve"> — порошок для орального </w:t>
      </w:r>
      <w:proofErr w:type="spellStart"/>
      <w:r w:rsidRPr="00EC5AF7">
        <w:rPr>
          <w:color w:val="000000" w:themeColor="text1"/>
          <w:sz w:val="28"/>
          <w:szCs w:val="28"/>
        </w:rPr>
        <w:t>р-ра</w:t>
      </w:r>
      <w:proofErr w:type="spellEnd"/>
      <w:r w:rsidRPr="00EC5AF7">
        <w:rPr>
          <w:color w:val="000000" w:themeColor="text1"/>
          <w:sz w:val="28"/>
          <w:szCs w:val="28"/>
        </w:rPr>
        <w:t xml:space="preserve"> (Польша).</w:t>
      </w:r>
    </w:p>
    <w:p w:rsidR="00EC5AF7" w:rsidRPr="009D7918" w:rsidRDefault="00EC5AF7" w:rsidP="005457C0">
      <w:pPr>
        <w:pStyle w:val="a3"/>
        <w:shd w:val="clear" w:color="auto" w:fill="FFFFFF"/>
        <w:spacing w:before="134" w:beforeAutospacing="0" w:after="0" w:afterAutospacing="0" w:line="360" w:lineRule="auto"/>
        <w:ind w:right="502" w:firstLine="709"/>
        <w:jc w:val="center"/>
        <w:rPr>
          <w:b/>
          <w:color w:val="000000" w:themeColor="text1"/>
          <w:sz w:val="28"/>
          <w:szCs w:val="28"/>
        </w:rPr>
      </w:pPr>
      <w:r w:rsidRPr="009D7918">
        <w:rPr>
          <w:b/>
          <w:color w:val="000000" w:themeColor="text1"/>
          <w:sz w:val="28"/>
          <w:szCs w:val="28"/>
        </w:rPr>
        <w:t>Маркировка диетического питания</w:t>
      </w:r>
    </w:p>
    <w:p w:rsidR="00EC5AF7" w:rsidRPr="005655FD" w:rsidRDefault="00EC5AF7" w:rsidP="005457C0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</w:pPr>
      <w:r w:rsidRPr="00EC5A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О безопасности специализированной пищевой продукции, диетического и лечебно-профилактического питания. Технический регламент</w:t>
      </w:r>
      <w:r w:rsidRPr="00EC5AF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Pr="00EC5A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Таможенного союза</w:t>
      </w:r>
    </w:p>
    <w:p w:rsidR="00EC5AF7" w:rsidRP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Маркировка диетических продуктов включает следующую дополнительную информацию:</w:t>
      </w:r>
    </w:p>
    <w:p w:rsidR="00EC5AF7" w:rsidRPr="00EC5AF7" w:rsidRDefault="00EC5AF7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ингредиентный состав в порядке убывания в весовом или процентом выражении;</w:t>
      </w:r>
    </w:p>
    <w:p w:rsidR="00EC5AF7" w:rsidRPr="00EC5AF7" w:rsidRDefault="00EC5AF7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назначение и условия применения;</w:t>
      </w:r>
    </w:p>
    <w:p w:rsidR="00EC5AF7" w:rsidRPr="00EC5AF7" w:rsidRDefault="00EC5AF7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сведения о пищевой ценности (содержание белков, жиров, углеводов, витаминов, макро- и микроэлементов), процентное содержание от суточной потребности;</w:t>
      </w:r>
    </w:p>
    <w:p w:rsidR="00EC5AF7" w:rsidRPr="00EC5AF7" w:rsidRDefault="00EC5AF7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lastRenderedPageBreak/>
        <w:t>способы и условия приготовления готовых блюд (в отношении концентратов и полуфабрикатов диетических продуктов);</w:t>
      </w:r>
    </w:p>
    <w:p w:rsidR="00EC5AF7" w:rsidRPr="00EC5AF7" w:rsidRDefault="00EC5AF7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условия хранения (в отношении диетических продуктов, для которых установлены требования к условиям их хранения);</w:t>
      </w:r>
    </w:p>
    <w:p w:rsidR="00EC5AF7" w:rsidRPr="00EC5AF7" w:rsidRDefault="00FE71D8" w:rsidP="005457C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противопоказания.</w:t>
      </w:r>
    </w:p>
    <w:p w:rsidR="00EC5AF7" w:rsidRP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В дополнение ко всем указаниям по маркировке, касающимся диетических продуктов с низким содержанием натрия (за исключением заменителей соли как таковых), должны выполняться следующие особые указания по маркировке:</w:t>
      </w:r>
    </w:p>
    <w:p w:rsidR="00EC5AF7" w:rsidRPr="00EC5AF7" w:rsidRDefault="00EC5AF7" w:rsidP="005457C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маркировка должна содержать описание "продукт с низким содержанием натрия" или "продукт с очень низким содержанием натрия";</w:t>
      </w:r>
    </w:p>
    <w:p w:rsidR="00EC5AF7" w:rsidRPr="00EC5AF7" w:rsidRDefault="00EC5AF7" w:rsidP="005457C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содержание натрия должно быть указано на маркировке с точностью до 5 мг/100 грамм, в том числе в расчете на порцию указанного объема при обычном употреблении;</w:t>
      </w:r>
    </w:p>
    <w:p w:rsidR="00EC5AF7" w:rsidRPr="00EC5AF7" w:rsidRDefault="00EC5AF7" w:rsidP="005457C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должно быть указано среднее содержание белков, жиров и углеводов в 100 граммах продукта при обычном употреблении, а также энергетическая ценность в калориях или килоджоулях;</w:t>
      </w:r>
    </w:p>
    <w:p w:rsidR="00EC5AF7" w:rsidRPr="00EC5AF7" w:rsidRDefault="00EC5AF7" w:rsidP="005457C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должно быть указано наличие заменителей соли, перечисленных в приложении 8 настоящего Технического регламента;</w:t>
      </w:r>
    </w:p>
    <w:p w:rsidR="00EC5AF7" w:rsidRPr="00EC5AF7" w:rsidRDefault="00EC5AF7" w:rsidP="005457C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при добавлении заменителя соли, полностью или частично состоящего из соли калия, необходимо указывать на маркировке суммарное содержание калия, выраженное в миллиграммах катиона на 100 грамм продукта при обычном употреблении.</w:t>
      </w:r>
      <w:r w:rsidRPr="00EC5AF7">
        <w:rPr>
          <w:color w:val="000000" w:themeColor="text1"/>
          <w:spacing w:val="2"/>
          <w:sz w:val="28"/>
          <w:szCs w:val="28"/>
        </w:rPr>
        <w:br/>
      </w:r>
    </w:p>
    <w:p w:rsidR="00EC5AF7" w:rsidRP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 xml:space="preserve">Заменители соли должны называться "заменителем соли с низким содержанием натрия" или "диетическая соль с низким содержанием натрия". На маркировке заменителей соли должен </w:t>
      </w:r>
      <w:r w:rsidRPr="00EC5AF7">
        <w:rPr>
          <w:color w:val="000000" w:themeColor="text1"/>
          <w:spacing w:val="2"/>
          <w:sz w:val="28"/>
          <w:szCs w:val="28"/>
        </w:rPr>
        <w:lastRenderedPageBreak/>
        <w:t>содержаться полный список ингредиентов, а также содержание катионов (натрия, калия, кальция, магния, аммония и холина) на 100 грамм массы смеси заменителей.</w:t>
      </w:r>
      <w:r w:rsidRPr="00EC5AF7">
        <w:rPr>
          <w:color w:val="000000" w:themeColor="text1"/>
          <w:spacing w:val="2"/>
          <w:sz w:val="28"/>
          <w:szCs w:val="28"/>
        </w:rPr>
        <w:br/>
      </w:r>
    </w:p>
    <w:p w:rsidR="00EC5AF7" w:rsidRP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Маркировка специализированных продуктов, предназначенных для питания спортсменов должна включать следующую дополнительную информацию:</w:t>
      </w:r>
    </w:p>
    <w:p w:rsidR="00EC5AF7" w:rsidRPr="00EC5AF7" w:rsidRDefault="00EC5AF7" w:rsidP="005457C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 xml:space="preserve">для продуктов, имеющих заданную пищевую и энергетическую ценность и направленную эффективность, состоящих из набора </w:t>
      </w:r>
      <w:proofErr w:type="spellStart"/>
      <w:r w:rsidRPr="00EC5AF7">
        <w:rPr>
          <w:color w:val="000000" w:themeColor="text1"/>
          <w:spacing w:val="2"/>
          <w:sz w:val="28"/>
          <w:szCs w:val="28"/>
        </w:rPr>
        <w:t>нутриентов</w:t>
      </w:r>
      <w:proofErr w:type="spellEnd"/>
      <w:r w:rsidRPr="00EC5AF7">
        <w:rPr>
          <w:color w:val="000000" w:themeColor="text1"/>
          <w:spacing w:val="2"/>
          <w:sz w:val="28"/>
          <w:szCs w:val="28"/>
        </w:rPr>
        <w:t xml:space="preserve"> или представленных их отдельными видами, указывается информация: "специализированный пищевой продукт для питания спортсменов";</w:t>
      </w:r>
    </w:p>
    <w:p w:rsidR="00EC5AF7" w:rsidRPr="00EC5AF7" w:rsidRDefault="00EC5AF7" w:rsidP="005457C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на потребительскую упаковку дополнительно выносится информация: сведения о пищевой и энергетической ценности продукта, доля от физиологической потребности; рекомендуемые дозировки, способы приготовления (при необходимости), условия и длительность применения.</w:t>
      </w:r>
      <w:r w:rsidRPr="00EC5AF7">
        <w:rPr>
          <w:color w:val="000000" w:themeColor="text1"/>
          <w:spacing w:val="2"/>
          <w:sz w:val="28"/>
          <w:szCs w:val="28"/>
        </w:rPr>
        <w:br/>
      </w:r>
    </w:p>
    <w:p w:rsidR="00EC5AF7" w:rsidRP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Нанесение на потребительскую упаковку информации о специальных питательных свойствах, диетическом лечебном, диетическом профилактическом назначении продукта, наличии в нем биологически активных веществ, отсутствии вредных веществ, о показаниях к применению при отдельных видах заболеваний и другие, при наличии документов, подтверждающих данные свойства, выданных уполномоченными органами государств - членов Таможенного союза.</w:t>
      </w:r>
      <w:r w:rsidRPr="00EC5AF7">
        <w:rPr>
          <w:color w:val="000000" w:themeColor="text1"/>
          <w:spacing w:val="2"/>
          <w:sz w:val="28"/>
          <w:szCs w:val="28"/>
        </w:rPr>
        <w:br/>
      </w:r>
    </w:p>
    <w:p w:rsidR="00EC5AF7" w:rsidRDefault="00EC5AF7" w:rsidP="005457C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EC5AF7">
        <w:rPr>
          <w:color w:val="000000" w:themeColor="text1"/>
          <w:spacing w:val="2"/>
          <w:sz w:val="28"/>
          <w:szCs w:val="28"/>
        </w:rPr>
        <w:t>Маркировка и прилагаемые документы должны быть сделаны на языке (языках) той страны, где осуществляется продажа продукта.</w:t>
      </w:r>
    </w:p>
    <w:p w:rsidR="00173784" w:rsidRPr="00EC5AF7" w:rsidRDefault="00173784" w:rsidP="005457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173784" w:rsidRDefault="00173784" w:rsidP="005457C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Правила хранения и реализации диетического питания</w:t>
      </w:r>
    </w:p>
    <w:p w:rsidR="006E256F" w:rsidRDefault="00173784" w:rsidP="005457C0">
      <w:pPr>
        <w:pStyle w:val="a4"/>
        <w:numPr>
          <w:ilvl w:val="0"/>
          <w:numId w:val="2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3784">
        <w:rPr>
          <w:rFonts w:ascii="Times New Roman" w:hAnsi="Times New Roman" w:cs="Times New Roman"/>
          <w:sz w:val="28"/>
        </w:rPr>
        <w:t xml:space="preserve">При хранении пищевой продукции должны соблюдаться условия хранения и срок годности, установленные изготовителем.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технических регламентов Таможенного союза на отдельные виды пищевой продукции. </w:t>
      </w:r>
    </w:p>
    <w:p w:rsidR="006E256F" w:rsidRDefault="00173784" w:rsidP="005457C0">
      <w:pPr>
        <w:pStyle w:val="a4"/>
        <w:numPr>
          <w:ilvl w:val="0"/>
          <w:numId w:val="2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3784">
        <w:rPr>
          <w:rFonts w:ascii="Times New Roman" w:hAnsi="Times New Roman" w:cs="Times New Roman"/>
          <w:sz w:val="28"/>
        </w:rPr>
        <w:t xml:space="preserve">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 </w:t>
      </w:r>
    </w:p>
    <w:p w:rsidR="00173784" w:rsidRPr="00173784" w:rsidRDefault="00173784" w:rsidP="005457C0">
      <w:pPr>
        <w:pStyle w:val="a4"/>
        <w:numPr>
          <w:ilvl w:val="0"/>
          <w:numId w:val="2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3784">
        <w:rPr>
          <w:rFonts w:ascii="Times New Roman" w:hAnsi="Times New Roman" w:cs="Times New Roman"/>
          <w:sz w:val="28"/>
        </w:rPr>
        <w:t>Пищевая продукция, находящаяся на хранении, должна сопровождаться информацией об условиях хранения, сроке годности данной продукции.</w:t>
      </w:r>
    </w:p>
    <w:p w:rsidR="00173784" w:rsidRPr="00FE71D8" w:rsidRDefault="00173784" w:rsidP="00FE71D8">
      <w:pPr>
        <w:pStyle w:val="a4"/>
        <w:numPr>
          <w:ilvl w:val="0"/>
          <w:numId w:val="2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3784">
        <w:rPr>
          <w:rFonts w:ascii="Times New Roman" w:hAnsi="Times New Roman" w:cs="Times New Roman"/>
          <w:sz w:val="28"/>
        </w:rPr>
        <w:t>При реализации пищевой продукции должны соблюдаться условия хранения и сроки годности такой продукции, установленные ее изготовителем. В случае если осуществляется реализация пищевой продукции, неупакованной в потребительскую упаковку или часть информации о которой размещена на листках-вкладышах, прилагаемых к упаковке, продавец обязан довести информацию о такой продукции до потребителя.</w:t>
      </w:r>
    </w:p>
    <w:p w:rsidR="00EC5AF7" w:rsidRDefault="00EC5AF7" w:rsidP="00545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6F">
        <w:rPr>
          <w:rFonts w:ascii="Times New Roman" w:hAnsi="Times New Roman"/>
          <w:b/>
          <w:sz w:val="28"/>
          <w:szCs w:val="28"/>
        </w:rPr>
        <w:t>Детское 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AF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изготовленная</w:t>
      </w:r>
      <w:r w:rsidRPr="00EC5AF7">
        <w:rPr>
          <w:rFonts w:ascii="Times New Roman" w:hAnsi="Times New Roman"/>
          <w:sz w:val="28"/>
          <w:szCs w:val="28"/>
        </w:rPr>
        <w:t xml:space="preserve"> промышленным способом пищевая </w:t>
      </w:r>
      <w:proofErr w:type="gramStart"/>
      <w:r w:rsidRPr="00EC5AF7">
        <w:rPr>
          <w:rFonts w:ascii="Times New Roman" w:hAnsi="Times New Roman"/>
          <w:sz w:val="28"/>
          <w:szCs w:val="28"/>
        </w:rPr>
        <w:t>продукция</w:t>
      </w:r>
      <w:proofErr w:type="gramEnd"/>
      <w:r w:rsidRPr="00EC5AF7">
        <w:rPr>
          <w:rFonts w:ascii="Times New Roman" w:hAnsi="Times New Roman"/>
          <w:sz w:val="28"/>
          <w:szCs w:val="28"/>
        </w:rPr>
        <w:t xml:space="preserve"> адаптированная к физиологическим особенностям организма ребенка и предназначена для обеспечения его потребностей в питательных веществах. </w:t>
      </w:r>
    </w:p>
    <w:p w:rsidR="00EC5AF7" w:rsidRPr="008A4078" w:rsidRDefault="00EC5AF7" w:rsidP="005457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Детское питание промышленного производства подразделяет</w:t>
      </w:r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ся </w:t>
      </w:r>
      <w:proofErr w:type="gramStart"/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E0862" w:rsidRPr="008A4078" w:rsidRDefault="00EC5AF7" w:rsidP="005457C0">
      <w:pPr>
        <w:pStyle w:val="a4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молочные продукты для вскармливания детей грудн</w:t>
      </w:r>
      <w:r w:rsidR="005E0862"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возраста (молочные смеси)</w:t>
      </w:r>
    </w:p>
    <w:p w:rsidR="005E0862" w:rsidRPr="008A4078" w:rsidRDefault="005E0862" w:rsidP="005457C0">
      <w:pPr>
        <w:pStyle w:val="a4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адаптированные</w:t>
      </w:r>
    </w:p>
    <w:p w:rsidR="005E0862" w:rsidRPr="008A4078" w:rsidRDefault="005E0862" w:rsidP="005457C0">
      <w:pPr>
        <w:pStyle w:val="a4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неадаптированные</w:t>
      </w:r>
    </w:p>
    <w:p w:rsidR="005E0862" w:rsidRPr="008A4078" w:rsidRDefault="005E0862" w:rsidP="005457C0">
      <w:pPr>
        <w:pStyle w:val="a4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больных детей</w:t>
      </w:r>
    </w:p>
    <w:p w:rsidR="00EC5AF7" w:rsidRPr="008A4078" w:rsidRDefault="00EC5AF7" w:rsidP="005457C0">
      <w:pPr>
        <w:pStyle w:val="a4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консервированные продукты для питания детей</w:t>
      </w:r>
    </w:p>
    <w:p w:rsidR="005E0862" w:rsidRPr="008A4078" w:rsidRDefault="005E0862" w:rsidP="005457C0">
      <w:pPr>
        <w:pStyle w:val="a4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каши, пюре</w:t>
      </w:r>
    </w:p>
    <w:p w:rsidR="005E0862" w:rsidRPr="008A4078" w:rsidRDefault="005E0862" w:rsidP="005457C0">
      <w:pPr>
        <w:pStyle w:val="a4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соки</w:t>
      </w:r>
      <w:proofErr w:type="gramStart"/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,й</w:t>
      </w:r>
      <w:proofErr w:type="gramEnd"/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огурты</w:t>
      </w:r>
      <w:proofErr w:type="spellEnd"/>
    </w:p>
    <w:p w:rsidR="005E0862" w:rsidRPr="008A4078" w:rsidRDefault="005E0862" w:rsidP="005457C0">
      <w:pPr>
        <w:pStyle w:val="a4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78">
        <w:rPr>
          <w:rFonts w:ascii="Times New Roman" w:hAnsi="Times New Roman" w:cs="Times New Roman"/>
          <w:color w:val="000000" w:themeColor="text1"/>
          <w:sz w:val="28"/>
          <w:szCs w:val="28"/>
        </w:rPr>
        <w:t>джемы и др.</w:t>
      </w:r>
    </w:p>
    <w:p w:rsidR="005E0862" w:rsidRPr="005E0862" w:rsidRDefault="005E0862" w:rsidP="005457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Сухие адаптированные молочные смеси — это сбалансирован</w:t>
      </w:r>
      <w:r w:rsidRPr="005E0862">
        <w:rPr>
          <w:rFonts w:ascii="Times New Roman" w:hAnsi="Times New Roman" w:cs="Times New Roman"/>
          <w:sz w:val="28"/>
        </w:rPr>
        <w:softHyphen/>
        <w:t>ные по составу всех компонентов и максимально приближенные к грудному молоку продукты. Они изготавливаются из высокока</w:t>
      </w:r>
      <w:r w:rsidRPr="005E0862">
        <w:rPr>
          <w:rFonts w:ascii="Times New Roman" w:hAnsi="Times New Roman" w:cs="Times New Roman"/>
          <w:sz w:val="28"/>
        </w:rPr>
        <w:softHyphen/>
        <w:t>чественного молочного и немолочного сырья (растительное мас</w:t>
      </w:r>
      <w:r w:rsidRPr="005E0862">
        <w:rPr>
          <w:rFonts w:ascii="Times New Roman" w:hAnsi="Times New Roman" w:cs="Times New Roman"/>
          <w:sz w:val="28"/>
        </w:rPr>
        <w:softHyphen/>
        <w:t xml:space="preserve">ло, </w:t>
      </w:r>
      <w:proofErr w:type="spellStart"/>
      <w:r w:rsidRPr="005E0862">
        <w:rPr>
          <w:rFonts w:ascii="Times New Roman" w:hAnsi="Times New Roman" w:cs="Times New Roman"/>
          <w:sz w:val="28"/>
        </w:rPr>
        <w:t>ди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5E0862">
        <w:rPr>
          <w:rFonts w:ascii="Times New Roman" w:hAnsi="Times New Roman" w:cs="Times New Roman"/>
          <w:sz w:val="28"/>
        </w:rPr>
        <w:t xml:space="preserve">и </w:t>
      </w:r>
      <w:proofErr w:type="gramEnd"/>
      <w:r w:rsidRPr="005E0862">
        <w:rPr>
          <w:rFonts w:ascii="Times New Roman" w:hAnsi="Times New Roman" w:cs="Times New Roman"/>
          <w:sz w:val="28"/>
        </w:rPr>
        <w:t>полисахариды, витамины). Отличаются повышенной стой</w:t>
      </w:r>
      <w:r w:rsidRPr="005E0862">
        <w:rPr>
          <w:rFonts w:ascii="Times New Roman" w:hAnsi="Times New Roman" w:cs="Times New Roman"/>
          <w:sz w:val="28"/>
        </w:rPr>
        <w:softHyphen/>
        <w:t xml:space="preserve">костью при хранении, </w:t>
      </w:r>
      <w:proofErr w:type="gramStart"/>
      <w:r w:rsidRPr="005E0862">
        <w:rPr>
          <w:rFonts w:ascii="Times New Roman" w:hAnsi="Times New Roman" w:cs="Times New Roman"/>
          <w:sz w:val="28"/>
        </w:rPr>
        <w:t>удобны</w:t>
      </w:r>
      <w:proofErr w:type="gramEnd"/>
      <w:r w:rsidRPr="005E0862">
        <w:rPr>
          <w:rFonts w:ascii="Times New Roman" w:hAnsi="Times New Roman" w:cs="Times New Roman"/>
          <w:sz w:val="28"/>
        </w:rPr>
        <w:t xml:space="preserve"> в обращении, гарантированы в са</w:t>
      </w:r>
      <w:r w:rsidRPr="005E0862">
        <w:rPr>
          <w:rFonts w:ascii="Times New Roman" w:hAnsi="Times New Roman" w:cs="Times New Roman"/>
          <w:sz w:val="28"/>
        </w:rPr>
        <w:softHyphen/>
        <w:t xml:space="preserve">нитарно-гигиеническом отношении. 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Различают два типа:</w:t>
      </w:r>
    </w:p>
    <w:p w:rsidR="005E0862" w:rsidRPr="005E0862" w:rsidRDefault="005E0862" w:rsidP="005457C0">
      <w:pPr>
        <w:pStyle w:val="a4"/>
        <w:numPr>
          <w:ilvl w:val="0"/>
          <w:numId w:val="17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на</w:t>
      </w:r>
      <w:r w:rsidRPr="005E0862">
        <w:rPr>
          <w:rFonts w:ascii="Times New Roman" w:hAnsi="Times New Roman" w:cs="Times New Roman"/>
          <w:sz w:val="28"/>
        </w:rPr>
        <w:softHyphen/>
        <w:t>чальные — используются в течение первых 2 мес. жизни ребенка;</w:t>
      </w:r>
    </w:p>
    <w:p w:rsidR="005E0862" w:rsidRDefault="005E0862" w:rsidP="005457C0">
      <w:pPr>
        <w:pStyle w:val="a4"/>
        <w:numPr>
          <w:ilvl w:val="0"/>
          <w:numId w:val="17"/>
        </w:num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последующие — для дальнейшего вс</w:t>
      </w:r>
      <w:r>
        <w:rPr>
          <w:rFonts w:ascii="Times New Roman" w:hAnsi="Times New Roman" w:cs="Times New Roman"/>
          <w:sz w:val="28"/>
        </w:rPr>
        <w:t>кармливания детей, после 2 мес.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5E0862">
        <w:rPr>
          <w:rFonts w:ascii="Times New Roman" w:hAnsi="Times New Roman" w:cs="Times New Roman"/>
          <w:sz w:val="28"/>
        </w:rPr>
        <w:t>Однако большинство смесей могут быть использованы при кормлении детей от рождения до полугода, года.</w:t>
      </w:r>
      <w:proofErr w:type="gramEnd"/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Адаптированные молочные смеси выпускаются в большом ас</w:t>
      </w:r>
      <w:r w:rsidRPr="005E0862">
        <w:rPr>
          <w:rFonts w:ascii="Times New Roman" w:hAnsi="Times New Roman" w:cs="Times New Roman"/>
          <w:sz w:val="28"/>
        </w:rPr>
        <w:softHyphen/>
        <w:t xml:space="preserve">сортименте многими фирмами: </w:t>
      </w:r>
      <w:proofErr w:type="spellStart"/>
      <w:r w:rsidRPr="005E0862">
        <w:rPr>
          <w:rFonts w:ascii="Times New Roman" w:hAnsi="Times New Roman" w:cs="Times New Roman"/>
          <w:sz w:val="28"/>
        </w:rPr>
        <w:t>Пилтти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Бона (Финляндия), </w:t>
      </w:r>
      <w:proofErr w:type="spellStart"/>
      <w:r w:rsidRPr="005E0862">
        <w:rPr>
          <w:rFonts w:ascii="Times New Roman" w:hAnsi="Times New Roman" w:cs="Times New Roman"/>
          <w:sz w:val="28"/>
        </w:rPr>
        <w:t>Симилак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(США), </w:t>
      </w:r>
      <w:proofErr w:type="spellStart"/>
      <w:r w:rsidRPr="005E0862">
        <w:rPr>
          <w:rFonts w:ascii="Times New Roman" w:hAnsi="Times New Roman" w:cs="Times New Roman"/>
          <w:sz w:val="28"/>
        </w:rPr>
        <w:t>Нан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(Швейцария), </w:t>
      </w:r>
      <w:proofErr w:type="spellStart"/>
      <w:r w:rsidRPr="005E0862">
        <w:rPr>
          <w:rFonts w:ascii="Times New Roman" w:hAnsi="Times New Roman" w:cs="Times New Roman"/>
          <w:sz w:val="28"/>
        </w:rPr>
        <w:t>Нутрилон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(Голландия) и многие другие. Многие производители выпускают и детские консервиро</w:t>
      </w:r>
      <w:r w:rsidRPr="005E0862">
        <w:rPr>
          <w:rFonts w:ascii="Times New Roman" w:hAnsi="Times New Roman" w:cs="Times New Roman"/>
          <w:sz w:val="28"/>
        </w:rPr>
        <w:softHyphen/>
        <w:t>ванные продукты.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В качестве заменителя грудного молока выпускаются питатель</w:t>
      </w:r>
      <w:r w:rsidRPr="005E0862">
        <w:rPr>
          <w:rFonts w:ascii="Times New Roman" w:hAnsi="Times New Roman" w:cs="Times New Roman"/>
          <w:sz w:val="28"/>
        </w:rPr>
        <w:softHyphen/>
        <w:t xml:space="preserve">ные смеси — </w:t>
      </w:r>
      <w:proofErr w:type="spellStart"/>
      <w:r w:rsidRPr="005E0862">
        <w:rPr>
          <w:rFonts w:ascii="Times New Roman" w:hAnsi="Times New Roman" w:cs="Times New Roman"/>
          <w:sz w:val="28"/>
        </w:rPr>
        <w:t>Милдибе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(Венгрия), а также питательные концентра</w:t>
      </w:r>
      <w:r w:rsidRPr="005E0862">
        <w:rPr>
          <w:rFonts w:ascii="Times New Roman" w:hAnsi="Times New Roman" w:cs="Times New Roman"/>
          <w:sz w:val="28"/>
        </w:rPr>
        <w:softHyphen/>
        <w:t xml:space="preserve">ты этой же фирмы </w:t>
      </w:r>
      <w:proofErr w:type="spellStart"/>
      <w:r w:rsidRPr="005E0862">
        <w:rPr>
          <w:rFonts w:ascii="Times New Roman" w:hAnsi="Times New Roman" w:cs="Times New Roman"/>
          <w:sz w:val="28"/>
        </w:rPr>
        <w:t>Робеби</w:t>
      </w:r>
      <w:proofErr w:type="spellEnd"/>
      <w:proofErr w:type="gramStart"/>
      <w:r w:rsidRPr="005E0862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5E0862">
        <w:rPr>
          <w:rFonts w:ascii="Times New Roman" w:hAnsi="Times New Roman" w:cs="Times New Roman"/>
          <w:sz w:val="28"/>
        </w:rPr>
        <w:t xml:space="preserve">, Б, </w:t>
      </w:r>
      <w:proofErr w:type="spellStart"/>
      <w:r w:rsidRPr="005E0862">
        <w:rPr>
          <w:rFonts w:ascii="Times New Roman" w:hAnsi="Times New Roman" w:cs="Times New Roman"/>
          <w:sz w:val="28"/>
        </w:rPr>
        <w:t>Роболакт</w:t>
      </w:r>
      <w:proofErr w:type="spellEnd"/>
      <w:r w:rsidRPr="005E0862">
        <w:rPr>
          <w:rFonts w:ascii="Times New Roman" w:hAnsi="Times New Roman" w:cs="Times New Roman"/>
          <w:sz w:val="28"/>
        </w:rPr>
        <w:t>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ЭнфаМама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сбалансированный напиток на основе молока, специально созданный для удовлетворения особых потребностей в питании (в витаминах, минеральных веществах и микроэлемен</w:t>
      </w:r>
      <w:r w:rsidRPr="005E0862">
        <w:rPr>
          <w:rFonts w:ascii="Times New Roman" w:hAnsi="Times New Roman" w:cs="Times New Roman"/>
          <w:sz w:val="28"/>
        </w:rPr>
        <w:softHyphen/>
        <w:t>тах), возникающих во время беременности и кормления грудью.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lastRenderedPageBreak/>
        <w:t>Энфалак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специализированная молочная смесь для вскарм</w:t>
      </w:r>
      <w:r w:rsidRPr="005E0862">
        <w:rPr>
          <w:rFonts w:ascii="Times New Roman" w:hAnsi="Times New Roman" w:cs="Times New Roman"/>
          <w:sz w:val="28"/>
        </w:rPr>
        <w:softHyphen/>
        <w:t>ливания недоношенных детей или с малым весом.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Энфамил-1 — адаптированная молочная смесь, максимально приближенная по составу к грудному молоку, используется для вскармливания детей с рождения до 4-6 мес. Энфамил-2 — адап</w:t>
      </w:r>
      <w:r w:rsidRPr="005E0862">
        <w:rPr>
          <w:rFonts w:ascii="Times New Roman" w:hAnsi="Times New Roman" w:cs="Times New Roman"/>
          <w:sz w:val="28"/>
        </w:rPr>
        <w:softHyphen/>
        <w:t>тированная молочная смесь для детей от 6 мес. до года.</w:t>
      </w:r>
    </w:p>
    <w:p w:rsidR="00EC5AF7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Энфамил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Соя — адаптированная безмолочная смесь на основе </w:t>
      </w:r>
      <w:proofErr w:type="spellStart"/>
      <w:r w:rsidRPr="005E0862">
        <w:rPr>
          <w:rFonts w:ascii="Times New Roman" w:hAnsi="Times New Roman" w:cs="Times New Roman"/>
          <w:sz w:val="28"/>
        </w:rPr>
        <w:t>изолята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белка сои, не содержащая лактозу и сахарозу; предназна</w:t>
      </w:r>
      <w:r w:rsidRPr="005E0862">
        <w:rPr>
          <w:rFonts w:ascii="Times New Roman" w:hAnsi="Times New Roman" w:cs="Times New Roman"/>
          <w:sz w:val="28"/>
        </w:rPr>
        <w:softHyphen/>
        <w:t xml:space="preserve">чена для вскармливания детей с рождения до года, а также для детей с аллергией на коровье молоко, с </w:t>
      </w:r>
      <w:proofErr w:type="spellStart"/>
      <w:r w:rsidRPr="005E0862">
        <w:rPr>
          <w:rFonts w:ascii="Times New Roman" w:hAnsi="Times New Roman" w:cs="Times New Roman"/>
          <w:sz w:val="28"/>
        </w:rPr>
        <w:t>лактозной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недостаточнос</w:t>
      </w:r>
      <w:r w:rsidRPr="005E0862">
        <w:rPr>
          <w:rFonts w:ascii="Times New Roman" w:hAnsi="Times New Roman" w:cs="Times New Roman"/>
          <w:sz w:val="28"/>
        </w:rPr>
        <w:softHyphen/>
        <w:t xml:space="preserve">тью, с непереносимостью сахарозы, </w:t>
      </w:r>
      <w:proofErr w:type="spellStart"/>
      <w:r w:rsidRPr="005E0862">
        <w:rPr>
          <w:rFonts w:ascii="Times New Roman" w:hAnsi="Times New Roman" w:cs="Times New Roman"/>
          <w:sz w:val="28"/>
        </w:rPr>
        <w:t>галактоземией</w:t>
      </w:r>
      <w:proofErr w:type="spellEnd"/>
      <w:r w:rsidRPr="005E0862">
        <w:rPr>
          <w:rFonts w:ascii="Times New Roman" w:hAnsi="Times New Roman" w:cs="Times New Roman"/>
          <w:sz w:val="28"/>
        </w:rPr>
        <w:t>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Энфамил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Юниор — калорийная сбалансированная молочная смесь для детей старше 1 года, позволяет компенсировать допол</w:t>
      </w:r>
      <w:r w:rsidRPr="005E0862">
        <w:rPr>
          <w:rFonts w:ascii="Times New Roman" w:hAnsi="Times New Roman" w:cs="Times New Roman"/>
          <w:sz w:val="28"/>
        </w:rPr>
        <w:softHyphen/>
        <w:t>нительные потребности в пищевых веществах и энергии ребенку в зависимости от возраста.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Нутрамиген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лечебная смесь для грудных и более старших детей, страдающих тяжелыми формами поливалентной пищевой аллергии, больных </w:t>
      </w:r>
      <w:proofErr w:type="spellStart"/>
      <w:r w:rsidRPr="005E0862">
        <w:rPr>
          <w:rFonts w:ascii="Times New Roman" w:hAnsi="Times New Roman" w:cs="Times New Roman"/>
          <w:sz w:val="28"/>
        </w:rPr>
        <w:t>муковисцидозом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0862">
        <w:rPr>
          <w:rFonts w:ascii="Times New Roman" w:hAnsi="Times New Roman" w:cs="Times New Roman"/>
          <w:sz w:val="28"/>
        </w:rPr>
        <w:t>целиакией</w:t>
      </w:r>
      <w:proofErr w:type="spellEnd"/>
      <w:r w:rsidRPr="005E0862">
        <w:rPr>
          <w:rFonts w:ascii="Times New Roman" w:hAnsi="Times New Roman" w:cs="Times New Roman"/>
          <w:sz w:val="28"/>
        </w:rPr>
        <w:t>, синдромом корот</w:t>
      </w:r>
      <w:r w:rsidRPr="005E0862">
        <w:rPr>
          <w:rFonts w:ascii="Times New Roman" w:hAnsi="Times New Roman" w:cs="Times New Roman"/>
          <w:sz w:val="28"/>
        </w:rPr>
        <w:softHyphen/>
        <w:t xml:space="preserve">кой кишки, </w:t>
      </w:r>
      <w:proofErr w:type="spellStart"/>
      <w:r w:rsidRPr="005E0862">
        <w:rPr>
          <w:rFonts w:ascii="Times New Roman" w:hAnsi="Times New Roman" w:cs="Times New Roman"/>
          <w:sz w:val="28"/>
        </w:rPr>
        <w:t>лактозной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недостаточностью.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НАН — полностью адаптированная детская молочная смесь, по составу и всасываемости близкая к женскому молоку, предназна</w:t>
      </w:r>
      <w:r w:rsidRPr="005E0862">
        <w:rPr>
          <w:rFonts w:ascii="Times New Roman" w:hAnsi="Times New Roman" w:cs="Times New Roman"/>
          <w:sz w:val="28"/>
        </w:rPr>
        <w:softHyphen/>
        <w:t>чена здоровым детям в возрасте 0-12 мес.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Нестожен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сухая молочная смесь для вскармливания детей 0-12 мес. жизни.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Алсой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детская питательная смесь на основе соевого </w:t>
      </w:r>
      <w:proofErr w:type="spellStart"/>
      <w:r w:rsidRPr="005E0862">
        <w:rPr>
          <w:rFonts w:ascii="Times New Roman" w:hAnsi="Times New Roman" w:cs="Times New Roman"/>
          <w:sz w:val="28"/>
        </w:rPr>
        <w:t>изолята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; для вскармливания детей с аллергией к белкам коровьего молока или </w:t>
      </w:r>
      <w:proofErr w:type="spellStart"/>
      <w:r w:rsidRPr="005E0862">
        <w:rPr>
          <w:rFonts w:ascii="Times New Roman" w:hAnsi="Times New Roman" w:cs="Times New Roman"/>
          <w:sz w:val="28"/>
        </w:rPr>
        <w:t>лактозной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недостаточностью.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АЛ-110 — детская смесь, не содержащая лактозы; для кормле</w:t>
      </w:r>
      <w:r w:rsidRPr="005E0862">
        <w:rPr>
          <w:rFonts w:ascii="Times New Roman" w:hAnsi="Times New Roman" w:cs="Times New Roman"/>
          <w:sz w:val="28"/>
        </w:rPr>
        <w:softHyphen/>
        <w:t>ния детей и взрослых с дефицитом лактозы.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Алпрем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специально разработанная смесь для вскармливания недоношенных детей и детей с низкой массой тела при рожде</w:t>
      </w:r>
      <w:r w:rsidRPr="005E0862">
        <w:rPr>
          <w:rFonts w:ascii="Times New Roman" w:hAnsi="Times New Roman" w:cs="Times New Roman"/>
          <w:sz w:val="28"/>
        </w:rPr>
        <w:softHyphen/>
        <w:t>нии.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lastRenderedPageBreak/>
        <w:t>Алфаре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полуэлементная </w:t>
      </w:r>
      <w:proofErr w:type="spellStart"/>
      <w:r w:rsidRPr="005E0862">
        <w:rPr>
          <w:rFonts w:ascii="Times New Roman" w:hAnsi="Times New Roman" w:cs="Times New Roman"/>
          <w:sz w:val="28"/>
        </w:rPr>
        <w:t>низкомолярная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смесь, состоящая из компонентов, легко всасывающихся в кишечнике больного ребенка; для детей с тяжелой диареей, аллергией к коровьему молоку, сое.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В ассортимент простых неадаптированных молочных смесей входят «Крепыш», «Здоровье»; их нельзя использовать в качестве основного продукта питания длительное время.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Кисломолочные ацидофильные смеси для лечебного питания детей первого года жизни наиболее приближены по составу к груд</w:t>
      </w:r>
      <w:r w:rsidRPr="005E0862">
        <w:rPr>
          <w:rFonts w:ascii="Times New Roman" w:hAnsi="Times New Roman" w:cs="Times New Roman"/>
          <w:sz w:val="28"/>
        </w:rPr>
        <w:softHyphen/>
        <w:t>ному молоку. Содержат в мелкодисперсном состоянии жир, обога</w:t>
      </w:r>
      <w:r w:rsidRPr="005E0862">
        <w:rPr>
          <w:rFonts w:ascii="Times New Roman" w:hAnsi="Times New Roman" w:cs="Times New Roman"/>
          <w:sz w:val="28"/>
        </w:rPr>
        <w:softHyphen/>
        <w:t>щенный полиненасыщенными жирными кислотами (Г1НЖК), что улучшает его усвоение и положительно влияет на обменные про</w:t>
      </w:r>
      <w:r w:rsidRPr="005E0862">
        <w:rPr>
          <w:rFonts w:ascii="Times New Roman" w:hAnsi="Times New Roman" w:cs="Times New Roman"/>
          <w:sz w:val="28"/>
        </w:rPr>
        <w:softHyphen/>
        <w:t xml:space="preserve">цессы. К ним относят ацидофильные смеси Малютка, Малыш, </w:t>
      </w:r>
      <w:proofErr w:type="spellStart"/>
      <w:r w:rsidRPr="005E0862">
        <w:rPr>
          <w:rFonts w:ascii="Times New Roman" w:hAnsi="Times New Roman" w:cs="Times New Roman"/>
          <w:sz w:val="28"/>
        </w:rPr>
        <w:t>Виталакт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(Россия).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E0862">
        <w:rPr>
          <w:rFonts w:ascii="Times New Roman" w:hAnsi="Times New Roman" w:cs="Times New Roman"/>
          <w:sz w:val="28"/>
        </w:rPr>
        <w:t>Также для детей производятся различные мясные, злаковые и фруктовые консервы, пюре, запеканки, каши, йогурты, соки, джемы и др.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Данон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жидкие и сухие каши-порошки (кукурузная, фрукто</w:t>
      </w:r>
      <w:r w:rsidRPr="005E0862">
        <w:rPr>
          <w:rFonts w:ascii="Times New Roman" w:hAnsi="Times New Roman" w:cs="Times New Roman"/>
          <w:sz w:val="28"/>
        </w:rPr>
        <w:softHyphen/>
        <w:t>вая, 5 злаков, банановая, овощная, ореховая, лесная ягода, бисквит</w:t>
      </w:r>
      <w:r w:rsidRPr="005E0862">
        <w:rPr>
          <w:rFonts w:ascii="Times New Roman" w:hAnsi="Times New Roman" w:cs="Times New Roman"/>
          <w:sz w:val="28"/>
        </w:rPr>
        <w:softHyphen/>
        <w:t>ная с молоком) — для детей с 4-х мес., все содержат витамины группы</w:t>
      </w:r>
      <w:proofErr w:type="gramStart"/>
      <w:r w:rsidRPr="005E086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E0862">
        <w:rPr>
          <w:rFonts w:ascii="Times New Roman" w:hAnsi="Times New Roman" w:cs="Times New Roman"/>
          <w:sz w:val="28"/>
        </w:rPr>
        <w:t xml:space="preserve"> и железо; супы в пакетиках — с 4-х мес., содержат 6 витаминов и железо; сухие готовые блюда (говядина с овощами, треска с овощами, свинина с зелеными овощами, курица с морко</w:t>
      </w:r>
      <w:r w:rsidRPr="005E0862">
        <w:rPr>
          <w:rFonts w:ascii="Times New Roman" w:hAnsi="Times New Roman" w:cs="Times New Roman"/>
          <w:sz w:val="28"/>
        </w:rPr>
        <w:softHyphen/>
        <w:t>вью) — с 6 мес.</w:t>
      </w:r>
    </w:p>
    <w:p w:rsidR="005E0862" w:rsidRP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5E0862">
        <w:rPr>
          <w:rFonts w:ascii="Times New Roman" w:hAnsi="Times New Roman" w:cs="Times New Roman"/>
          <w:sz w:val="28"/>
        </w:rPr>
        <w:t>Бона — пюре овощные, ягодные, фруктовые (с 3-х мес.); из мяса, курицы, рыбы и овощей, йогурта, творога (с 5 мес.); крупноизмельченные рагу из говядины, свинины, курицы и овощей (с 8 мес.) разрабатывают жевание; еще более крупноизмельченное рагу с добавление приправ (1-3 года); овощные и фруктовые соки — с 4-х мес.</w:t>
      </w:r>
      <w:proofErr w:type="gramEnd"/>
    </w:p>
    <w:p w:rsidR="005E0862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5E0862">
        <w:rPr>
          <w:rFonts w:ascii="Times New Roman" w:hAnsi="Times New Roman" w:cs="Times New Roman"/>
          <w:sz w:val="28"/>
        </w:rPr>
        <w:t>Нестле</w:t>
      </w:r>
      <w:proofErr w:type="spellEnd"/>
      <w:r w:rsidRPr="005E0862">
        <w:rPr>
          <w:rFonts w:ascii="Times New Roman" w:hAnsi="Times New Roman" w:cs="Times New Roman"/>
          <w:sz w:val="28"/>
        </w:rPr>
        <w:t xml:space="preserve"> — детские каши быстрого приготовления (разводимые водой или молоком, или заменителем грудного молока): молочная каша с пшеницей, молочная каша с 3 фруктами, молочная каша с пшеницей и бананом, соевая каша с рисом, рисовая каша, каша из 5 злаков без молока, рисовая каша с 3 фруктами.</w:t>
      </w:r>
    </w:p>
    <w:p w:rsidR="005E0862" w:rsidRPr="009D7918" w:rsidRDefault="005E0862" w:rsidP="005457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D7918">
        <w:rPr>
          <w:rFonts w:ascii="Times New Roman" w:hAnsi="Times New Roman" w:cs="Times New Roman"/>
          <w:b/>
          <w:sz w:val="28"/>
        </w:rPr>
        <w:lastRenderedPageBreak/>
        <w:t>Маркировка детского питания</w:t>
      </w:r>
    </w:p>
    <w:p w:rsidR="005E0862" w:rsidRPr="005E0862" w:rsidRDefault="005E0862" w:rsidP="005457C0">
      <w:pPr>
        <w:pStyle w:val="headertext"/>
        <w:shd w:val="clear" w:color="auto" w:fill="FFFFFF"/>
        <w:spacing w:before="167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E0862">
        <w:rPr>
          <w:color w:val="000000" w:themeColor="text1"/>
          <w:spacing w:val="2"/>
          <w:sz w:val="28"/>
          <w:szCs w:val="28"/>
        </w:rPr>
        <w:t>РОССИЙСКАЯ ФЕДЕРАЦИЯ</w:t>
      </w:r>
    </w:p>
    <w:p w:rsidR="005E0862" w:rsidRPr="005E0862" w:rsidRDefault="005E0862" w:rsidP="005457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5E0862" w:rsidRPr="005E0862" w:rsidRDefault="005E0862" w:rsidP="005457C0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E0862">
        <w:rPr>
          <w:color w:val="000000" w:themeColor="text1"/>
          <w:spacing w:val="2"/>
          <w:sz w:val="28"/>
          <w:szCs w:val="28"/>
        </w:rPr>
        <w:t>ФЕДЕРАЛЬНЫЙ ЗАКОН</w:t>
      </w:r>
    </w:p>
    <w:p w:rsidR="005E0862" w:rsidRPr="005E0862" w:rsidRDefault="005E0862" w:rsidP="005457C0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E0862">
        <w:rPr>
          <w:color w:val="000000" w:themeColor="text1"/>
          <w:spacing w:val="2"/>
          <w:sz w:val="28"/>
          <w:szCs w:val="28"/>
        </w:rPr>
        <w:t>Технический регламент</w:t>
      </w:r>
    </w:p>
    <w:p w:rsidR="005E0862" w:rsidRDefault="005E0862" w:rsidP="005457C0">
      <w:pPr>
        <w:pStyle w:val="headertext"/>
        <w:shd w:val="clear" w:color="auto" w:fill="FFFFFF"/>
        <w:spacing w:before="167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E0862">
        <w:rPr>
          <w:color w:val="000000" w:themeColor="text1"/>
          <w:spacing w:val="2"/>
          <w:sz w:val="28"/>
          <w:szCs w:val="28"/>
        </w:rPr>
        <w:t>"О безопасности продуктов детского питания"</w:t>
      </w:r>
    </w:p>
    <w:p w:rsidR="005E0862" w:rsidRPr="005E3864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Маркировка продуктов для детского питания должна осуществляться в соответствии с требованиями специальных технических регламентов.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0862" w:rsidRPr="005E3864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 xml:space="preserve">В маркировке пищевых продуктов, предназначенных для питания детей, должно быть указано шрифтом, размером, не </w:t>
      </w:r>
      <w:proofErr w:type="gramStart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менее основного</w:t>
      </w:r>
      <w:proofErr w:type="gramEnd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, "Для детского питания".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0862" w:rsidRPr="005E3864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В маркировке пищевых продуктов, предназначенных для питания детей раннего возраста, должны быть приведены возрастные рекомендации по использованию продукто</w:t>
      </w:r>
      <w:r w:rsidR="005E3864"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в</w:t>
      </w: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;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3864" w:rsidRPr="005E3864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Маркировка должна включать следующую информацию: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наименование пищевого продукта;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наименование и местонахождение (адрес) изготовителя, упаковщика, экспортера, импортера, наименование страны и места происхождения;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товарный знак изготовителя (при наличии);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масса нетто или объем;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lastRenderedPageBreak/>
        <w:t>состав продукта;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пищевую ценность продукта*, включая содержание витаминов, минеральных веществ, и энергетическую ценность (при обогащении продукта - % от суточной потребности);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условия хранения до и после вскрытия потребительской упаковки;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дата изготовления и дата упаковывания;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срок годности до и после вскрытия потребительской упаковки;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способ приготовления (при необходимости);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рекомендации по использованию;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обозначение документа, в соответствии с которым изготовлен и может быть идентифицирован продукт;</w:t>
      </w:r>
    </w:p>
    <w:p w:rsidR="005E3864" w:rsidRPr="005E3864" w:rsidRDefault="005E0862" w:rsidP="005457C0">
      <w:pPr>
        <w:pStyle w:val="headertext"/>
        <w:numPr>
          <w:ilvl w:val="0"/>
          <w:numId w:val="20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 xml:space="preserve">наличие </w:t>
      </w:r>
      <w:proofErr w:type="spellStart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генно-инженерно-модифицированных</w:t>
      </w:r>
      <w:proofErr w:type="spellEnd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 xml:space="preserve"> организмов (ГМО) (в случае их присутствия в количестве более 0,9%).</w:t>
      </w:r>
    </w:p>
    <w:p w:rsidR="005E3864" w:rsidRPr="005E3864" w:rsidRDefault="005E0862" w:rsidP="005457C0">
      <w:pPr>
        <w:pStyle w:val="headertext"/>
        <w:shd w:val="clear" w:color="auto" w:fill="FFFFFF"/>
        <w:spacing w:before="167" w:beforeAutospacing="0" w:after="0" w:afterAutospacing="0" w:line="360" w:lineRule="auto"/>
        <w:ind w:left="720"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_______________</w:t>
      </w:r>
    </w:p>
    <w:p w:rsidR="005E3864" w:rsidRPr="005E3864" w:rsidRDefault="005E0862" w:rsidP="005457C0">
      <w:pPr>
        <w:pStyle w:val="headertext"/>
        <w:shd w:val="clear" w:color="auto" w:fill="FFFFFF"/>
        <w:spacing w:before="167" w:beforeAutospacing="0" w:after="0" w:afterAutospacing="0" w:line="360" w:lineRule="auto"/>
        <w:ind w:left="720" w:firstLine="709"/>
        <w:textAlignment w:val="baseline"/>
        <w:rPr>
          <w:color w:val="000000" w:themeColor="text1"/>
          <w:spacing w:val="2"/>
          <w:sz w:val="28"/>
          <w:szCs w:val="23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 xml:space="preserve">* количественные сведения о пищевой ценности продуктов приводятся, если содержание пищевых веществ превышает 5% от суточной потребности в </w:t>
      </w:r>
      <w:proofErr w:type="gramStart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данном</w:t>
      </w:r>
      <w:proofErr w:type="gramEnd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 xml:space="preserve"> </w:t>
      </w:r>
      <w:proofErr w:type="spellStart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нутриенте</w:t>
      </w:r>
      <w:proofErr w:type="spellEnd"/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.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3864" w:rsidRPr="005E3864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3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t>Маркировка на заменителях женского молока не должна содержать рисунок с изображением детей. В тексте маркировки должна быть информация о преимуществах грудного вскармливания.</w:t>
      </w:r>
      <w:r w:rsidRPr="005E3864">
        <w:rPr>
          <w:color w:val="000000" w:themeColor="text1"/>
          <w:spacing w:val="2"/>
          <w:sz w:val="28"/>
          <w:szCs w:val="23"/>
        </w:rPr>
        <w:br/>
      </w:r>
    </w:p>
    <w:p w:rsidR="005E0862" w:rsidRPr="001B0EE1" w:rsidRDefault="005E0862" w:rsidP="005457C0">
      <w:pPr>
        <w:pStyle w:val="headertext"/>
        <w:numPr>
          <w:ilvl w:val="0"/>
          <w:numId w:val="19"/>
        </w:numPr>
        <w:shd w:val="clear" w:color="auto" w:fill="FFFFFF"/>
        <w:spacing w:before="167" w:beforeAutospacing="0" w:after="0" w:afterAutospacing="0" w:line="360" w:lineRule="auto"/>
        <w:ind w:firstLine="709"/>
        <w:textAlignment w:val="baseline"/>
        <w:rPr>
          <w:color w:val="000000" w:themeColor="text1"/>
          <w:spacing w:val="2"/>
          <w:sz w:val="28"/>
          <w:szCs w:val="23"/>
        </w:rPr>
      </w:pPr>
      <w:r w:rsidRPr="005E3864">
        <w:rPr>
          <w:color w:val="000000" w:themeColor="text1"/>
          <w:spacing w:val="2"/>
          <w:sz w:val="28"/>
          <w:szCs w:val="23"/>
          <w:shd w:val="clear" w:color="auto" w:fill="FFFFFF"/>
        </w:rPr>
        <w:lastRenderedPageBreak/>
        <w:t>Маркировка на продукт диетического (лечебного и профилактического) питания должна содержать четкие указания о целевом назначении продукта, особенностях его состава и рекомендации по использованию в питании детей.</w:t>
      </w:r>
    </w:p>
    <w:p w:rsidR="001B0EE1" w:rsidRPr="005E3864" w:rsidRDefault="001B0EE1" w:rsidP="005457C0">
      <w:pPr>
        <w:pStyle w:val="headertext"/>
        <w:shd w:val="clear" w:color="auto" w:fill="FFFFFF"/>
        <w:spacing w:before="167" w:beforeAutospacing="0" w:after="0" w:afterAutospacing="0" w:line="360" w:lineRule="auto"/>
        <w:ind w:left="360" w:firstLine="709"/>
        <w:textAlignment w:val="baseline"/>
        <w:rPr>
          <w:color w:val="000000" w:themeColor="text1"/>
          <w:spacing w:val="2"/>
          <w:sz w:val="28"/>
          <w:szCs w:val="23"/>
        </w:rPr>
      </w:pPr>
    </w:p>
    <w:p w:rsidR="001B0EE1" w:rsidRPr="001B0EE1" w:rsidRDefault="001B0EE1" w:rsidP="005457C0">
      <w:pPr>
        <w:suppressAutoHyphens/>
        <w:spacing w:after="0" w:line="36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хранения и реализации питание детей до 3-х лет</w:t>
      </w:r>
    </w:p>
    <w:p w:rsidR="001B0EE1" w:rsidRPr="001B0EE1" w:rsidRDefault="001B0EE1" w:rsidP="005457C0">
      <w:pPr>
        <w:pStyle w:val="a4"/>
        <w:numPr>
          <w:ilvl w:val="0"/>
          <w:numId w:val="22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0EE1">
        <w:rPr>
          <w:rFonts w:ascii="Times New Roman" w:hAnsi="Times New Roman"/>
          <w:sz w:val="28"/>
          <w:szCs w:val="28"/>
          <w:shd w:val="clear" w:color="auto" w:fill="FFFFFF"/>
        </w:rPr>
        <w:t>Условия и сроки хранения продукты детского питания  зависят от их вида и упаковки. Поскольку почти все продукты детского питания  консервируются сушкой, пастеризацией или стерилизацией, они относятся к продуктам среднего или длительного срока хранения. Для каждой группы продукты детского питания</w:t>
      </w:r>
      <w:proofErr w:type="gramStart"/>
      <w:r w:rsidRPr="001B0EE1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B0EE1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отличающейся способами производства, характерны определенные, общие для нее режимы хранения. Большинство продукты детского питания  должно храниться при температуре не выше 15—25оС и при относительной влажности воздуха (ОВВ) не более 70—75%, в чистых, сухих, хорошо проветриваемых складах.</w:t>
      </w:r>
    </w:p>
    <w:p w:rsidR="001B0EE1" w:rsidRPr="001B0EE1" w:rsidRDefault="001B0EE1" w:rsidP="005457C0">
      <w:pPr>
        <w:pStyle w:val="a4"/>
        <w:numPr>
          <w:ilvl w:val="0"/>
          <w:numId w:val="22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Исключение составляют жидкие кисломолочные продукты (относящиеся к </w:t>
      </w:r>
      <w:proofErr w:type="gramStart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скоропортящимся</w:t>
      </w:r>
      <w:proofErr w:type="gramEnd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которые имеют следующие условия хранения: температура (4 ± 2 °С) и непродолжительный срок годности (от 24 до 72 ч).</w:t>
      </w:r>
    </w:p>
    <w:p w:rsidR="001B0EE1" w:rsidRPr="001B0EE1" w:rsidRDefault="001B0EE1" w:rsidP="005457C0">
      <w:pPr>
        <w:pStyle w:val="a4"/>
        <w:numPr>
          <w:ilvl w:val="0"/>
          <w:numId w:val="22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Продукты детского питания, содержащие </w:t>
      </w:r>
      <w:proofErr w:type="spellStart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пробиотики</w:t>
      </w:r>
      <w:proofErr w:type="spellEnd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хранятся при комнатной температуре в соответствии с указаниями производителя. Очевидно, что при производстве продуктов, содержащих микроорганизмы, неизбежно обсеменение первичной и вторичной упаковок. При попадании в помещения аптеки таких продуктов возможна контаминация воздуха и соответственно других лекарственных препаратов и товаров аптечного ассортимента. В этой связи целесообразно организовать отдельное хранение детского питания с </w:t>
      </w:r>
      <w:proofErr w:type="spellStart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пробиотиками</w:t>
      </w:r>
      <w:proofErr w:type="spellEnd"/>
      <w:r w:rsidRPr="001B0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других групп аптечных товаров.</w:t>
      </w:r>
    </w:p>
    <w:p w:rsidR="001B0EE1" w:rsidRPr="001B0EE1" w:rsidRDefault="001B0EE1" w:rsidP="005457C0">
      <w:pPr>
        <w:pStyle w:val="a4"/>
        <w:numPr>
          <w:ilvl w:val="0"/>
          <w:numId w:val="22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E1">
        <w:rPr>
          <w:rFonts w:ascii="Times New Roman" w:hAnsi="Times New Roman"/>
          <w:sz w:val="28"/>
          <w:szCs w:val="28"/>
        </w:rPr>
        <w:lastRenderedPageBreak/>
        <w:t>Из аптеки детское питание отпус</w:t>
      </w:r>
      <w:r>
        <w:rPr>
          <w:rFonts w:ascii="Times New Roman" w:hAnsi="Times New Roman"/>
          <w:sz w:val="28"/>
          <w:szCs w:val="28"/>
        </w:rPr>
        <w:t xml:space="preserve">кается по требованию покупателя, </w:t>
      </w:r>
      <w:r w:rsidRPr="001B0EE1">
        <w:rPr>
          <w:rFonts w:ascii="Times New Roman" w:hAnsi="Times New Roman"/>
          <w:sz w:val="28"/>
          <w:szCs w:val="28"/>
        </w:rPr>
        <w:t xml:space="preserve">без рецепта. </w:t>
      </w:r>
    </w:p>
    <w:p w:rsidR="005E0862" w:rsidRPr="005E3864" w:rsidRDefault="005E0862" w:rsidP="005457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6"/>
        </w:rPr>
      </w:pPr>
    </w:p>
    <w:sectPr w:rsidR="005E0862" w:rsidRPr="005E3864" w:rsidSect="00ED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AF"/>
    <w:multiLevelType w:val="hybridMultilevel"/>
    <w:tmpl w:val="DE52A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43DA2"/>
    <w:multiLevelType w:val="hybridMultilevel"/>
    <w:tmpl w:val="6B4829D6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>
    <w:nsid w:val="08CA5AC6"/>
    <w:multiLevelType w:val="hybridMultilevel"/>
    <w:tmpl w:val="7E089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1058"/>
    <w:multiLevelType w:val="hybridMultilevel"/>
    <w:tmpl w:val="755E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7978"/>
    <w:multiLevelType w:val="hybridMultilevel"/>
    <w:tmpl w:val="6F40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C2E"/>
    <w:multiLevelType w:val="hybridMultilevel"/>
    <w:tmpl w:val="0AA4A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6B2AE6"/>
    <w:multiLevelType w:val="hybridMultilevel"/>
    <w:tmpl w:val="E5D2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E5BB9"/>
    <w:multiLevelType w:val="hybridMultilevel"/>
    <w:tmpl w:val="1828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5537F"/>
    <w:multiLevelType w:val="hybridMultilevel"/>
    <w:tmpl w:val="FA54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1232"/>
    <w:multiLevelType w:val="hybridMultilevel"/>
    <w:tmpl w:val="92B6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314E"/>
    <w:multiLevelType w:val="hybridMultilevel"/>
    <w:tmpl w:val="96E662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F10E2"/>
    <w:multiLevelType w:val="hybridMultilevel"/>
    <w:tmpl w:val="B5609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473BBA"/>
    <w:multiLevelType w:val="hybridMultilevel"/>
    <w:tmpl w:val="B0CC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41B67"/>
    <w:multiLevelType w:val="hybridMultilevel"/>
    <w:tmpl w:val="D0723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97D5C"/>
    <w:multiLevelType w:val="hybridMultilevel"/>
    <w:tmpl w:val="2EE8D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000A6"/>
    <w:multiLevelType w:val="hybridMultilevel"/>
    <w:tmpl w:val="FA16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24A19"/>
    <w:multiLevelType w:val="hybridMultilevel"/>
    <w:tmpl w:val="E19A7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E62279"/>
    <w:multiLevelType w:val="hybridMultilevel"/>
    <w:tmpl w:val="8834C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C4983"/>
    <w:multiLevelType w:val="hybridMultilevel"/>
    <w:tmpl w:val="58E2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66034"/>
    <w:multiLevelType w:val="hybridMultilevel"/>
    <w:tmpl w:val="4634B9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E4533"/>
    <w:multiLevelType w:val="hybridMultilevel"/>
    <w:tmpl w:val="FB908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BA1D71"/>
    <w:multiLevelType w:val="hybridMultilevel"/>
    <w:tmpl w:val="71146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137C2E"/>
    <w:multiLevelType w:val="hybridMultilevel"/>
    <w:tmpl w:val="7420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6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7"/>
  </w:num>
  <w:num w:numId="12">
    <w:abstractNumId w:val="6"/>
  </w:num>
  <w:num w:numId="13">
    <w:abstractNumId w:val="13"/>
  </w:num>
  <w:num w:numId="14">
    <w:abstractNumId w:val="18"/>
  </w:num>
  <w:num w:numId="15">
    <w:abstractNumId w:val="0"/>
  </w:num>
  <w:num w:numId="16">
    <w:abstractNumId w:val="5"/>
  </w:num>
  <w:num w:numId="17">
    <w:abstractNumId w:val="15"/>
  </w:num>
  <w:num w:numId="18">
    <w:abstractNumId w:val="4"/>
  </w:num>
  <w:num w:numId="19">
    <w:abstractNumId w:val="12"/>
  </w:num>
  <w:num w:numId="20">
    <w:abstractNumId w:val="17"/>
  </w:num>
  <w:num w:numId="21">
    <w:abstractNumId w:val="21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3681"/>
    <w:rsid w:val="0016286D"/>
    <w:rsid w:val="00173784"/>
    <w:rsid w:val="001A2971"/>
    <w:rsid w:val="001B0EE1"/>
    <w:rsid w:val="00312A52"/>
    <w:rsid w:val="003D0169"/>
    <w:rsid w:val="005457C0"/>
    <w:rsid w:val="005655FD"/>
    <w:rsid w:val="005E0862"/>
    <w:rsid w:val="005E3864"/>
    <w:rsid w:val="006229F5"/>
    <w:rsid w:val="006E256F"/>
    <w:rsid w:val="00723FB9"/>
    <w:rsid w:val="007F714A"/>
    <w:rsid w:val="008A4078"/>
    <w:rsid w:val="009D7918"/>
    <w:rsid w:val="00AD6669"/>
    <w:rsid w:val="00B22A70"/>
    <w:rsid w:val="00B26D5F"/>
    <w:rsid w:val="00BD3681"/>
    <w:rsid w:val="00D62CCC"/>
    <w:rsid w:val="00E10565"/>
    <w:rsid w:val="00E37F53"/>
    <w:rsid w:val="00EA4E06"/>
    <w:rsid w:val="00EC5AF7"/>
    <w:rsid w:val="00ED3565"/>
    <w:rsid w:val="00ED7A13"/>
    <w:rsid w:val="00F23162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65"/>
  </w:style>
  <w:style w:type="paragraph" w:styleId="1">
    <w:name w:val="heading 1"/>
    <w:basedOn w:val="a"/>
    <w:link w:val="10"/>
    <w:uiPriority w:val="9"/>
    <w:qFormat/>
    <w:rsid w:val="00EC5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5A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EC5AF7"/>
    <w:pPr>
      <w:ind w:left="720"/>
      <w:contextualSpacing/>
    </w:pPr>
  </w:style>
  <w:style w:type="paragraph" w:customStyle="1" w:styleId="headertext">
    <w:name w:val="headertext"/>
    <w:basedOn w:val="a"/>
    <w:rsid w:val="005E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16</cp:revision>
  <dcterms:created xsi:type="dcterms:W3CDTF">2020-05-31T16:04:00Z</dcterms:created>
  <dcterms:modified xsi:type="dcterms:W3CDTF">2020-06-08T12:11:00Z</dcterms:modified>
</cp:coreProperties>
</file>