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82" w:rsidRDefault="00FA2E82" w:rsidP="00FA2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</w:t>
      </w:r>
      <w:proofErr w:type="spellStart"/>
      <w:r w:rsidRPr="00B9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В.Ф.Войно-Ясенецкого</w:t>
      </w:r>
      <w:proofErr w:type="spellEnd"/>
      <w:r w:rsidRPr="00B9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Министерства здравоохранения Российской Федерации </w:t>
      </w:r>
    </w:p>
    <w:p w:rsidR="00FA2E82" w:rsidRPr="00B93AF9" w:rsidRDefault="00FA2E82" w:rsidP="00FA2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терапии ИПО</w:t>
      </w:r>
    </w:p>
    <w:p w:rsidR="00FA2E82" w:rsidRDefault="00FA2E82" w:rsidP="00FA2E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 </w:t>
      </w:r>
    </w:p>
    <w:p w:rsidR="00FA2E82" w:rsidRPr="00B93AF9" w:rsidRDefault="00FA2E82" w:rsidP="00FA2E8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93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Кафедрой, ДМН, профессор</w:t>
      </w:r>
    </w:p>
    <w:p w:rsidR="00FA2E82" w:rsidRDefault="00FA2E82" w:rsidP="00FA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Гринштейн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Юрий Исаевич</w:t>
      </w:r>
    </w:p>
    <w:p w:rsidR="00FA2E82" w:rsidRDefault="00FA2E82" w:rsidP="00FA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Руководитель ординатуры ДМН, профессор</w:t>
      </w:r>
    </w:p>
    <w:p w:rsidR="00FA2E82" w:rsidRPr="00B93AF9" w:rsidRDefault="00FA2E82" w:rsidP="00FA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Грищенко Елена Георгиевна</w:t>
      </w: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Реферат</w:t>
      </w: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Первичная профилактика </w:t>
      </w:r>
      <w:proofErr w:type="spellStart"/>
      <w:proofErr w:type="gramStart"/>
      <w:r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>сердечно-сосудистых</w:t>
      </w:r>
      <w:proofErr w:type="spellEnd"/>
      <w:proofErr w:type="gramEnd"/>
      <w:r>
        <w:rPr>
          <w:rFonts w:ascii="Times New Roman" w:eastAsia="Calibri" w:hAnsi="Times New Roman" w:cs="Times New Roman"/>
          <w:bCs/>
          <w:sz w:val="36"/>
          <w:szCs w:val="36"/>
          <w:lang w:eastAsia="ru-RU"/>
        </w:rPr>
        <w:t xml:space="preserve"> заболеваний </w:t>
      </w: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2E82" w:rsidRDefault="00FA2E82" w:rsidP="00FA2E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2E82" w:rsidRDefault="00FA2E82" w:rsidP="00FA2E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2E82" w:rsidRDefault="00FA2E82" w:rsidP="00FA2E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AF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</w:t>
      </w:r>
      <w:r w:rsidRPr="00B9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Выполнила: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Шаржанова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Юлия Игоревна </w:t>
      </w: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3AF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Ординатор 1-го года обучения специальности Терапия</w:t>
      </w:r>
    </w:p>
    <w:p w:rsidR="00FA2E82" w:rsidRPr="00B93AF9" w:rsidRDefault="00FA2E82" w:rsidP="00FA2E82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2E82" w:rsidRDefault="00FA2E82" w:rsidP="00FA2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E82" w:rsidRDefault="00FA2E82" w:rsidP="00FA2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E82" w:rsidRDefault="00FA2E82" w:rsidP="00FA2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2E82" w:rsidRDefault="00FA2E82" w:rsidP="00FA2E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3AF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 2020</w:t>
      </w:r>
    </w:p>
    <w:p w:rsidR="00FA2E82" w:rsidRDefault="00FA2E82" w:rsidP="00597F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597FEC" w:rsidRDefault="00FA2E82" w:rsidP="0059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EC">
        <w:rPr>
          <w:rFonts w:ascii="Times New Roman" w:eastAsia="Times New Roman" w:hAnsi="Times New Roman" w:cs="Times New Roman"/>
          <w:sz w:val="28"/>
          <w:szCs w:val="28"/>
          <w:lang w:eastAsia="ru-RU"/>
        </w:rPr>
        <w:t>1.Введение.</w:t>
      </w:r>
    </w:p>
    <w:p w:rsidR="00FA2E82" w:rsidRPr="00597FEC" w:rsidRDefault="00597FEC" w:rsidP="00597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FE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A2E82" w:rsidRPr="00597FEC">
        <w:rPr>
          <w:rFonts w:ascii="Times New Roman" w:hAnsi="Times New Roman" w:cs="Times New Roman"/>
          <w:sz w:val="28"/>
          <w:szCs w:val="28"/>
        </w:rPr>
        <w:t>Определение профилактики ССЗ</w:t>
      </w:r>
    </w:p>
    <w:p w:rsidR="00FA2E82" w:rsidRPr="00597FEC" w:rsidRDefault="00597FEC" w:rsidP="00597FE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3.</w:t>
      </w:r>
      <w:r w:rsidR="00FA2E82" w:rsidRPr="00597FEC">
        <w:rPr>
          <w:rFonts w:ascii="Times New Roman" w:hAnsi="Times New Roman" w:cs="Times New Roman"/>
          <w:sz w:val="28"/>
          <w:szCs w:val="28"/>
        </w:rPr>
        <w:t xml:space="preserve">Методы оценки </w:t>
      </w:r>
      <w:proofErr w:type="spellStart"/>
      <w:proofErr w:type="gramStart"/>
      <w:r w:rsidR="00FA2E82" w:rsidRPr="00597FEC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spellEnd"/>
      <w:proofErr w:type="gramEnd"/>
      <w:r w:rsidR="00FA2E82" w:rsidRPr="00597FEC">
        <w:rPr>
          <w:rFonts w:ascii="Times New Roman" w:hAnsi="Times New Roman" w:cs="Times New Roman"/>
          <w:sz w:val="28"/>
          <w:szCs w:val="28"/>
        </w:rPr>
        <w:t xml:space="preserve"> риска</w:t>
      </w:r>
    </w:p>
    <w:p w:rsidR="00FA2E82" w:rsidRPr="00597FEC" w:rsidRDefault="00597FEC" w:rsidP="00597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 xml:space="preserve">4. </w:t>
      </w:r>
      <w:r w:rsidR="00FA2E82" w:rsidRPr="00597FEC">
        <w:rPr>
          <w:rFonts w:ascii="Times New Roman" w:hAnsi="Times New Roman" w:cs="Times New Roman"/>
          <w:sz w:val="28"/>
          <w:szCs w:val="28"/>
        </w:rPr>
        <w:t xml:space="preserve">Факторы риска 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 xml:space="preserve">4.1 Курение 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4.2. Характер питания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4.3. Ожирение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4.4. Физическая активность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 xml:space="preserve">4.5.Дислипидемия 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4.6. Артериальная гипертензия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4.7. Сахарный диабет</w:t>
      </w:r>
    </w:p>
    <w:p w:rsidR="00597FEC" w:rsidRPr="00597FEC" w:rsidRDefault="00597FEC" w:rsidP="00597FEC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 xml:space="preserve">4.8. Наследственная предрасположенность </w:t>
      </w:r>
    </w:p>
    <w:p w:rsidR="00597FEC" w:rsidRPr="00597FEC" w:rsidRDefault="00597FEC" w:rsidP="00597FE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5. Список литературы</w:t>
      </w: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97FEC" w:rsidRDefault="00597FEC" w:rsidP="00597F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A689C" w:rsidRPr="00FA2E82" w:rsidRDefault="00EA689C" w:rsidP="00FA2E82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E82">
        <w:rPr>
          <w:rFonts w:ascii="Times New Roman" w:hAnsi="Times New Roman" w:cs="Times New Roman"/>
          <w:sz w:val="28"/>
          <w:szCs w:val="28"/>
        </w:rPr>
        <w:lastRenderedPageBreak/>
        <w:t xml:space="preserve">Введение. </w:t>
      </w:r>
    </w:p>
    <w:p w:rsidR="00794E58" w:rsidRPr="00EF233F" w:rsidRDefault="00F8215F" w:rsidP="00EF233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F233F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 w:rsidRPr="00EF233F">
        <w:rPr>
          <w:rFonts w:ascii="Times New Roman" w:hAnsi="Times New Roman" w:cs="Times New Roman"/>
          <w:sz w:val="28"/>
          <w:szCs w:val="28"/>
        </w:rPr>
        <w:t xml:space="preserve"> заболевания (ССЗ) остаются ведущей причиной смертности во всем мире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. </w:t>
      </w:r>
      <w:r w:rsidRPr="00EF233F">
        <w:rPr>
          <w:rFonts w:ascii="Times New Roman" w:hAnsi="Times New Roman" w:cs="Times New Roman"/>
          <w:sz w:val="28"/>
          <w:szCs w:val="28"/>
        </w:rPr>
        <w:t>В Европе от ССЗ ежегодно умирает более 4 млн. человек, из них 1,4 млн. в возрасте до 75 лет, – это 45% всех смертей (40% сре</w:t>
      </w:r>
      <w:r w:rsidR="00794E58" w:rsidRPr="00EF233F">
        <w:rPr>
          <w:rFonts w:ascii="Times New Roman" w:hAnsi="Times New Roman" w:cs="Times New Roman"/>
          <w:sz w:val="28"/>
          <w:szCs w:val="28"/>
        </w:rPr>
        <w:t>ди мужчин и 49% среди женщин)</w:t>
      </w:r>
      <w:r w:rsidRPr="00EF233F">
        <w:rPr>
          <w:rFonts w:ascii="Times New Roman" w:hAnsi="Times New Roman" w:cs="Times New Roman"/>
          <w:sz w:val="28"/>
          <w:szCs w:val="28"/>
        </w:rPr>
        <w:t xml:space="preserve">. В то же время в целом ряде развитых европейских стран произошло существенное снижение смертности от ССЗ, и они потеряли свои лидирующие позиции среди причин смертности: по последним данным в 12 странах Западной Европы мужчины чаще умирают от онкологических заболеваний, чем от ССЗ. </w:t>
      </w:r>
      <w:r w:rsidR="00EF233F">
        <w:rPr>
          <w:rFonts w:ascii="Times New Roman" w:hAnsi="Times New Roman" w:cs="Times New Roman"/>
          <w:sz w:val="28"/>
          <w:szCs w:val="28"/>
        </w:rPr>
        <w:t xml:space="preserve"> 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В Российской Федерации (РФ) ССЗ остаются ведущей причиной смертности населения на протяжении многих десятилетий. </w:t>
      </w:r>
      <w:r w:rsidR="00624C6A" w:rsidRPr="00EF233F">
        <w:rPr>
          <w:rFonts w:ascii="Times New Roman" w:hAnsi="Times New Roman" w:cs="Times New Roman"/>
          <w:sz w:val="28"/>
          <w:szCs w:val="28"/>
        </w:rPr>
        <w:t xml:space="preserve"> 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 </w:t>
      </w:r>
      <w:r w:rsidR="00A23149" w:rsidRPr="00EF233F">
        <w:rPr>
          <w:rFonts w:ascii="Times New Roman" w:hAnsi="Times New Roman" w:cs="Times New Roman"/>
          <w:sz w:val="28"/>
          <w:szCs w:val="28"/>
        </w:rPr>
        <w:t>В то же время в России отмечается снижение смерт</w:t>
      </w:r>
      <w:r w:rsidR="00EF233F">
        <w:rPr>
          <w:rFonts w:ascii="Times New Roman" w:hAnsi="Times New Roman" w:cs="Times New Roman"/>
          <w:sz w:val="28"/>
          <w:szCs w:val="28"/>
        </w:rPr>
        <w:t xml:space="preserve">ности от ССЗ, </w:t>
      </w:r>
      <w:r w:rsidR="00EA689C" w:rsidRPr="00EF233F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A23149" w:rsidRPr="00EF233F">
        <w:rPr>
          <w:rFonts w:ascii="Times New Roman" w:hAnsi="Times New Roman" w:cs="Times New Roman"/>
          <w:sz w:val="28"/>
          <w:szCs w:val="28"/>
        </w:rPr>
        <w:t xml:space="preserve">приобрело более устойчивый и выраженный характер, причем как среди мужчин, так и женщин. 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r w:rsidR="00EF233F">
        <w:rPr>
          <w:rFonts w:ascii="Times New Roman" w:hAnsi="Times New Roman" w:cs="Times New Roman"/>
          <w:sz w:val="28"/>
          <w:szCs w:val="28"/>
        </w:rPr>
        <w:t xml:space="preserve">ССЗ 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и другие </w:t>
      </w:r>
      <w:r w:rsidR="00A23149" w:rsidRPr="00EF233F">
        <w:rPr>
          <w:rFonts w:ascii="Times New Roman" w:hAnsi="Times New Roman" w:cs="Times New Roman"/>
          <w:sz w:val="28"/>
          <w:szCs w:val="28"/>
        </w:rPr>
        <w:t xml:space="preserve">неинфекционные заболевания 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являются не только медицинской, но и серьезной социальной проблемой, они стали предметом обсуждения и принятия политических обязательств на международных площадках высокого уровня государствами-членами Всемирной организации здравоохранения (ВОЗ) и Организации объединенных наций (ООН). При этом подчеркивается, что развитие ССЗ тесно связано с образом жизни людей и такими </w:t>
      </w:r>
      <w:r w:rsidR="00EA689C" w:rsidRPr="00EF233F">
        <w:rPr>
          <w:rFonts w:ascii="Times New Roman" w:hAnsi="Times New Roman" w:cs="Times New Roman"/>
          <w:sz w:val="28"/>
          <w:szCs w:val="28"/>
        </w:rPr>
        <w:t>факторами риска (</w:t>
      </w:r>
      <w:proofErr w:type="gramStart"/>
      <w:r w:rsidR="00794E58" w:rsidRPr="00EF233F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EA689C" w:rsidRPr="00EF233F">
        <w:rPr>
          <w:rFonts w:ascii="Times New Roman" w:hAnsi="Times New Roman" w:cs="Times New Roman"/>
          <w:sz w:val="28"/>
          <w:szCs w:val="28"/>
        </w:rPr>
        <w:t>)</w:t>
      </w:r>
      <w:r w:rsidR="00794E58" w:rsidRPr="00EF233F">
        <w:rPr>
          <w:rFonts w:ascii="Times New Roman" w:hAnsi="Times New Roman" w:cs="Times New Roman"/>
          <w:sz w:val="28"/>
          <w:szCs w:val="28"/>
        </w:rPr>
        <w:t>, как курение, нездоровое питание, недостаточная физическая активность (ФА), избыточное потребление алкоголя, избыточн</w:t>
      </w:r>
      <w:r w:rsidR="00EA689C" w:rsidRPr="00EF233F">
        <w:rPr>
          <w:rFonts w:ascii="Times New Roman" w:hAnsi="Times New Roman" w:cs="Times New Roman"/>
          <w:sz w:val="28"/>
          <w:szCs w:val="28"/>
        </w:rPr>
        <w:t>ая масса тела (МТ), ожирение, артериальная гипертензия</w:t>
      </w:r>
      <w:r w:rsidR="00EF233F">
        <w:rPr>
          <w:rFonts w:ascii="Times New Roman" w:hAnsi="Times New Roman" w:cs="Times New Roman"/>
          <w:sz w:val="28"/>
          <w:szCs w:val="28"/>
        </w:rPr>
        <w:t xml:space="preserve"> (АГ)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, психосоциальные факторы. Большинство смертей от ССЗ предотвратимы за счет устранения или коррекции перечисленных ФР. </w:t>
      </w:r>
    </w:p>
    <w:p w:rsidR="00794E58" w:rsidRPr="00EF233F" w:rsidRDefault="00794E58" w:rsidP="00EF233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В связи с выше </w:t>
      </w:r>
      <w:proofErr w:type="gramStart"/>
      <w:r w:rsidRPr="00EF233F">
        <w:rPr>
          <w:rFonts w:ascii="Times New Roman" w:hAnsi="Times New Roman" w:cs="Times New Roman"/>
          <w:sz w:val="28"/>
          <w:szCs w:val="28"/>
        </w:rPr>
        <w:t>изложенным</w:t>
      </w:r>
      <w:proofErr w:type="gramEnd"/>
      <w:r w:rsidRPr="00EF233F">
        <w:rPr>
          <w:rFonts w:ascii="Times New Roman" w:hAnsi="Times New Roman" w:cs="Times New Roman"/>
          <w:sz w:val="28"/>
          <w:szCs w:val="28"/>
        </w:rPr>
        <w:t xml:space="preserve"> проведение активной </w:t>
      </w:r>
      <w:r w:rsidR="00EA689C" w:rsidRPr="00EF233F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EF233F">
        <w:rPr>
          <w:rFonts w:ascii="Times New Roman" w:hAnsi="Times New Roman" w:cs="Times New Roman"/>
          <w:sz w:val="28"/>
          <w:szCs w:val="28"/>
        </w:rPr>
        <w:t>профилактики на широком популяционном уровне и в ежедневной клинической практике – важнейшее условие дальнейшего снижения смертности в России.</w:t>
      </w:r>
    </w:p>
    <w:p w:rsidR="00794E58" w:rsidRPr="00597FEC" w:rsidRDefault="00794E58" w:rsidP="00EA689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2</w:t>
      </w:r>
      <w:r w:rsidR="00EA689C" w:rsidRPr="00EF233F">
        <w:rPr>
          <w:rFonts w:ascii="Times New Roman" w:hAnsi="Times New Roman" w:cs="Times New Roman"/>
          <w:sz w:val="28"/>
          <w:szCs w:val="28"/>
        </w:rPr>
        <w:t>.</w:t>
      </w:r>
      <w:r w:rsidRPr="00EF233F">
        <w:rPr>
          <w:rFonts w:ascii="Times New Roman" w:hAnsi="Times New Roman" w:cs="Times New Roman"/>
          <w:sz w:val="28"/>
          <w:szCs w:val="28"/>
        </w:rPr>
        <w:t xml:space="preserve"> </w:t>
      </w:r>
      <w:r w:rsidR="00EA689C" w:rsidRPr="00597FEC">
        <w:rPr>
          <w:rFonts w:ascii="Times New Roman" w:hAnsi="Times New Roman" w:cs="Times New Roman"/>
          <w:sz w:val="28"/>
          <w:szCs w:val="28"/>
        </w:rPr>
        <w:t>Определение профилактики ССЗ</w:t>
      </w:r>
      <w:r w:rsidR="00597FEC">
        <w:rPr>
          <w:rFonts w:ascii="Times New Roman" w:hAnsi="Times New Roman" w:cs="Times New Roman"/>
          <w:sz w:val="28"/>
          <w:szCs w:val="28"/>
        </w:rPr>
        <w:t>.</w:t>
      </w:r>
    </w:p>
    <w:p w:rsidR="00794E58" w:rsidRPr="00EF233F" w:rsidRDefault="00794E58" w:rsidP="00EF233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 Профилактика ССЗ представляет собой комплекс скоординированных мероприятий, направленных на все население или определенные группы </w:t>
      </w:r>
      <w:r w:rsidRPr="00EF233F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(индивидуумы) для предупреждения развития и прогрессирования ССЗ или минимизацию связанных с ними потерь трудоспособности. </w:t>
      </w:r>
    </w:p>
    <w:p w:rsidR="00794E58" w:rsidRDefault="00EA689C" w:rsidP="00EF233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По результатам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 крупномасштабного международного и</w:t>
      </w:r>
      <w:r w:rsidRPr="00EF233F">
        <w:rPr>
          <w:rFonts w:ascii="Times New Roman" w:hAnsi="Times New Roman" w:cs="Times New Roman"/>
          <w:sz w:val="28"/>
          <w:szCs w:val="28"/>
        </w:rPr>
        <w:t>сследования INTERSTROKE показано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, что 9 факторов оказывают определяющее </w:t>
      </w:r>
      <w:r w:rsidRPr="00EF233F">
        <w:rPr>
          <w:rFonts w:ascii="Times New Roman" w:hAnsi="Times New Roman" w:cs="Times New Roman"/>
          <w:sz w:val="28"/>
          <w:szCs w:val="28"/>
        </w:rPr>
        <w:t>влияние на риск развития ССЗ</w:t>
      </w:r>
      <w:r w:rsidR="00794E58" w:rsidRPr="00EF233F">
        <w:rPr>
          <w:rFonts w:ascii="Times New Roman" w:hAnsi="Times New Roman" w:cs="Times New Roman"/>
          <w:sz w:val="28"/>
          <w:szCs w:val="28"/>
        </w:rPr>
        <w:t xml:space="preserve">. Среди них 6 факторов </w:t>
      </w:r>
      <w:r w:rsidRPr="00EF233F">
        <w:rPr>
          <w:rFonts w:ascii="Times New Roman" w:hAnsi="Times New Roman" w:cs="Times New Roman"/>
          <w:sz w:val="28"/>
          <w:szCs w:val="28"/>
        </w:rPr>
        <w:t xml:space="preserve">увеличивают риск </w:t>
      </w:r>
      <w:proofErr w:type="gramStart"/>
      <w:r w:rsidRPr="00EF233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EF233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EF233F">
        <w:rPr>
          <w:rFonts w:ascii="Times New Roman" w:hAnsi="Times New Roman" w:cs="Times New Roman"/>
          <w:sz w:val="28"/>
          <w:szCs w:val="28"/>
        </w:rPr>
        <w:t>ислипидемия</w:t>
      </w:r>
      <w:proofErr w:type="spellEnd"/>
      <w:r w:rsidRPr="00EF233F">
        <w:rPr>
          <w:rFonts w:ascii="Times New Roman" w:hAnsi="Times New Roman" w:cs="Times New Roman"/>
          <w:sz w:val="28"/>
          <w:szCs w:val="28"/>
        </w:rPr>
        <w:t xml:space="preserve">, </w:t>
      </w:r>
      <w:r w:rsidR="00794E58" w:rsidRPr="00EF233F">
        <w:rPr>
          <w:rFonts w:ascii="Times New Roman" w:hAnsi="Times New Roman" w:cs="Times New Roman"/>
          <w:sz w:val="28"/>
          <w:szCs w:val="28"/>
        </w:rPr>
        <w:t>курение, АГ, абдоминальное ожирение, психосоциальные факторы и СД, и 3 фактора его снижают (употребление в достаточном количестве овощей и фруктов, регулярное употребление очень малых доз алкоголя и регулярная ФА).</w:t>
      </w:r>
    </w:p>
    <w:p w:rsidR="00597FEC" w:rsidRPr="00EF233F" w:rsidRDefault="00597FEC" w:rsidP="00EF233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794E58" w:rsidRPr="00597FEC" w:rsidRDefault="001108A5" w:rsidP="00597FE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97FEC">
        <w:rPr>
          <w:rFonts w:ascii="Times New Roman" w:hAnsi="Times New Roman" w:cs="Times New Roman"/>
          <w:sz w:val="28"/>
          <w:szCs w:val="28"/>
        </w:rPr>
        <w:t>3.</w:t>
      </w:r>
      <w:r w:rsidR="00794E58" w:rsidRPr="00597FEC">
        <w:rPr>
          <w:rFonts w:ascii="Times New Roman" w:hAnsi="Times New Roman" w:cs="Times New Roman"/>
          <w:sz w:val="28"/>
          <w:szCs w:val="28"/>
        </w:rPr>
        <w:t xml:space="preserve"> Методы оценки </w:t>
      </w:r>
      <w:proofErr w:type="spellStart"/>
      <w:proofErr w:type="gramStart"/>
      <w:r w:rsidR="00794E58" w:rsidRPr="00597FEC">
        <w:rPr>
          <w:rFonts w:ascii="Times New Roman" w:hAnsi="Times New Roman" w:cs="Times New Roman"/>
          <w:sz w:val="28"/>
          <w:szCs w:val="28"/>
        </w:rPr>
        <w:t>сердечно-сосудистого</w:t>
      </w:r>
      <w:proofErr w:type="spellEnd"/>
      <w:proofErr w:type="gramEnd"/>
      <w:r w:rsidR="00794E58" w:rsidRPr="00597FEC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597FEC">
        <w:rPr>
          <w:rFonts w:ascii="Times New Roman" w:hAnsi="Times New Roman" w:cs="Times New Roman"/>
          <w:sz w:val="28"/>
          <w:szCs w:val="28"/>
        </w:rPr>
        <w:t xml:space="preserve">. </w:t>
      </w:r>
      <w:r w:rsidR="00794E58" w:rsidRPr="00597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4E58" w:rsidRPr="00EF233F" w:rsidRDefault="00794E58" w:rsidP="00597FEC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В связи с тем, что оценка ССР проводится при скрининге больших групп населения, необходимо, чтобы инструмент для оценки риска был простым и надежным. Так, с 2003 года в Европе широко используется Шкала SCORE </w:t>
      </w:r>
      <w:r w:rsidR="00EA689C" w:rsidRPr="00EF233F">
        <w:rPr>
          <w:rFonts w:ascii="Times New Roman" w:hAnsi="Times New Roman" w:cs="Times New Roman"/>
          <w:sz w:val="28"/>
          <w:szCs w:val="28"/>
        </w:rPr>
        <w:t>.</w:t>
      </w:r>
      <w:r w:rsidRPr="00EF233F">
        <w:rPr>
          <w:rFonts w:ascii="Times New Roman" w:hAnsi="Times New Roman" w:cs="Times New Roman"/>
          <w:sz w:val="28"/>
          <w:szCs w:val="28"/>
        </w:rPr>
        <w:t xml:space="preserve">Она разработана на основании результатов </w:t>
      </w:r>
      <w:proofErr w:type="spellStart"/>
      <w:r w:rsidRPr="00EF233F">
        <w:rPr>
          <w:rFonts w:ascii="Times New Roman" w:hAnsi="Times New Roman" w:cs="Times New Roman"/>
          <w:sz w:val="28"/>
          <w:szCs w:val="28"/>
        </w:rPr>
        <w:t>когортных</w:t>
      </w:r>
      <w:proofErr w:type="spellEnd"/>
      <w:r w:rsidRPr="00EF233F">
        <w:rPr>
          <w:rFonts w:ascii="Times New Roman" w:hAnsi="Times New Roman" w:cs="Times New Roman"/>
          <w:sz w:val="28"/>
          <w:szCs w:val="28"/>
        </w:rPr>
        <w:t xml:space="preserve"> исследований, проведенных в 12 евро</w:t>
      </w:r>
      <w:r w:rsidR="00EA689C" w:rsidRPr="00EF233F">
        <w:rPr>
          <w:rFonts w:ascii="Times New Roman" w:hAnsi="Times New Roman" w:cs="Times New Roman"/>
          <w:sz w:val="28"/>
          <w:szCs w:val="28"/>
        </w:rPr>
        <w:t>пейских странах, включая Россию.</w:t>
      </w:r>
    </w:p>
    <w:p w:rsidR="00624C6A" w:rsidRDefault="00624C6A" w:rsidP="00EF233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Шкала SCORE оценивает риск смерти от </w:t>
      </w:r>
      <w:proofErr w:type="spellStart"/>
      <w:proofErr w:type="gramStart"/>
      <w:r w:rsidRPr="00EF233F">
        <w:rPr>
          <w:rFonts w:ascii="Times New Roman" w:hAnsi="Times New Roman" w:cs="Times New Roman"/>
          <w:sz w:val="28"/>
          <w:szCs w:val="28"/>
        </w:rPr>
        <w:t>сердечно</w:t>
      </w:r>
      <w:r w:rsidR="00EF233F">
        <w:rPr>
          <w:rFonts w:ascii="Times New Roman" w:hAnsi="Times New Roman" w:cs="Times New Roman"/>
          <w:sz w:val="28"/>
          <w:szCs w:val="28"/>
        </w:rPr>
        <w:t>-сосудистых</w:t>
      </w:r>
      <w:proofErr w:type="spellEnd"/>
      <w:proofErr w:type="gramEnd"/>
      <w:r w:rsidR="00EF233F">
        <w:rPr>
          <w:rFonts w:ascii="Times New Roman" w:hAnsi="Times New Roman" w:cs="Times New Roman"/>
          <w:sz w:val="28"/>
          <w:szCs w:val="28"/>
        </w:rPr>
        <w:t xml:space="preserve"> осложнений (включая</w:t>
      </w:r>
      <w:r w:rsidR="00597FEC">
        <w:rPr>
          <w:rFonts w:ascii="Times New Roman" w:hAnsi="Times New Roman" w:cs="Times New Roman"/>
          <w:sz w:val="28"/>
          <w:szCs w:val="28"/>
        </w:rPr>
        <w:t xml:space="preserve"> </w:t>
      </w:r>
      <w:r w:rsidRPr="00EF233F">
        <w:rPr>
          <w:rFonts w:ascii="Times New Roman" w:hAnsi="Times New Roman" w:cs="Times New Roman"/>
          <w:sz w:val="28"/>
          <w:szCs w:val="28"/>
        </w:rPr>
        <w:t xml:space="preserve">коронарные события, </w:t>
      </w:r>
      <w:r w:rsidR="008600F2" w:rsidRPr="00EF233F">
        <w:rPr>
          <w:rFonts w:ascii="Times New Roman" w:hAnsi="Times New Roman" w:cs="Times New Roman"/>
          <w:sz w:val="28"/>
          <w:szCs w:val="28"/>
        </w:rPr>
        <w:t>мозговые инсульты</w:t>
      </w:r>
      <w:r w:rsidRPr="00EF233F">
        <w:rPr>
          <w:rFonts w:ascii="Times New Roman" w:hAnsi="Times New Roman" w:cs="Times New Roman"/>
          <w:sz w:val="28"/>
          <w:szCs w:val="28"/>
        </w:rPr>
        <w:t>, аневризму брюшной аорты) в течение ближайших 10 лет.</w:t>
      </w:r>
    </w:p>
    <w:p w:rsidR="00B60CFC" w:rsidRPr="00EF233F" w:rsidRDefault="00B60CFC" w:rsidP="00EF233F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718395"/>
            <wp:effectExtent l="0" t="0" r="3175" b="6350"/>
            <wp:docPr id="1" name="Рисунок 1" descr="Тест на риск смерти от ССЗ в ближайшие 10 лет - cardio.today -  Информационный проект о сердце и сосуд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на риск смерти от ССЗ в ближайшие 10 лет - cardio.today -  Информационный проект о сердце и сосудах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1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C57" w:rsidRDefault="00624C6A" w:rsidP="00CB7C57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Оценка ССР по Шкале SCORE базируется на пяти факторах: пол, возраст, курение, уровень </w:t>
      </w:r>
      <w:r w:rsidR="00EA689C" w:rsidRPr="00EF233F">
        <w:rPr>
          <w:rFonts w:ascii="Times New Roman" w:hAnsi="Times New Roman" w:cs="Times New Roman"/>
          <w:sz w:val="28"/>
          <w:szCs w:val="28"/>
        </w:rPr>
        <w:t>систолического артериального давления (</w:t>
      </w:r>
      <w:r w:rsidRPr="00EF233F">
        <w:rPr>
          <w:rFonts w:ascii="Times New Roman" w:hAnsi="Times New Roman" w:cs="Times New Roman"/>
          <w:sz w:val="28"/>
          <w:szCs w:val="28"/>
        </w:rPr>
        <w:t>САД</w:t>
      </w:r>
      <w:r w:rsidR="00EA689C" w:rsidRPr="00EF233F">
        <w:rPr>
          <w:rFonts w:ascii="Times New Roman" w:hAnsi="Times New Roman" w:cs="Times New Roman"/>
          <w:sz w:val="28"/>
          <w:szCs w:val="28"/>
        </w:rPr>
        <w:t xml:space="preserve">) </w:t>
      </w:r>
      <w:r w:rsidRPr="00EF233F">
        <w:rPr>
          <w:rFonts w:ascii="Times New Roman" w:hAnsi="Times New Roman" w:cs="Times New Roman"/>
          <w:sz w:val="28"/>
          <w:szCs w:val="28"/>
        </w:rPr>
        <w:t xml:space="preserve"> и общего холестерина (ОХС). Шкала SCORE проста и удобна в использовании, как для пациентов, так и медицинских работников. ССР менее 1 % считается низким</w:t>
      </w:r>
      <w:r w:rsidR="00151102">
        <w:rPr>
          <w:rFonts w:ascii="Times New Roman" w:hAnsi="Times New Roman" w:cs="Times New Roman"/>
          <w:sz w:val="28"/>
          <w:szCs w:val="28"/>
        </w:rPr>
        <w:t xml:space="preserve">, </w:t>
      </w:r>
      <w:r w:rsidR="00151102" w:rsidRPr="00EF233F">
        <w:rPr>
          <w:rFonts w:ascii="Times New Roman" w:hAnsi="Times New Roman" w:cs="Times New Roman"/>
          <w:sz w:val="28"/>
          <w:szCs w:val="28"/>
        </w:rPr>
        <w:t>в пределах ≥ 1 до 5 % – умеренным</w:t>
      </w:r>
      <w:r w:rsidR="00151102">
        <w:rPr>
          <w:rFonts w:ascii="Times New Roman" w:hAnsi="Times New Roman" w:cs="Times New Roman"/>
          <w:sz w:val="28"/>
          <w:szCs w:val="28"/>
        </w:rPr>
        <w:t xml:space="preserve"> при таких значениях  рекомендуется вести прежний образ жизни для поддержания данного состояния. ССР</w:t>
      </w:r>
      <w:r w:rsidRPr="00EF233F">
        <w:rPr>
          <w:rFonts w:ascii="Times New Roman" w:hAnsi="Times New Roman" w:cs="Times New Roman"/>
          <w:sz w:val="28"/>
          <w:szCs w:val="28"/>
        </w:rPr>
        <w:t xml:space="preserve"> в пределах ≥ 5 до 10 % – высоким</w:t>
      </w:r>
      <w:r w:rsidR="00151102">
        <w:rPr>
          <w:rFonts w:ascii="Times New Roman" w:hAnsi="Times New Roman" w:cs="Times New Roman"/>
          <w:sz w:val="28"/>
          <w:szCs w:val="28"/>
        </w:rPr>
        <w:t xml:space="preserve"> и требует более интенсивной коррекции факторов риска и  возможно назначение лекарственной терапии</w:t>
      </w:r>
      <w:r w:rsidRPr="00EF233F">
        <w:rPr>
          <w:rFonts w:ascii="Times New Roman" w:hAnsi="Times New Roman" w:cs="Times New Roman"/>
          <w:sz w:val="28"/>
          <w:szCs w:val="28"/>
        </w:rPr>
        <w:t>,</w:t>
      </w:r>
      <w:r w:rsidR="00151102">
        <w:rPr>
          <w:rFonts w:ascii="Times New Roman" w:hAnsi="Times New Roman" w:cs="Times New Roman"/>
          <w:sz w:val="28"/>
          <w:szCs w:val="28"/>
        </w:rPr>
        <w:t xml:space="preserve"> </w:t>
      </w:r>
      <w:r w:rsidRPr="00EF233F">
        <w:rPr>
          <w:rFonts w:ascii="Times New Roman" w:hAnsi="Times New Roman" w:cs="Times New Roman"/>
          <w:sz w:val="28"/>
          <w:szCs w:val="28"/>
        </w:rPr>
        <w:t xml:space="preserve"> ≥10 % – очень высоким</w:t>
      </w:r>
      <w:r w:rsidR="00151102">
        <w:rPr>
          <w:rFonts w:ascii="Times New Roman" w:hAnsi="Times New Roman" w:cs="Times New Roman"/>
          <w:sz w:val="28"/>
          <w:szCs w:val="28"/>
        </w:rPr>
        <w:t xml:space="preserve"> – у таких пациентов не проводится оценка ССР - пациенты уже имеют очень высокий риск дальнейших событий, требуется назначение лекарственной терапии, срочная коррекция факторов риска</w:t>
      </w:r>
      <w:r w:rsidRPr="00EF233F">
        <w:rPr>
          <w:rFonts w:ascii="Times New Roman" w:hAnsi="Times New Roman" w:cs="Times New Roman"/>
          <w:sz w:val="28"/>
          <w:szCs w:val="28"/>
        </w:rPr>
        <w:t>.</w:t>
      </w:r>
    </w:p>
    <w:p w:rsidR="001108A5" w:rsidRPr="00151102" w:rsidRDefault="00FA2E82" w:rsidP="00CB7C57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1102">
        <w:rPr>
          <w:rFonts w:ascii="Times New Roman" w:hAnsi="Times New Roman" w:cs="Times New Roman"/>
          <w:sz w:val="28"/>
          <w:szCs w:val="28"/>
        </w:rPr>
        <w:t>4.</w:t>
      </w:r>
      <w:r w:rsidR="001108A5" w:rsidRPr="00151102">
        <w:rPr>
          <w:rFonts w:ascii="Times New Roman" w:hAnsi="Times New Roman" w:cs="Times New Roman"/>
          <w:sz w:val="28"/>
          <w:szCs w:val="28"/>
        </w:rPr>
        <w:t>Факторы риска</w:t>
      </w:r>
      <w:r w:rsidR="00CB7C57" w:rsidRPr="001511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B7C57" w:rsidRPr="00151102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="00CB7C57" w:rsidRPr="00151102">
        <w:rPr>
          <w:rFonts w:ascii="Times New Roman" w:hAnsi="Times New Roman" w:cs="Times New Roman"/>
          <w:sz w:val="28"/>
          <w:szCs w:val="28"/>
        </w:rPr>
        <w:t>).</w:t>
      </w:r>
    </w:p>
    <w:p w:rsidR="00287105" w:rsidRPr="00EF233F" w:rsidRDefault="001108A5" w:rsidP="001108A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lastRenderedPageBreak/>
        <w:t>Под факторами риска понимают различные биологические характеристики человека (уровень липидов, глюкозы, мочевой кислоты в крови, АД, масса</w:t>
      </w:r>
      <w:r w:rsidR="00CB7C57">
        <w:rPr>
          <w:rFonts w:ascii="Times New Roman" w:hAnsi="Times New Roman" w:cs="Times New Roman"/>
          <w:sz w:val="28"/>
          <w:szCs w:val="28"/>
        </w:rPr>
        <w:t xml:space="preserve"> </w:t>
      </w:r>
      <w:r w:rsidRPr="00EF233F">
        <w:rPr>
          <w:rFonts w:ascii="Times New Roman" w:hAnsi="Times New Roman" w:cs="Times New Roman"/>
          <w:sz w:val="28"/>
          <w:szCs w:val="28"/>
        </w:rPr>
        <w:t>тела) и особенности его образа жизни (курение, низкая физическая активность, переедание, злоупотребление алкоголем), приводящие к увеличению риска развития заболеваний.</w:t>
      </w:r>
    </w:p>
    <w:p w:rsidR="001108A5" w:rsidRDefault="001108A5" w:rsidP="001108A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Комитет экспертов ВОЗ сформулировал наиболее важные факторы риска для развития ССЗ: </w:t>
      </w:r>
    </w:p>
    <w:p w:rsidR="00CB7C57" w:rsidRDefault="00CB7C57" w:rsidP="001108A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Курение</w:t>
      </w:r>
    </w:p>
    <w:p w:rsidR="00CB7C57" w:rsidRDefault="00CB7C57" w:rsidP="001108A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 питания</w:t>
      </w:r>
    </w:p>
    <w:p w:rsidR="00CB7C57" w:rsidRDefault="00CB7C57" w:rsidP="00CB7C57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F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Ожирение</w:t>
      </w:r>
    </w:p>
    <w:p w:rsidR="00CB7C57" w:rsidRPr="00EF233F" w:rsidRDefault="00CB7C57" w:rsidP="00CB7C57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102">
        <w:rPr>
          <w:rFonts w:ascii="Times New Roman" w:hAnsi="Times New Roman" w:cs="Times New Roman"/>
          <w:sz w:val="28"/>
          <w:szCs w:val="28"/>
        </w:rPr>
        <w:t>Низкая физическая активность</w:t>
      </w:r>
    </w:p>
    <w:p w:rsidR="001108A5" w:rsidRPr="00EF233F" w:rsidRDefault="001108A5" w:rsidP="001108A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-</w:t>
      </w:r>
      <w:r w:rsidR="00597F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33F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  <w:r w:rsidRPr="00EF233F">
        <w:rPr>
          <w:rFonts w:ascii="Times New Roman" w:hAnsi="Times New Roman" w:cs="Times New Roman"/>
          <w:sz w:val="28"/>
          <w:szCs w:val="28"/>
        </w:rPr>
        <w:t xml:space="preserve"> (повышенный уровень холестерина и особенно ХС ЛПНП, низкий уровень ХС ЛПВП, пов</w:t>
      </w:r>
      <w:r w:rsidR="00151102">
        <w:rPr>
          <w:rFonts w:ascii="Times New Roman" w:hAnsi="Times New Roman" w:cs="Times New Roman"/>
          <w:sz w:val="28"/>
          <w:szCs w:val="28"/>
        </w:rPr>
        <w:t xml:space="preserve">ышенный уровень </w:t>
      </w:r>
      <w:proofErr w:type="spellStart"/>
      <w:r w:rsidR="00151102">
        <w:rPr>
          <w:rFonts w:ascii="Times New Roman" w:hAnsi="Times New Roman" w:cs="Times New Roman"/>
          <w:sz w:val="28"/>
          <w:szCs w:val="28"/>
        </w:rPr>
        <w:t>триглицеридов</w:t>
      </w:r>
      <w:proofErr w:type="spellEnd"/>
      <w:r w:rsidR="00151102">
        <w:rPr>
          <w:rFonts w:ascii="Times New Roman" w:hAnsi="Times New Roman" w:cs="Times New Roman"/>
          <w:sz w:val="28"/>
          <w:szCs w:val="28"/>
        </w:rPr>
        <w:t>)</w:t>
      </w:r>
    </w:p>
    <w:p w:rsidR="001108A5" w:rsidRPr="00EF233F" w:rsidRDefault="001108A5" w:rsidP="001108A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-</w:t>
      </w:r>
      <w:r w:rsidR="00597FEC">
        <w:rPr>
          <w:rFonts w:ascii="Times New Roman" w:hAnsi="Times New Roman" w:cs="Times New Roman"/>
          <w:sz w:val="28"/>
          <w:szCs w:val="28"/>
        </w:rPr>
        <w:t xml:space="preserve"> </w:t>
      </w:r>
      <w:r w:rsidR="00151102">
        <w:rPr>
          <w:rFonts w:ascii="Times New Roman" w:hAnsi="Times New Roman" w:cs="Times New Roman"/>
          <w:sz w:val="28"/>
          <w:szCs w:val="28"/>
        </w:rPr>
        <w:t>Артериальная гипертензия</w:t>
      </w:r>
    </w:p>
    <w:p w:rsidR="001108A5" w:rsidRPr="00EF233F" w:rsidRDefault="001108A5" w:rsidP="00CB7C57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-</w:t>
      </w:r>
      <w:r w:rsidR="00597FEC">
        <w:rPr>
          <w:rFonts w:ascii="Times New Roman" w:hAnsi="Times New Roman" w:cs="Times New Roman"/>
          <w:sz w:val="28"/>
          <w:szCs w:val="28"/>
        </w:rPr>
        <w:t xml:space="preserve"> </w:t>
      </w:r>
      <w:r w:rsidRPr="00EF233F">
        <w:rPr>
          <w:rFonts w:ascii="Times New Roman" w:hAnsi="Times New Roman" w:cs="Times New Roman"/>
          <w:sz w:val="28"/>
          <w:szCs w:val="28"/>
        </w:rPr>
        <w:t>Гипергликемия и сахарн</w:t>
      </w:r>
      <w:r w:rsidR="00151102">
        <w:rPr>
          <w:rFonts w:ascii="Times New Roman" w:hAnsi="Times New Roman" w:cs="Times New Roman"/>
          <w:sz w:val="28"/>
          <w:szCs w:val="28"/>
        </w:rPr>
        <w:t>ый диабет</w:t>
      </w:r>
    </w:p>
    <w:p w:rsidR="001108A5" w:rsidRPr="00EF233F" w:rsidRDefault="001108A5" w:rsidP="001108A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>-</w:t>
      </w:r>
      <w:r w:rsidR="00B60CFC">
        <w:rPr>
          <w:rFonts w:ascii="Times New Roman" w:hAnsi="Times New Roman" w:cs="Times New Roman"/>
          <w:sz w:val="28"/>
          <w:szCs w:val="28"/>
        </w:rPr>
        <w:t xml:space="preserve"> </w:t>
      </w:r>
      <w:r w:rsidRPr="00EF233F">
        <w:rPr>
          <w:rFonts w:ascii="Times New Roman" w:hAnsi="Times New Roman" w:cs="Times New Roman"/>
          <w:sz w:val="28"/>
          <w:szCs w:val="28"/>
        </w:rPr>
        <w:t>Наследственная предрасположенность</w:t>
      </w:r>
    </w:p>
    <w:p w:rsidR="00E575B6" w:rsidRPr="00151102" w:rsidRDefault="00CB7C57" w:rsidP="00F3510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151102">
        <w:rPr>
          <w:rFonts w:ascii="Times New Roman" w:hAnsi="Times New Roman" w:cs="Times New Roman"/>
          <w:sz w:val="28"/>
        </w:rPr>
        <w:t xml:space="preserve">4.1. </w:t>
      </w:r>
      <w:r w:rsidR="00E575B6" w:rsidRPr="00151102">
        <w:rPr>
          <w:rFonts w:ascii="Times New Roman" w:hAnsi="Times New Roman" w:cs="Times New Roman"/>
          <w:sz w:val="28"/>
        </w:rPr>
        <w:t>Курение.</w:t>
      </w:r>
    </w:p>
    <w:p w:rsidR="00B860B1" w:rsidRPr="00F35100" w:rsidRDefault="00F35100" w:rsidP="00B860B1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Р</w:t>
      </w:r>
      <w:r w:rsidRPr="00F35100">
        <w:rPr>
          <w:rFonts w:ascii="Times New Roman" w:hAnsi="Times New Roman" w:cs="Times New Roman"/>
          <w:sz w:val="28"/>
        </w:rPr>
        <w:t xml:space="preserve">оссии </w:t>
      </w:r>
      <w:r w:rsidR="002971E7">
        <w:rPr>
          <w:rFonts w:ascii="Times New Roman" w:hAnsi="Times New Roman" w:cs="Times New Roman"/>
          <w:sz w:val="28"/>
        </w:rPr>
        <w:t xml:space="preserve">насчитывается </w:t>
      </w:r>
      <w:r w:rsidRPr="00F35100">
        <w:rPr>
          <w:rFonts w:ascii="Times New Roman" w:hAnsi="Times New Roman" w:cs="Times New Roman"/>
          <w:sz w:val="28"/>
        </w:rPr>
        <w:t>70 м</w:t>
      </w:r>
      <w:r w:rsidR="002971E7">
        <w:rPr>
          <w:rFonts w:ascii="Times New Roman" w:hAnsi="Times New Roman" w:cs="Times New Roman"/>
          <w:sz w:val="28"/>
        </w:rPr>
        <w:t xml:space="preserve">иллионов </w:t>
      </w:r>
      <w:r w:rsidRPr="00F35100">
        <w:rPr>
          <w:rFonts w:ascii="Times New Roman" w:hAnsi="Times New Roman" w:cs="Times New Roman"/>
          <w:sz w:val="28"/>
        </w:rPr>
        <w:t xml:space="preserve"> курильщиков (60% мужчин и 22</w:t>
      </w:r>
      <w:proofErr w:type="gramEnd"/>
      <w:r w:rsidRPr="00F35100">
        <w:rPr>
          <w:rFonts w:ascii="Times New Roman" w:hAnsi="Times New Roman" w:cs="Times New Roman"/>
          <w:sz w:val="28"/>
        </w:rPr>
        <w:t xml:space="preserve">% женщин). </w:t>
      </w:r>
      <w:r w:rsidR="00E575B6" w:rsidRPr="00F35100">
        <w:rPr>
          <w:rFonts w:ascii="Times New Roman" w:hAnsi="Times New Roman" w:cs="Times New Roman"/>
          <w:sz w:val="28"/>
        </w:rPr>
        <w:t xml:space="preserve">Вред курения общеизвестен, однако далеко не все представляют, каков конкретный вклад этой распространенной привычки в заболеваемость и смертность населения вообще и от ССЗ в частности. По данным  статистики, причиной 25% смертей </w:t>
      </w:r>
      <w:proofErr w:type="gramStart"/>
      <w:r w:rsidR="00E575B6" w:rsidRPr="00F35100">
        <w:rPr>
          <w:rFonts w:ascii="Times New Roman" w:hAnsi="Times New Roman" w:cs="Times New Roman"/>
          <w:sz w:val="28"/>
        </w:rPr>
        <w:t>от</w:t>
      </w:r>
      <w:proofErr w:type="gramEnd"/>
      <w:r w:rsidR="00E575B6" w:rsidRPr="00F35100">
        <w:rPr>
          <w:rFonts w:ascii="Times New Roman" w:hAnsi="Times New Roman" w:cs="Times New Roman"/>
          <w:sz w:val="28"/>
        </w:rPr>
        <w:t xml:space="preserve"> ИБС является курение. </w:t>
      </w:r>
    </w:p>
    <w:p w:rsidR="00E575B6" w:rsidRDefault="00E575B6" w:rsidP="00F3510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F35100">
        <w:rPr>
          <w:rFonts w:ascii="Times New Roman" w:hAnsi="Times New Roman" w:cs="Times New Roman"/>
          <w:sz w:val="28"/>
        </w:rPr>
        <w:t xml:space="preserve">Никотин, поступающий в кровь при курении, увеличивает способность кровяных пластинок (тромбоцитов) к слипанию, что может привести к образованию сгустков крови (тромбов) в сосудах. Стимулируя выброс адреналина, никотин резко увеличивает потребность сердечной мышцы в кислороде, что весьма опасно </w:t>
      </w:r>
      <w:r w:rsidRPr="00F35100">
        <w:rPr>
          <w:rFonts w:ascii="Times New Roman" w:hAnsi="Times New Roman" w:cs="Times New Roman"/>
          <w:sz w:val="28"/>
        </w:rPr>
        <w:lastRenderedPageBreak/>
        <w:t xml:space="preserve">при функционально неполноценных коронарных артериях. </w:t>
      </w:r>
      <w:r w:rsidR="00B860B1">
        <w:rPr>
          <w:rFonts w:ascii="Times New Roman" w:hAnsi="Times New Roman" w:cs="Times New Roman"/>
          <w:sz w:val="28"/>
        </w:rPr>
        <w:t xml:space="preserve">Активирует </w:t>
      </w:r>
      <w:proofErr w:type="spellStart"/>
      <w:r w:rsidR="00B860B1">
        <w:rPr>
          <w:rFonts w:ascii="Times New Roman" w:hAnsi="Times New Roman" w:cs="Times New Roman"/>
          <w:sz w:val="28"/>
        </w:rPr>
        <w:t>оксидантный</w:t>
      </w:r>
      <w:proofErr w:type="spellEnd"/>
      <w:r w:rsidR="00B860B1">
        <w:rPr>
          <w:rFonts w:ascii="Times New Roman" w:hAnsi="Times New Roman" w:cs="Times New Roman"/>
          <w:sz w:val="28"/>
        </w:rPr>
        <w:t xml:space="preserve"> стресс и воспаление. </w:t>
      </w:r>
      <w:r w:rsidRPr="00F35100">
        <w:rPr>
          <w:rFonts w:ascii="Times New Roman" w:hAnsi="Times New Roman" w:cs="Times New Roman"/>
          <w:sz w:val="28"/>
        </w:rPr>
        <w:t>Одна выкуренная сигарета нередко увеличивает частоту сокращений сердца на 8-10 ударов в минуту. Учеными установлено, что у человека с большим стажем курения сосуды изнашиваются на 10-15лет раньше.</w:t>
      </w:r>
    </w:p>
    <w:p w:rsidR="00B860B1" w:rsidRDefault="00B860B1" w:rsidP="00F3510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</w:t>
      </w:r>
      <w:r w:rsidR="002971E7">
        <w:rPr>
          <w:rFonts w:ascii="Times New Roman" w:hAnsi="Times New Roman" w:cs="Times New Roman"/>
          <w:sz w:val="28"/>
        </w:rPr>
        <w:t xml:space="preserve">комендации по отказу от курения: </w:t>
      </w:r>
    </w:p>
    <w:p w:rsidR="00B860B1" w:rsidRPr="002971E7" w:rsidRDefault="00B860B1" w:rsidP="002971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971E7">
        <w:rPr>
          <w:rFonts w:ascii="Times New Roman" w:hAnsi="Times New Roman" w:cs="Times New Roman"/>
          <w:sz w:val="28"/>
        </w:rPr>
        <w:t>Любой курящий человек должен получить совет бросить курить и получить поддержку при отказе от курения</w:t>
      </w:r>
    </w:p>
    <w:p w:rsidR="00B860B1" w:rsidRPr="002971E7" w:rsidRDefault="00B860B1" w:rsidP="002971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971E7">
        <w:rPr>
          <w:rFonts w:ascii="Times New Roman" w:hAnsi="Times New Roman" w:cs="Times New Roman"/>
          <w:sz w:val="28"/>
        </w:rPr>
        <w:t>Прекратить потребление любых табачных изделий, так как они являются сильным и независимым фактором риска ССЗ</w:t>
      </w:r>
    </w:p>
    <w:p w:rsidR="00B860B1" w:rsidRDefault="00B860B1" w:rsidP="002971E7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</w:rPr>
      </w:pPr>
      <w:r w:rsidRPr="002971E7">
        <w:rPr>
          <w:rFonts w:ascii="Times New Roman" w:hAnsi="Times New Roman" w:cs="Times New Roman"/>
          <w:sz w:val="28"/>
        </w:rPr>
        <w:t xml:space="preserve">Избегать пассивного курения </w:t>
      </w:r>
      <w:proofErr w:type="gramStart"/>
      <w:r w:rsidRPr="002971E7">
        <w:rPr>
          <w:rFonts w:ascii="Times New Roman" w:hAnsi="Times New Roman" w:cs="Times New Roman"/>
          <w:sz w:val="28"/>
        </w:rPr>
        <w:t xml:space="preserve">( </w:t>
      </w:r>
      <w:proofErr w:type="gramEnd"/>
      <w:r w:rsidRPr="002971E7">
        <w:rPr>
          <w:rFonts w:ascii="Times New Roman" w:hAnsi="Times New Roman" w:cs="Times New Roman"/>
          <w:sz w:val="28"/>
        </w:rPr>
        <w:t xml:space="preserve">табачный дым даже при пассивном вдыхании существенно ухудшает </w:t>
      </w:r>
      <w:proofErr w:type="spellStart"/>
      <w:r w:rsidRPr="002971E7">
        <w:rPr>
          <w:rFonts w:ascii="Times New Roman" w:hAnsi="Times New Roman" w:cs="Times New Roman"/>
          <w:sz w:val="28"/>
        </w:rPr>
        <w:t>вазодилатирующую</w:t>
      </w:r>
      <w:proofErr w:type="spellEnd"/>
      <w:r w:rsidRPr="002971E7">
        <w:rPr>
          <w:rFonts w:ascii="Times New Roman" w:hAnsi="Times New Roman" w:cs="Times New Roman"/>
          <w:sz w:val="28"/>
        </w:rPr>
        <w:t xml:space="preserve"> функцию эндотелия. </w:t>
      </w:r>
    </w:p>
    <w:p w:rsidR="002971E7" w:rsidRPr="002971E7" w:rsidRDefault="002971E7" w:rsidP="002971E7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B860B1" w:rsidRDefault="00B860B1" w:rsidP="00F3510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Преимущества</w:t>
      </w:r>
      <w:r w:rsidR="002971E7">
        <w:rPr>
          <w:rFonts w:ascii="Times New Roman" w:hAnsi="Times New Roman" w:cs="Times New Roman"/>
          <w:sz w:val="28"/>
        </w:rPr>
        <w:t xml:space="preserve"> отказа от курения:</w:t>
      </w:r>
    </w:p>
    <w:tbl>
      <w:tblPr>
        <w:tblStyle w:val="a4"/>
        <w:tblW w:w="0" w:type="auto"/>
        <w:tblInd w:w="-567" w:type="dxa"/>
        <w:tblLook w:val="04A0"/>
      </w:tblPr>
      <w:tblGrid>
        <w:gridCol w:w="3510"/>
        <w:gridCol w:w="6061"/>
      </w:tblGrid>
      <w:tr w:rsidR="00B860B1" w:rsidTr="002971E7">
        <w:tc>
          <w:tcPr>
            <w:tcW w:w="3510" w:type="dxa"/>
          </w:tcPr>
          <w:p w:rsidR="00B860B1" w:rsidRDefault="00B860B1" w:rsidP="002971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с момента отказа от курения</w:t>
            </w:r>
          </w:p>
        </w:tc>
        <w:tc>
          <w:tcPr>
            <w:tcW w:w="6061" w:type="dxa"/>
          </w:tcPr>
          <w:p w:rsidR="00B860B1" w:rsidRDefault="00B860B1" w:rsidP="002971E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Польза для здоровья от прекращения курения</w:t>
            </w:r>
          </w:p>
        </w:tc>
      </w:tr>
      <w:tr w:rsidR="00B860B1" w:rsidTr="002971E7">
        <w:tc>
          <w:tcPr>
            <w:tcW w:w="3510" w:type="dxa"/>
          </w:tcPr>
          <w:p w:rsidR="00B860B1" w:rsidRDefault="00B860B1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мин</w:t>
            </w:r>
          </w:p>
        </w:tc>
        <w:tc>
          <w:tcPr>
            <w:tcW w:w="6061" w:type="dxa"/>
          </w:tcPr>
          <w:p w:rsidR="00B860B1" w:rsidRDefault="00B860B1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Нормализация АД и ЧСС</w:t>
            </w:r>
          </w:p>
        </w:tc>
      </w:tr>
      <w:tr w:rsidR="00B860B1" w:rsidTr="002971E7">
        <w:tc>
          <w:tcPr>
            <w:tcW w:w="3510" w:type="dxa"/>
          </w:tcPr>
          <w:p w:rsidR="00B860B1" w:rsidRDefault="00B860B1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час</w:t>
            </w:r>
          </w:p>
        </w:tc>
        <w:tc>
          <w:tcPr>
            <w:tcW w:w="6061" w:type="dxa"/>
          </w:tcPr>
          <w:p w:rsidR="002971E7" w:rsidRDefault="002971E7" w:rsidP="002971E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Нормализация уровня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монооксида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углерода</w:t>
            </w:r>
          </w:p>
          <w:p w:rsidR="00B860B1" w:rsidRDefault="00B860B1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B860B1" w:rsidTr="002971E7">
        <w:tc>
          <w:tcPr>
            <w:tcW w:w="3510" w:type="dxa"/>
          </w:tcPr>
          <w:p w:rsidR="00B860B1" w:rsidRDefault="00B860B1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2-12 недель</w:t>
            </w:r>
          </w:p>
          <w:p w:rsidR="00B860B1" w:rsidRDefault="00B860B1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061" w:type="dxa"/>
          </w:tcPr>
          <w:p w:rsidR="00B860B1" w:rsidRDefault="002971E7" w:rsidP="002971E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Улучшение работы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системы</w:t>
            </w:r>
          </w:p>
        </w:tc>
      </w:tr>
      <w:tr w:rsidR="002971E7" w:rsidTr="002971E7">
        <w:tc>
          <w:tcPr>
            <w:tcW w:w="3510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1-9 месяцев</w:t>
            </w:r>
          </w:p>
        </w:tc>
        <w:tc>
          <w:tcPr>
            <w:tcW w:w="6061" w:type="dxa"/>
          </w:tcPr>
          <w:p w:rsidR="002971E7" w:rsidRDefault="002971E7" w:rsidP="00A146CB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Кашель, одышка и проблемы с дыханием уменьшаются, увеличивается функция легких на 10%</w:t>
            </w:r>
          </w:p>
        </w:tc>
      </w:tr>
      <w:tr w:rsidR="002971E7" w:rsidTr="002971E7">
        <w:tc>
          <w:tcPr>
            <w:tcW w:w="3510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год</w:t>
            </w:r>
          </w:p>
        </w:tc>
        <w:tc>
          <w:tcPr>
            <w:tcW w:w="6061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Риск развития ИБС уменьшается на 10%</w:t>
            </w:r>
          </w:p>
        </w:tc>
      </w:tr>
      <w:tr w:rsidR="002971E7" w:rsidTr="002971E7">
        <w:tc>
          <w:tcPr>
            <w:tcW w:w="3510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лет</w:t>
            </w:r>
          </w:p>
        </w:tc>
        <w:tc>
          <w:tcPr>
            <w:tcW w:w="6061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Риск инсульта снижается до уровня риска никогда не курившего человека</w:t>
            </w:r>
          </w:p>
        </w:tc>
      </w:tr>
      <w:tr w:rsidR="002971E7" w:rsidTr="002971E7">
        <w:tc>
          <w:tcPr>
            <w:tcW w:w="3510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 лет</w:t>
            </w:r>
          </w:p>
        </w:tc>
        <w:tc>
          <w:tcPr>
            <w:tcW w:w="6061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Риск развития рака легких составляет 30-50% риска курильщика</w:t>
            </w:r>
          </w:p>
        </w:tc>
      </w:tr>
      <w:tr w:rsidR="002971E7" w:rsidTr="002971E7">
        <w:tc>
          <w:tcPr>
            <w:tcW w:w="3510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 лет</w:t>
            </w:r>
          </w:p>
        </w:tc>
        <w:tc>
          <w:tcPr>
            <w:tcW w:w="6061" w:type="dxa"/>
          </w:tcPr>
          <w:p w:rsidR="002971E7" w:rsidRDefault="002971E7" w:rsidP="00F3510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Риск ИБС такой же, как у никогда не курившего человека</w:t>
            </w:r>
          </w:p>
        </w:tc>
      </w:tr>
    </w:tbl>
    <w:p w:rsidR="00B860B1" w:rsidRDefault="00B860B1" w:rsidP="00F3510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</w:p>
    <w:p w:rsidR="002971E7" w:rsidRPr="00F35100" w:rsidRDefault="002971E7" w:rsidP="00F3510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Прекращение курения это комплексный и трудный процесс. Для достижения успеха необходима мотивация, которая может быть повышена с помощью профессиональной помощи, поддержки семьи, отказ от курения членов семьи,  личный пример докторов и медицинского персонала. Также для борьбы с курением используется </w:t>
      </w:r>
      <w:proofErr w:type="spellStart"/>
      <w:r>
        <w:rPr>
          <w:rFonts w:ascii="Times New Roman" w:hAnsi="Times New Roman" w:cs="Times New Roman"/>
          <w:sz w:val="28"/>
        </w:rPr>
        <w:t>никотинзамещающая</w:t>
      </w:r>
      <w:proofErr w:type="spellEnd"/>
      <w:r>
        <w:rPr>
          <w:rFonts w:ascii="Times New Roman" w:hAnsi="Times New Roman" w:cs="Times New Roman"/>
          <w:sz w:val="28"/>
        </w:rPr>
        <w:t xml:space="preserve"> терапия - жевательная резинка, </w:t>
      </w:r>
      <w:proofErr w:type="spellStart"/>
      <w:r>
        <w:rPr>
          <w:rFonts w:ascii="Times New Roman" w:hAnsi="Times New Roman" w:cs="Times New Roman"/>
          <w:sz w:val="28"/>
        </w:rPr>
        <w:t>трансдермальный</w:t>
      </w:r>
      <w:proofErr w:type="spellEnd"/>
      <w:r>
        <w:rPr>
          <w:rFonts w:ascii="Times New Roman" w:hAnsi="Times New Roman" w:cs="Times New Roman"/>
          <w:sz w:val="28"/>
        </w:rPr>
        <w:t xml:space="preserve"> пластырь, назальный </w:t>
      </w:r>
      <w:proofErr w:type="spellStart"/>
      <w:r>
        <w:rPr>
          <w:rFonts w:ascii="Times New Roman" w:hAnsi="Times New Roman" w:cs="Times New Roman"/>
          <w:sz w:val="28"/>
        </w:rPr>
        <w:t>спррей</w:t>
      </w:r>
      <w:proofErr w:type="spellEnd"/>
      <w:r>
        <w:rPr>
          <w:rFonts w:ascii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</w:rPr>
        <w:t>сублингвальные</w:t>
      </w:r>
      <w:proofErr w:type="spellEnd"/>
      <w:r>
        <w:rPr>
          <w:rFonts w:ascii="Times New Roman" w:hAnsi="Times New Roman" w:cs="Times New Roman"/>
          <w:sz w:val="28"/>
        </w:rPr>
        <w:t xml:space="preserve"> таблетки, ингаляции. </w:t>
      </w:r>
    </w:p>
    <w:p w:rsidR="00E575B6" w:rsidRPr="00F35100" w:rsidRDefault="00E575B6" w:rsidP="00F3510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</w:p>
    <w:p w:rsidR="002971E7" w:rsidRPr="00151102" w:rsidRDefault="00CB7C57" w:rsidP="009641B4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1102">
        <w:rPr>
          <w:rFonts w:ascii="Times New Roman" w:hAnsi="Times New Roman" w:cs="Times New Roman"/>
          <w:sz w:val="28"/>
          <w:szCs w:val="28"/>
        </w:rPr>
        <w:t xml:space="preserve">4.2. </w:t>
      </w:r>
      <w:r w:rsidR="002971E7" w:rsidRPr="00151102">
        <w:rPr>
          <w:rFonts w:ascii="Times New Roman" w:hAnsi="Times New Roman" w:cs="Times New Roman"/>
          <w:sz w:val="28"/>
          <w:szCs w:val="28"/>
        </w:rPr>
        <w:t xml:space="preserve">Питание. </w:t>
      </w:r>
    </w:p>
    <w:p w:rsidR="00E206FE" w:rsidRDefault="00E206FE" w:rsidP="00B60CFC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206FE">
        <w:rPr>
          <w:rFonts w:ascii="Times New Roman" w:hAnsi="Times New Roman" w:cs="Times New Roman"/>
          <w:sz w:val="28"/>
          <w:szCs w:val="28"/>
        </w:rPr>
        <w:t>Нездоровое питание</w:t>
      </w:r>
      <w:r>
        <w:rPr>
          <w:rFonts w:ascii="Times New Roman" w:hAnsi="Times New Roman" w:cs="Times New Roman"/>
          <w:sz w:val="28"/>
          <w:szCs w:val="28"/>
        </w:rPr>
        <w:t xml:space="preserve"> является фактором риска многих заболеваний включая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сахарный диабет, онкологические заболевания. Здоровое питание рекомендовано как основа и важнейший компонент профилактики ССЗ. </w:t>
      </w:r>
    </w:p>
    <w:p w:rsidR="00E206FE" w:rsidRDefault="00E206FE" w:rsidP="00E206FE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Привычки по питанию влияют на риск ССЗ как через воздействие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ФР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холестерин, АД, массу тела, сахарный диабет, так и независимо от них. </w:t>
      </w:r>
    </w:p>
    <w:p w:rsidR="00E206FE" w:rsidRPr="00E206FE" w:rsidRDefault="00080F0D" w:rsidP="00E206FE">
      <w:pPr>
        <w:spacing w:after="0" w:line="360" w:lineRule="auto"/>
        <w:rPr>
          <w:rFonts w:ascii="Times New Roman" w:hAnsi="Times New Roman" w:cs="Times New Roman"/>
          <w:sz w:val="28"/>
        </w:rPr>
      </w:pPr>
      <w:r w:rsidRPr="00E206FE">
        <w:rPr>
          <w:rFonts w:ascii="Times New Roman" w:hAnsi="Times New Roman" w:cs="Times New Roman"/>
          <w:sz w:val="28"/>
        </w:rPr>
        <w:t>Принципы рационального п</w:t>
      </w:r>
      <w:r w:rsidR="00E206FE" w:rsidRPr="00E206FE">
        <w:rPr>
          <w:rFonts w:ascii="Times New Roman" w:hAnsi="Times New Roman" w:cs="Times New Roman"/>
          <w:sz w:val="28"/>
        </w:rPr>
        <w:t>итания:</w:t>
      </w:r>
      <w:r w:rsidRPr="00E206FE">
        <w:rPr>
          <w:rFonts w:ascii="Times New Roman" w:hAnsi="Times New Roman" w:cs="Times New Roman"/>
          <w:sz w:val="28"/>
        </w:rPr>
        <w:br/>
      </w:r>
    </w:p>
    <w:p w:rsidR="00E206FE" w:rsidRDefault="00080F0D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E206FE">
        <w:rPr>
          <w:rFonts w:ascii="Times New Roman" w:hAnsi="Times New Roman" w:cs="Times New Roman"/>
          <w:sz w:val="28"/>
        </w:rPr>
        <w:t xml:space="preserve">Сбалансированность </w:t>
      </w:r>
      <w:proofErr w:type="spellStart"/>
      <w:r w:rsidRPr="00E206FE">
        <w:rPr>
          <w:rFonts w:ascii="Times New Roman" w:hAnsi="Times New Roman" w:cs="Times New Roman"/>
          <w:sz w:val="28"/>
        </w:rPr>
        <w:t>энергопоступления</w:t>
      </w:r>
      <w:proofErr w:type="spellEnd"/>
      <w:r w:rsidRPr="00E206FE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E206FE">
        <w:rPr>
          <w:rFonts w:ascii="Times New Roman" w:hAnsi="Times New Roman" w:cs="Times New Roman"/>
          <w:sz w:val="28"/>
        </w:rPr>
        <w:t>энергозатрат</w:t>
      </w:r>
      <w:proofErr w:type="spellEnd"/>
      <w:r w:rsidRPr="00E206FE">
        <w:rPr>
          <w:rFonts w:ascii="Times New Roman" w:hAnsi="Times New Roman" w:cs="Times New Roman"/>
          <w:sz w:val="28"/>
        </w:rPr>
        <w:t xml:space="preserve"> организма в соответствии с полом, возрастом, характером труда</w:t>
      </w:r>
    </w:p>
    <w:p w:rsidR="00E206FE" w:rsidRDefault="00080F0D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E206FE">
        <w:rPr>
          <w:rFonts w:ascii="Times New Roman" w:hAnsi="Times New Roman" w:cs="Times New Roman"/>
          <w:sz w:val="28"/>
        </w:rPr>
        <w:t xml:space="preserve">Регулярное превышение суточной калорийности пищи над </w:t>
      </w:r>
      <w:proofErr w:type="spellStart"/>
      <w:r w:rsidRPr="00E206FE">
        <w:rPr>
          <w:rFonts w:ascii="Times New Roman" w:hAnsi="Times New Roman" w:cs="Times New Roman"/>
          <w:sz w:val="28"/>
        </w:rPr>
        <w:t>энергозатратами</w:t>
      </w:r>
      <w:proofErr w:type="spellEnd"/>
      <w:r w:rsidRPr="00E206FE">
        <w:rPr>
          <w:rFonts w:ascii="Times New Roman" w:hAnsi="Times New Roman" w:cs="Times New Roman"/>
          <w:sz w:val="28"/>
        </w:rPr>
        <w:t xml:space="preserve"> на 200 ккал в день приводит к увеличению балластного жира в организме на 10-20 г в день, за год масса </w:t>
      </w:r>
      <w:r w:rsidR="00E206FE">
        <w:rPr>
          <w:rFonts w:ascii="Times New Roman" w:hAnsi="Times New Roman" w:cs="Times New Roman"/>
          <w:sz w:val="28"/>
        </w:rPr>
        <w:t>тела может увеличиться на 3-7 кг</w:t>
      </w:r>
    </w:p>
    <w:p w:rsidR="00E206FE" w:rsidRDefault="00080F0D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E206FE">
        <w:rPr>
          <w:rFonts w:ascii="Times New Roman" w:hAnsi="Times New Roman" w:cs="Times New Roman"/>
          <w:sz w:val="28"/>
        </w:rPr>
        <w:t>Обеспеченность физиологических потребностей организма в незаменимых пищевых веществах: белках, жирах, углеводах, витаминах, минеральных веществах</w:t>
      </w:r>
    </w:p>
    <w:p w:rsidR="00E206FE" w:rsidRDefault="00080F0D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 w:rsidRPr="00E206FE">
        <w:rPr>
          <w:rFonts w:ascii="Times New Roman" w:hAnsi="Times New Roman" w:cs="Times New Roman"/>
          <w:sz w:val="28"/>
        </w:rPr>
        <w:t xml:space="preserve">Для нормальной жизнедеятельности организма основные пищевые вещества должны содержаться в рационе в следующих пропорциях: белок </w:t>
      </w:r>
      <w:r w:rsidRPr="00E206FE">
        <w:rPr>
          <w:rFonts w:ascii="Times New Roman" w:hAnsi="Times New Roman" w:cs="Times New Roman"/>
          <w:sz w:val="28"/>
        </w:rPr>
        <w:lastRenderedPageBreak/>
        <w:t>— 15% от общей калорийности (90-95 г), жир — 35% от общей калорийности (80-100 г), углеводы — 50% от общей калорийности (300-350 г)</w:t>
      </w:r>
    </w:p>
    <w:p w:rsidR="00E206FE" w:rsidRDefault="00E206FE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Ограничение потребления поваренной соли</w:t>
      </w:r>
    </w:p>
    <w:p w:rsidR="00E206FE" w:rsidRDefault="00E206FE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Ограничение в рационе питания простых углеводов</w:t>
      </w:r>
    </w:p>
    <w:p w:rsidR="00E206FE" w:rsidRDefault="00E206FE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потребления фруктов и овощей</w:t>
      </w:r>
    </w:p>
    <w:p w:rsidR="00E206FE" w:rsidRDefault="00E206FE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Широкое применение </w:t>
      </w:r>
      <w:proofErr w:type="spellStart"/>
      <w:r>
        <w:rPr>
          <w:rFonts w:ascii="Times New Roman" w:hAnsi="Times New Roman" w:cs="Times New Roman"/>
          <w:sz w:val="28"/>
        </w:rPr>
        <w:t>цельнозерновых</w:t>
      </w:r>
      <w:proofErr w:type="spellEnd"/>
      <w:r>
        <w:rPr>
          <w:rFonts w:ascii="Times New Roman" w:hAnsi="Times New Roman" w:cs="Times New Roman"/>
          <w:sz w:val="28"/>
        </w:rPr>
        <w:t xml:space="preserve"> продуктов</w:t>
      </w:r>
    </w:p>
    <w:p w:rsidR="00E206FE" w:rsidRDefault="00E206FE" w:rsidP="00E206FE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Употребление алкоголя в дозах, не превышающих </w:t>
      </w:r>
      <w:proofErr w:type="gramStart"/>
      <w:r>
        <w:rPr>
          <w:rFonts w:ascii="Times New Roman" w:hAnsi="Times New Roman" w:cs="Times New Roman"/>
          <w:sz w:val="28"/>
        </w:rPr>
        <w:t>безопасные</w:t>
      </w:r>
      <w:proofErr w:type="gramEnd"/>
    </w:p>
    <w:p w:rsidR="00E206FE" w:rsidRDefault="00E206FE" w:rsidP="00E206FE">
      <w:pPr>
        <w:spacing w:line="360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 </w:t>
      </w:r>
      <w:r w:rsidR="009641B4">
        <w:rPr>
          <w:rFonts w:ascii="Times New Roman" w:hAnsi="Times New Roman" w:cs="Times New Roman"/>
          <w:sz w:val="28"/>
        </w:rPr>
        <w:t>характеристик здорового питания:</w:t>
      </w:r>
    </w:p>
    <w:p w:rsidR="009641B4" w:rsidRPr="009641B4" w:rsidRDefault="00E206FE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 xml:space="preserve">Насыщенные жирные кислоты (НЖК) </w:t>
      </w:r>
      <w:r w:rsidR="009641B4" w:rsidRPr="009641B4">
        <w:rPr>
          <w:rFonts w:ascii="Times New Roman" w:hAnsi="Times New Roman" w:cs="Times New Roman"/>
          <w:sz w:val="28"/>
        </w:rPr>
        <w:t xml:space="preserve"> &lt;10% от суточной калорийности и должны замещаться полиненасыще</w:t>
      </w:r>
      <w:r w:rsidR="009641B4">
        <w:rPr>
          <w:rFonts w:ascii="Times New Roman" w:hAnsi="Times New Roman" w:cs="Times New Roman"/>
          <w:sz w:val="28"/>
        </w:rPr>
        <w:t xml:space="preserve">нными жирными кислотами </w:t>
      </w:r>
      <w:proofErr w:type="gramStart"/>
      <w:r w:rsidR="009641B4">
        <w:rPr>
          <w:rFonts w:ascii="Times New Roman" w:hAnsi="Times New Roman" w:cs="Times New Roman"/>
          <w:sz w:val="28"/>
        </w:rPr>
        <w:t xml:space="preserve">( </w:t>
      </w:r>
      <w:proofErr w:type="gramEnd"/>
      <w:r w:rsidR="009641B4">
        <w:rPr>
          <w:rFonts w:ascii="Times New Roman" w:hAnsi="Times New Roman" w:cs="Times New Roman"/>
          <w:sz w:val="28"/>
        </w:rPr>
        <w:t>ПНЖК)</w:t>
      </w:r>
      <w:r w:rsidR="009641B4" w:rsidRPr="009641B4">
        <w:rPr>
          <w:rFonts w:ascii="Times New Roman" w:hAnsi="Times New Roman" w:cs="Times New Roman"/>
          <w:sz w:val="28"/>
        </w:rPr>
        <w:t>.</w:t>
      </w:r>
    </w:p>
    <w:p w:rsidR="009641B4" w:rsidRP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proofErr w:type="spellStart"/>
      <w:proofErr w:type="gramStart"/>
      <w:r w:rsidRPr="009641B4">
        <w:rPr>
          <w:rFonts w:ascii="Times New Roman" w:hAnsi="Times New Roman" w:cs="Times New Roman"/>
          <w:sz w:val="28"/>
        </w:rPr>
        <w:t>Транс-ненасыщенные</w:t>
      </w:r>
      <w:proofErr w:type="spellEnd"/>
      <w:proofErr w:type="gramEnd"/>
      <w:r w:rsidRPr="009641B4">
        <w:rPr>
          <w:rFonts w:ascii="Times New Roman" w:hAnsi="Times New Roman" w:cs="Times New Roman"/>
          <w:sz w:val="28"/>
        </w:rPr>
        <w:t xml:space="preserve"> жирные кислоты должны занимать как можно меньше от общей калорийности (менее 1%) 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>До 5г поваренной соли в день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30-45 г пищевых волокон в день из </w:t>
      </w:r>
      <w:proofErr w:type="spellStart"/>
      <w:r>
        <w:rPr>
          <w:rFonts w:ascii="Times New Roman" w:hAnsi="Times New Roman" w:cs="Times New Roman"/>
          <w:sz w:val="28"/>
        </w:rPr>
        <w:t>цельнозерновых</w:t>
      </w:r>
      <w:proofErr w:type="spellEnd"/>
      <w:r>
        <w:rPr>
          <w:rFonts w:ascii="Times New Roman" w:hAnsi="Times New Roman" w:cs="Times New Roman"/>
          <w:sz w:val="28"/>
        </w:rPr>
        <w:t xml:space="preserve"> продуктов, овощей и фруктов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250г и более фруктов в день (2-3 порции)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250г и более овощей в день (2-3 порции) 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Рыба 1-2 раза в неделю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30г насоленных орехов в день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Ограничение приема спиртных напитков до 2 бокалов в день (20г алкоголя) для мужчин и 1 бокал (10г алкоголя в день) для женщин</w:t>
      </w:r>
    </w:p>
    <w:p w:rsidR="009641B4" w:rsidRDefault="009641B4" w:rsidP="009641B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Исключение сахаросодержащие легкие и алкогольные напитки.</w:t>
      </w:r>
    </w:p>
    <w:p w:rsidR="00731172" w:rsidRPr="00302A05" w:rsidRDefault="009641B4" w:rsidP="00302A05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Широкое распространение </w:t>
      </w:r>
      <w:r w:rsidR="00731172">
        <w:rPr>
          <w:rFonts w:ascii="Times New Roman" w:hAnsi="Times New Roman" w:cs="Times New Roman"/>
          <w:sz w:val="28"/>
        </w:rPr>
        <w:t xml:space="preserve">получила Средиземноморская </w:t>
      </w:r>
      <w:proofErr w:type="spellStart"/>
      <w:r w:rsidR="00731172">
        <w:rPr>
          <w:rFonts w:ascii="Times New Roman" w:hAnsi="Times New Roman" w:cs="Times New Roman"/>
          <w:sz w:val="28"/>
        </w:rPr>
        <w:t>диета</w:t>
      </w:r>
      <w:proofErr w:type="gramStart"/>
      <w:r w:rsidR="00731172">
        <w:rPr>
          <w:rFonts w:ascii="Times New Roman" w:hAnsi="Times New Roman" w:cs="Times New Roman"/>
          <w:sz w:val="28"/>
        </w:rPr>
        <w:t>,ф</w:t>
      </w:r>
      <w:proofErr w:type="gramEnd"/>
      <w:r w:rsidR="00731172">
        <w:rPr>
          <w:rFonts w:ascii="Times New Roman" w:hAnsi="Times New Roman" w:cs="Times New Roman"/>
          <w:sz w:val="28"/>
        </w:rPr>
        <w:t>актически</w:t>
      </w:r>
      <w:proofErr w:type="spellEnd"/>
      <w:r w:rsidR="00731172">
        <w:rPr>
          <w:rFonts w:ascii="Times New Roman" w:hAnsi="Times New Roman" w:cs="Times New Roman"/>
          <w:sz w:val="28"/>
        </w:rPr>
        <w:t xml:space="preserve"> это система питания, которая доказала свою эффективность. Соблюдение такой диеты снижает риск ССЗ на 10%, общей смертности на 8%. Соблюдение принципов этой диеты на протяжении 5 лет снижает риск возникновения ССЗ на 29% ниже, чем </w:t>
      </w:r>
      <w:r w:rsidR="00731172">
        <w:rPr>
          <w:rFonts w:ascii="Times New Roman" w:hAnsi="Times New Roman" w:cs="Times New Roman"/>
          <w:sz w:val="28"/>
        </w:rPr>
        <w:lastRenderedPageBreak/>
        <w:t xml:space="preserve">при контрольной диете. </w:t>
      </w:r>
      <w:r w:rsidR="00080F0D" w:rsidRPr="009641B4">
        <w:rPr>
          <w:rFonts w:ascii="Times New Roman" w:hAnsi="Times New Roman" w:cs="Times New Roman"/>
          <w:sz w:val="28"/>
        </w:rPr>
        <w:br/>
      </w:r>
      <w:r w:rsidR="00CB7C57" w:rsidRPr="00151102">
        <w:rPr>
          <w:rFonts w:ascii="Times New Roman" w:hAnsi="Times New Roman" w:cs="Times New Roman"/>
          <w:sz w:val="28"/>
          <w:szCs w:val="28"/>
        </w:rPr>
        <w:t xml:space="preserve">4.3. </w:t>
      </w:r>
      <w:r w:rsidR="00731172" w:rsidRPr="00151102">
        <w:rPr>
          <w:rFonts w:ascii="Times New Roman" w:hAnsi="Times New Roman" w:cs="Times New Roman"/>
          <w:sz w:val="28"/>
          <w:szCs w:val="28"/>
        </w:rPr>
        <w:t>Ожирение.</w:t>
      </w:r>
      <w:r w:rsidR="00731172" w:rsidRPr="00302A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E0" w:rsidRDefault="00731172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302A05">
        <w:rPr>
          <w:rFonts w:ascii="Times New Roman" w:hAnsi="Times New Roman" w:cs="Times New Roman"/>
          <w:sz w:val="28"/>
          <w:szCs w:val="28"/>
        </w:rPr>
        <w:t xml:space="preserve">Причиной ожирения является </w:t>
      </w:r>
      <w:r w:rsidR="005423E0" w:rsidRPr="00302A05">
        <w:rPr>
          <w:rFonts w:ascii="Times New Roman" w:hAnsi="Times New Roman" w:cs="Times New Roman"/>
          <w:sz w:val="28"/>
          <w:szCs w:val="28"/>
        </w:rPr>
        <w:t>энергетическая</w:t>
      </w:r>
      <w:r w:rsidRPr="00302A05">
        <w:rPr>
          <w:rFonts w:ascii="Times New Roman" w:hAnsi="Times New Roman" w:cs="Times New Roman"/>
          <w:sz w:val="28"/>
          <w:szCs w:val="28"/>
        </w:rPr>
        <w:t xml:space="preserve"> несбалансированность между калориями, поступающими в организм и затрачиваемыми калориями в результате сложного взаимодействия множества биологических факторов </w:t>
      </w:r>
      <w:proofErr w:type="gramStart"/>
      <w:r w:rsidRPr="00302A0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2A05">
        <w:rPr>
          <w:rFonts w:ascii="Times New Roman" w:hAnsi="Times New Roman" w:cs="Times New Roman"/>
          <w:sz w:val="28"/>
          <w:szCs w:val="28"/>
        </w:rPr>
        <w:t xml:space="preserve">генетическая предрасположенность), факторов окружающей среды ( которые изменяются со временем на уровне сообществ, отдельных социальных культур) индивидуального поведения и привычки. </w:t>
      </w:r>
      <w:r w:rsidR="00302A05" w:rsidRPr="00302A05">
        <w:rPr>
          <w:rFonts w:ascii="Times New Roman" w:hAnsi="Times New Roman" w:cs="Times New Roman"/>
          <w:sz w:val="28"/>
          <w:szCs w:val="28"/>
        </w:rPr>
        <w:t>Избыточная масса тела  и ожирение предопределяют развитие до 44% всех случаев сахарного диабета 2-го типа и до 23% случаев ишемической болезни сердца, ассоциируются с высоким риском смерти от ССЗ и общей смертности. Оптимальной массе тела соответствует ИМТ-20-25 кг/м</w:t>
      </w:r>
      <w:proofErr w:type="gramStart"/>
      <w:r w:rsidR="00302A05" w:rsidRPr="00302A05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302A05" w:rsidRPr="00302A05">
        <w:rPr>
          <w:rFonts w:ascii="Times New Roman" w:hAnsi="Times New Roman" w:cs="Times New Roman"/>
          <w:sz w:val="28"/>
          <w:szCs w:val="28"/>
        </w:rPr>
        <w:t xml:space="preserve">, ИМТ &gt;25.1-29.9 кг/м2 соответствует избыточной массе тела, ИМТ от 30 и более – ожирение.  Лицам с избыточной массой тела и ожирением рекомендовано снизить массу тела с целью нормализации АД, </w:t>
      </w:r>
      <w:proofErr w:type="spellStart"/>
      <w:r w:rsidR="00302A05" w:rsidRPr="00302A05">
        <w:rPr>
          <w:rFonts w:ascii="Times New Roman" w:hAnsi="Times New Roman" w:cs="Times New Roman"/>
          <w:sz w:val="28"/>
          <w:szCs w:val="28"/>
        </w:rPr>
        <w:t>гиперлипидемии</w:t>
      </w:r>
      <w:proofErr w:type="spellEnd"/>
      <w:r w:rsidR="00302A05" w:rsidRPr="00302A05">
        <w:rPr>
          <w:rFonts w:ascii="Times New Roman" w:hAnsi="Times New Roman" w:cs="Times New Roman"/>
          <w:sz w:val="28"/>
          <w:szCs w:val="28"/>
        </w:rPr>
        <w:t xml:space="preserve">, снижения риска развития СД и улучшения профиля суммарного </w:t>
      </w:r>
      <w:proofErr w:type="spellStart"/>
      <w:proofErr w:type="gramStart"/>
      <w:r w:rsidR="00302A05" w:rsidRPr="00302A05">
        <w:rPr>
          <w:rFonts w:ascii="Times New Roman" w:hAnsi="Times New Roman" w:cs="Times New Roman"/>
          <w:sz w:val="28"/>
          <w:szCs w:val="28"/>
        </w:rPr>
        <w:t>сердечно</w:t>
      </w:r>
      <w:r w:rsidR="00302A05">
        <w:rPr>
          <w:rFonts w:ascii="Times New Roman" w:hAnsi="Times New Roman" w:cs="Times New Roman"/>
          <w:sz w:val="28"/>
          <w:szCs w:val="28"/>
        </w:rPr>
        <w:t>-</w:t>
      </w:r>
      <w:r w:rsidR="00302A05" w:rsidRPr="00302A05">
        <w:rPr>
          <w:rFonts w:ascii="Times New Roman" w:hAnsi="Times New Roman" w:cs="Times New Roman"/>
          <w:sz w:val="28"/>
          <w:szCs w:val="28"/>
        </w:rPr>
        <w:t>сосудистого</w:t>
      </w:r>
      <w:proofErr w:type="spellEnd"/>
      <w:proofErr w:type="gramEnd"/>
      <w:r w:rsidR="00302A05" w:rsidRPr="00302A05">
        <w:rPr>
          <w:rFonts w:ascii="Times New Roman" w:hAnsi="Times New Roman" w:cs="Times New Roman"/>
          <w:sz w:val="28"/>
          <w:szCs w:val="28"/>
        </w:rPr>
        <w:t xml:space="preserve"> риска. </w:t>
      </w:r>
    </w:p>
    <w:p w:rsidR="00E206FE" w:rsidRPr="005423E0" w:rsidRDefault="00E206FE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423E0">
        <w:rPr>
          <w:rFonts w:ascii="Times New Roman" w:hAnsi="Times New Roman" w:cs="Times New Roman"/>
          <w:sz w:val="28"/>
        </w:rPr>
        <w:t>Наиболее распространенным подходом к снижению массы тела является назначение низкокалорийных, сбалансированных по основным пищевым веществам диет. Степень редукции калорийности зависит от избыточности массы тела.</w:t>
      </w:r>
      <w:r w:rsidR="00302A05" w:rsidRPr="005423E0">
        <w:rPr>
          <w:rFonts w:ascii="Times New Roman" w:hAnsi="Times New Roman" w:cs="Times New Roman"/>
          <w:sz w:val="28"/>
        </w:rPr>
        <w:t xml:space="preserve"> Выполнение регулярных физических упражнений с постепенным увеличением в совокупности с диетой гарантировано приводит к снижению массы тела. Если достижение оптимального ИМТ невозможно, необходимо снизить массу тела на 10% </w:t>
      </w:r>
      <w:proofErr w:type="gramStart"/>
      <w:r w:rsidR="00302A05" w:rsidRPr="005423E0">
        <w:rPr>
          <w:rFonts w:ascii="Times New Roman" w:hAnsi="Times New Roman" w:cs="Times New Roman"/>
          <w:sz w:val="28"/>
        </w:rPr>
        <w:t>от</w:t>
      </w:r>
      <w:proofErr w:type="gramEnd"/>
      <w:r w:rsidR="00302A05" w:rsidRPr="005423E0">
        <w:rPr>
          <w:rFonts w:ascii="Times New Roman" w:hAnsi="Times New Roman" w:cs="Times New Roman"/>
          <w:sz w:val="28"/>
        </w:rPr>
        <w:t xml:space="preserve"> исходного и поддерживать его на достигнутом уровне. </w:t>
      </w:r>
    </w:p>
    <w:p w:rsidR="005423E0" w:rsidRPr="00151102" w:rsidRDefault="00CB7C57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151102">
        <w:rPr>
          <w:rFonts w:ascii="Times New Roman" w:hAnsi="Times New Roman" w:cs="Times New Roman"/>
          <w:sz w:val="28"/>
        </w:rPr>
        <w:t xml:space="preserve">4.4. </w:t>
      </w:r>
      <w:r w:rsidR="005423E0" w:rsidRPr="00151102">
        <w:rPr>
          <w:rFonts w:ascii="Times New Roman" w:hAnsi="Times New Roman" w:cs="Times New Roman"/>
          <w:sz w:val="28"/>
        </w:rPr>
        <w:t xml:space="preserve">Физическая активность. 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 xml:space="preserve">Доказано, что физически активный досуг предупреждает последствия малоподвижного образа жизни (развитие ожирения, артериальной гипертензии, заболеваний </w:t>
      </w:r>
      <w:proofErr w:type="spellStart"/>
      <w:proofErr w:type="gramStart"/>
      <w:r w:rsidRPr="009641B4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Pr="009641B4">
        <w:rPr>
          <w:rFonts w:ascii="Times New Roman" w:hAnsi="Times New Roman" w:cs="Times New Roman"/>
          <w:sz w:val="28"/>
        </w:rPr>
        <w:t xml:space="preserve"> системы, обменных нарушений). Физическая активность должна сопр</w:t>
      </w:r>
      <w:r>
        <w:rPr>
          <w:rFonts w:ascii="Times New Roman" w:hAnsi="Times New Roman" w:cs="Times New Roman"/>
          <w:sz w:val="28"/>
        </w:rPr>
        <w:t xml:space="preserve">овождаться положительными </w:t>
      </w:r>
      <w:proofErr w:type="spellStart"/>
      <w:r>
        <w:rPr>
          <w:rFonts w:ascii="Times New Roman" w:hAnsi="Times New Roman" w:cs="Times New Roman"/>
          <w:sz w:val="28"/>
        </w:rPr>
        <w:t>психо-</w:t>
      </w:r>
      <w:r w:rsidRPr="009641B4">
        <w:rPr>
          <w:rFonts w:ascii="Times New Roman" w:hAnsi="Times New Roman" w:cs="Times New Roman"/>
          <w:sz w:val="28"/>
        </w:rPr>
        <w:t>эмоциональными</w:t>
      </w:r>
      <w:proofErr w:type="spellEnd"/>
      <w:r w:rsidRPr="009641B4">
        <w:rPr>
          <w:rFonts w:ascii="Times New Roman" w:hAnsi="Times New Roman" w:cs="Times New Roman"/>
          <w:sz w:val="28"/>
        </w:rPr>
        <w:t xml:space="preserve"> установками и не иметь оттенка бремени. Перед началом самостоятельных занятий необходимо провести медицинское обследование в зависимости от возраста больного: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lastRenderedPageBreak/>
        <w:t>· до 30 лет достаточно обычного врачебного осмотра;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 xml:space="preserve">· от 30 до 40 лет к осмотру необходимо добавить снятие </w:t>
      </w:r>
      <w:proofErr w:type="spellStart"/>
      <w:r w:rsidRPr="009641B4">
        <w:rPr>
          <w:rFonts w:ascii="Times New Roman" w:hAnsi="Times New Roman" w:cs="Times New Roman"/>
          <w:sz w:val="28"/>
        </w:rPr>
        <w:t>ЭКГ-покоя</w:t>
      </w:r>
      <w:proofErr w:type="spellEnd"/>
      <w:r w:rsidRPr="009641B4">
        <w:rPr>
          <w:rFonts w:ascii="Times New Roman" w:hAnsi="Times New Roman" w:cs="Times New Roman"/>
          <w:sz w:val="28"/>
        </w:rPr>
        <w:t>;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>· старше 40 лет рекомендуется начинать тренировки под наблюдением инструктора врачебно-физкультурного диспансера с предварительным проведением пробы с физической нагрузкой.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>Лицам старше 40 лет физическую нагрузку рекомендуется назначать с дозированной ходьбы, постепенно увеличивая темп и дистанцию.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>Лицам с ожирением рекомендуются аэробные физические нагрузки - бег, плавание, лыжные прогулки, езда на велосипеде. Однако наиболее приемлемым видом физической активности следует считать ходьбу, которая должна быть регулярной, умеренной интенсивности, ежедневной. Следует начинать с 10 мин в день, постепенно увеличивая продолжительность занятий до 30-40 мин, с включением коротких (10-15 мин) эпизодов быстрой ходьбы. Рекомендуется уделять физическим нагрузкам примерно 60 мин ежедневно. Назначается также быстрая ходьба в течение 30 мин (скорость - 4,5 км/ч) не менее 3 раз в неделю. Кратковременные нагрузки (короткие тренировки) обеспечивают расход гликогена, а длительные - запасов жира. Дополнительные физические нагрузки - подниматься лестницей, а не лифтом, совершать пешие 10-15-минутные прогулки после приема пищи. Работа по дому гораздо эффективнее 30-минутных прогулок 6 раз в неделю.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>Эффективность физической нагрузки в отношении уменьшения массы тела возрастает по мере увеличения продолжительности ходьбы в течение дня.</w:t>
      </w:r>
    </w:p>
    <w:p w:rsidR="005423E0" w:rsidRPr="009641B4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9641B4">
        <w:rPr>
          <w:rFonts w:ascii="Times New Roman" w:hAnsi="Times New Roman" w:cs="Times New Roman"/>
          <w:sz w:val="28"/>
        </w:rPr>
        <w:t>Необходим самоконтроль нагрузки: она не должна приводить к учащению пульса выше возрастного предела, который определяется как "180 - возраст в годах". Появление одышки служит сигналом для уменьшения интенсивности нагрузки. Тренирующий эффект нагрузки проявляется в снижении частоты пульса в покое, сокращении времени восстановления пульса после стандартной нагрузки (например, 20 приседаний). Ухудшение самочувствия (сна, аппетита, работоспособности, появление неприятных ощущений) требует снижения или прекращения нагрузок.</w:t>
      </w:r>
    </w:p>
    <w:p w:rsidR="005423E0" w:rsidRPr="00151102" w:rsidRDefault="00CB7C57" w:rsidP="005423E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1102">
        <w:rPr>
          <w:rFonts w:ascii="Times New Roman" w:hAnsi="Times New Roman" w:cs="Times New Roman"/>
          <w:sz w:val="28"/>
          <w:szCs w:val="28"/>
        </w:rPr>
        <w:lastRenderedPageBreak/>
        <w:t xml:space="preserve">4.5. </w:t>
      </w:r>
      <w:proofErr w:type="spellStart"/>
      <w:r w:rsidR="005423E0" w:rsidRPr="00151102">
        <w:rPr>
          <w:rFonts w:ascii="Times New Roman" w:hAnsi="Times New Roman" w:cs="Times New Roman"/>
          <w:sz w:val="28"/>
          <w:szCs w:val="28"/>
        </w:rPr>
        <w:t>Дислипидемия</w:t>
      </w:r>
      <w:proofErr w:type="spellEnd"/>
    </w:p>
    <w:p w:rsidR="005423E0" w:rsidRPr="00EF233F" w:rsidRDefault="005423E0" w:rsidP="005423E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Нарушения липидного обмена, главное проявление которого — повышение уровня холестерина в крови (особенно ХС ЛПНП) — основной фактор развития атеросклероза и ИБС. </w:t>
      </w:r>
    </w:p>
    <w:p w:rsidR="005423E0" w:rsidRPr="00EF233F" w:rsidRDefault="005423E0" w:rsidP="005423E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EF233F">
        <w:rPr>
          <w:rFonts w:ascii="Times New Roman" w:hAnsi="Times New Roman" w:cs="Times New Roman"/>
          <w:sz w:val="28"/>
          <w:szCs w:val="28"/>
        </w:rPr>
        <w:t xml:space="preserve">Целевые (оптимальные) уровни липидов крови </w:t>
      </w:r>
    </w:p>
    <w:tbl>
      <w:tblPr>
        <w:tblStyle w:val="a4"/>
        <w:tblW w:w="0" w:type="auto"/>
        <w:tblInd w:w="-567" w:type="dxa"/>
        <w:tblLook w:val="04A0"/>
      </w:tblPr>
      <w:tblGrid>
        <w:gridCol w:w="3190"/>
        <w:gridCol w:w="3190"/>
        <w:gridCol w:w="3191"/>
      </w:tblGrid>
      <w:tr w:rsidR="005423E0" w:rsidRPr="00EF233F" w:rsidTr="00511738"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 xml:space="preserve">Липидный профиль </w:t>
            </w:r>
          </w:p>
        </w:tc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Ммоль</w:t>
            </w:r>
            <w:proofErr w:type="spellEnd"/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/дл</w:t>
            </w:r>
          </w:p>
        </w:tc>
        <w:tc>
          <w:tcPr>
            <w:tcW w:w="3191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Мг/дл</w:t>
            </w:r>
          </w:p>
        </w:tc>
      </w:tr>
      <w:tr w:rsidR="005423E0" w:rsidRPr="00EF233F" w:rsidTr="00511738"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Общий холестерин</w:t>
            </w:r>
          </w:p>
        </w:tc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&lt;5.0</w:t>
            </w:r>
          </w:p>
        </w:tc>
        <w:tc>
          <w:tcPr>
            <w:tcW w:w="3191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&lt;190</w:t>
            </w:r>
          </w:p>
        </w:tc>
      </w:tr>
      <w:tr w:rsidR="005423E0" w:rsidRPr="00EF233F" w:rsidTr="00511738"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ХС ЛПНП</w:t>
            </w:r>
          </w:p>
        </w:tc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&lt;3,0</w:t>
            </w:r>
          </w:p>
        </w:tc>
        <w:tc>
          <w:tcPr>
            <w:tcW w:w="3191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&lt;115</w:t>
            </w:r>
          </w:p>
        </w:tc>
      </w:tr>
      <w:tr w:rsidR="005423E0" w:rsidRPr="00EF233F" w:rsidTr="00511738"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ХС ЛПВП</w:t>
            </w:r>
          </w:p>
        </w:tc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&gt;1,0 (у мужчин) &gt;1,2 (у женщин</w:t>
            </w:r>
            <w:proofErr w:type="gramEnd"/>
          </w:p>
        </w:tc>
        <w:tc>
          <w:tcPr>
            <w:tcW w:w="3191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&gt;40 (у мужчин) &gt;46 (у женщин)</w:t>
            </w:r>
          </w:p>
        </w:tc>
      </w:tr>
      <w:tr w:rsidR="005423E0" w:rsidRPr="00EF233F" w:rsidTr="00511738"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</w:p>
        </w:tc>
        <w:tc>
          <w:tcPr>
            <w:tcW w:w="3190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&lt;1,7</w:t>
            </w:r>
          </w:p>
        </w:tc>
        <w:tc>
          <w:tcPr>
            <w:tcW w:w="3191" w:type="dxa"/>
          </w:tcPr>
          <w:p w:rsidR="005423E0" w:rsidRPr="00EF233F" w:rsidRDefault="005423E0" w:rsidP="005117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233F">
              <w:rPr>
                <w:rFonts w:ascii="Times New Roman" w:hAnsi="Times New Roman" w:cs="Times New Roman"/>
                <w:sz w:val="28"/>
                <w:szCs w:val="28"/>
              </w:rPr>
              <w:t>&lt;150</w:t>
            </w:r>
          </w:p>
        </w:tc>
      </w:tr>
    </w:tbl>
    <w:p w:rsidR="005423E0" w:rsidRPr="00EF233F" w:rsidRDefault="005423E0" w:rsidP="005423E0">
      <w:pPr>
        <w:spacing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423E0" w:rsidRDefault="005423E0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Лицам с </w:t>
      </w:r>
      <w:proofErr w:type="spellStart"/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дислипидемией</w:t>
      </w:r>
      <w:proofErr w:type="spellEnd"/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и с риском ее появления (тучных, с нарушением обмена, наследственной предрасположенностью) с целью снижения уровня холестерина следует проводить рационализацию питания:</w:t>
      </w:r>
      <w:r w:rsidRPr="00EF233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 не употреблять более трех яичных желтков в неделю, включая желтки, используемые для приготовления пищи;</w:t>
      </w:r>
      <w:proofErr w:type="gramStart"/>
      <w:r w:rsidRPr="00EF233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proofErr w:type="gramEnd"/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ограничить потребление субпродуктов (печень, почки), икры, креветок; всех видов колбас, жирных окороков, сливочного и топленого масла, жирных сортов молока и молочных продуктов;</w:t>
      </w:r>
      <w:proofErr w:type="gramStart"/>
      <w:r w:rsidRPr="00EF233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</w:t>
      </w:r>
      <w:proofErr w:type="gramEnd"/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глубокое </w:t>
      </w:r>
      <w:proofErr w:type="spellStart"/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прожаривание</w:t>
      </w:r>
      <w:proofErr w:type="spellEnd"/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пищи на животных жирах заменить тушением, варкой, приготовлением на пару, в духовке, перед приготовлением срезать видимый жир с кусков мяса, а с птицы удалить кожу;</w:t>
      </w:r>
      <w:r w:rsidRPr="00EF233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-отдать предпочтение рыбным блюдам, продуктам моря, овощам и фруктам;</w:t>
      </w:r>
      <w:r w:rsidRPr="00EF233F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EF233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-использовать обезжиренные сорта молочных продуктов, готовить на растительных маслах.</w:t>
      </w:r>
      <w:r w:rsidRPr="00EF233F">
        <w:rPr>
          <w:rFonts w:ascii="Times New Roman" w:hAnsi="Times New Roman" w:cs="Times New Roman"/>
          <w:color w:val="262626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неэффективности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гиполипидемической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диеты назначается медикаментозная терапия, основными препаратами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Аторвастатин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Розувастатин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Симвастатин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которых заключается в </w:t>
      </w:r>
      <w:r>
        <w:rPr>
          <w:rFonts w:ascii="Times New Roman" w:hAnsi="Times New Roman" w:cs="Times New Roman"/>
          <w:sz w:val="28"/>
        </w:rPr>
        <w:t>снижении уровня</w:t>
      </w:r>
      <w:r w:rsidRPr="005423E0">
        <w:rPr>
          <w:rFonts w:ascii="Times New Roman" w:hAnsi="Times New Roman" w:cs="Times New Roman"/>
          <w:sz w:val="28"/>
        </w:rPr>
        <w:t xml:space="preserve"> холестерина и </w:t>
      </w:r>
      <w:proofErr w:type="spellStart"/>
      <w:r w:rsidRPr="005423E0">
        <w:rPr>
          <w:rFonts w:ascii="Times New Roman" w:hAnsi="Times New Roman" w:cs="Times New Roman"/>
          <w:sz w:val="28"/>
        </w:rPr>
        <w:t>липопротеинов</w:t>
      </w:r>
      <w:proofErr w:type="spellEnd"/>
      <w:r w:rsidRPr="005423E0">
        <w:rPr>
          <w:rFonts w:ascii="Times New Roman" w:hAnsi="Times New Roman" w:cs="Times New Roman"/>
          <w:sz w:val="28"/>
        </w:rPr>
        <w:t xml:space="preserve"> в плазме крови, ингибируя </w:t>
      </w:r>
      <w:proofErr w:type="spellStart"/>
      <w:r w:rsidRPr="005423E0">
        <w:rPr>
          <w:rFonts w:ascii="Times New Roman" w:hAnsi="Times New Roman" w:cs="Times New Roman"/>
          <w:sz w:val="28"/>
        </w:rPr>
        <w:t>ГМГ-Ко</w:t>
      </w:r>
      <w:r>
        <w:rPr>
          <w:rFonts w:ascii="Times New Roman" w:hAnsi="Times New Roman" w:cs="Times New Roman"/>
          <w:sz w:val="28"/>
        </w:rPr>
        <w:t>А-редуктазу</w:t>
      </w:r>
      <w:proofErr w:type="spellEnd"/>
      <w:r>
        <w:rPr>
          <w:rFonts w:ascii="Times New Roman" w:hAnsi="Times New Roman" w:cs="Times New Roman"/>
          <w:sz w:val="28"/>
        </w:rPr>
        <w:t>, а также торможение</w:t>
      </w:r>
      <w:r w:rsidRPr="005423E0">
        <w:rPr>
          <w:rFonts w:ascii="Times New Roman" w:hAnsi="Times New Roman" w:cs="Times New Roman"/>
          <w:sz w:val="28"/>
        </w:rPr>
        <w:t xml:space="preserve"> синтез</w:t>
      </w:r>
      <w:r>
        <w:rPr>
          <w:rFonts w:ascii="Times New Roman" w:hAnsi="Times New Roman" w:cs="Times New Roman"/>
          <w:sz w:val="28"/>
        </w:rPr>
        <w:t>а</w:t>
      </w:r>
      <w:r w:rsidRPr="005423E0">
        <w:rPr>
          <w:rFonts w:ascii="Times New Roman" w:hAnsi="Times New Roman" w:cs="Times New Roman"/>
          <w:sz w:val="28"/>
        </w:rPr>
        <w:t xml:space="preserve"> холестерина в печени, увеличивая число ЛПН</w:t>
      </w:r>
      <w:proofErr w:type="gramStart"/>
      <w:r w:rsidRPr="005423E0">
        <w:rPr>
          <w:rFonts w:ascii="Times New Roman" w:hAnsi="Times New Roman" w:cs="Times New Roman"/>
          <w:sz w:val="28"/>
        </w:rPr>
        <w:t>П-</w:t>
      </w:r>
      <w:proofErr w:type="gramEnd"/>
      <w:r w:rsidRPr="005423E0">
        <w:rPr>
          <w:rFonts w:ascii="Times New Roman" w:hAnsi="Times New Roman" w:cs="Times New Roman"/>
          <w:sz w:val="28"/>
        </w:rPr>
        <w:t xml:space="preserve"> рецепторов на </w:t>
      </w:r>
      <w:r>
        <w:rPr>
          <w:rFonts w:ascii="Times New Roman" w:hAnsi="Times New Roman" w:cs="Times New Roman"/>
          <w:sz w:val="28"/>
        </w:rPr>
        <w:t>поверхности клеток, способствуя</w:t>
      </w:r>
      <w:r w:rsidRPr="005423E0">
        <w:rPr>
          <w:rFonts w:ascii="Times New Roman" w:hAnsi="Times New Roman" w:cs="Times New Roman"/>
          <w:sz w:val="28"/>
        </w:rPr>
        <w:t xml:space="preserve"> усилению захвата и катаболизма ЛПНП</w:t>
      </w:r>
      <w:r>
        <w:rPr>
          <w:rFonts w:ascii="Times New Roman" w:hAnsi="Times New Roman" w:cs="Times New Roman"/>
          <w:sz w:val="28"/>
        </w:rPr>
        <w:t xml:space="preserve">. Ответ на терапию индивидуальный, рекомендовано эффект терапии контролировать с помощью определения уровня ХС ЛПНП. </w:t>
      </w:r>
    </w:p>
    <w:p w:rsidR="00CB7C57" w:rsidRPr="00151102" w:rsidRDefault="003E7959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151102">
        <w:rPr>
          <w:rFonts w:ascii="Times New Roman" w:hAnsi="Times New Roman" w:cs="Times New Roman"/>
          <w:sz w:val="28"/>
        </w:rPr>
        <w:t>4.6</w:t>
      </w:r>
      <w:r w:rsidR="00CB7C57" w:rsidRPr="00151102">
        <w:rPr>
          <w:rFonts w:ascii="Times New Roman" w:hAnsi="Times New Roman" w:cs="Times New Roman"/>
          <w:sz w:val="28"/>
        </w:rPr>
        <w:t>. Артериальная гипертония</w:t>
      </w:r>
    </w:p>
    <w:p w:rsidR="00CB7C57" w:rsidRP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CB7C57">
        <w:rPr>
          <w:rFonts w:ascii="Times New Roman" w:hAnsi="Times New Roman" w:cs="Times New Roman"/>
          <w:sz w:val="28"/>
        </w:rPr>
        <w:t xml:space="preserve">Артериальная гипертония— </w:t>
      </w:r>
      <w:proofErr w:type="gramStart"/>
      <w:r w:rsidRPr="00CB7C57">
        <w:rPr>
          <w:rFonts w:ascii="Times New Roman" w:hAnsi="Times New Roman" w:cs="Times New Roman"/>
          <w:sz w:val="28"/>
        </w:rPr>
        <w:t>па</w:t>
      </w:r>
      <w:proofErr w:type="gramEnd"/>
      <w:r w:rsidRPr="00CB7C57">
        <w:rPr>
          <w:rFonts w:ascii="Times New Roman" w:hAnsi="Times New Roman" w:cs="Times New Roman"/>
          <w:sz w:val="28"/>
        </w:rPr>
        <w:t xml:space="preserve">тологическое состояние, которое наряду с курением и </w:t>
      </w:r>
      <w:proofErr w:type="spellStart"/>
      <w:r w:rsidRPr="00CB7C57">
        <w:rPr>
          <w:rFonts w:ascii="Times New Roman" w:hAnsi="Times New Roman" w:cs="Times New Roman"/>
          <w:sz w:val="28"/>
        </w:rPr>
        <w:t>дислипидемией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является основным фактором риска ИБС. Повышение АД отмечают примерно у 40% взрослого населения России. Около четверти больных не знает об имеющемся у них заболевании, а лечатся эффективно не более 15% больных. Четверть больных не лечились никогда, хотя имели многолетнюю историю повышения АД. В общей популяции целевое АД, которое позволит снизить смертность от мозговых инсультов и ИБС, должно составлять  &lt; 140/90 мм </w:t>
      </w:r>
      <w:proofErr w:type="spellStart"/>
      <w:r w:rsidRPr="00CB7C57">
        <w:rPr>
          <w:rFonts w:ascii="Times New Roman" w:hAnsi="Times New Roman" w:cs="Times New Roman"/>
          <w:sz w:val="28"/>
        </w:rPr>
        <w:t>рт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ст. При отсутствии симптомов решение о необходимости </w:t>
      </w:r>
      <w:proofErr w:type="spellStart"/>
      <w:r w:rsidRPr="00CB7C57">
        <w:rPr>
          <w:rFonts w:ascii="Times New Roman" w:hAnsi="Times New Roman" w:cs="Times New Roman"/>
          <w:sz w:val="28"/>
        </w:rPr>
        <w:t>антигипертензивной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терапии зависит не только от уровня АД, но и общего </w:t>
      </w:r>
      <w:proofErr w:type="spellStart"/>
      <w:proofErr w:type="gramStart"/>
      <w:r w:rsidRPr="00CB7C57">
        <w:rPr>
          <w:rFonts w:ascii="Times New Roman" w:hAnsi="Times New Roman" w:cs="Times New Roman"/>
          <w:sz w:val="28"/>
        </w:rPr>
        <w:t>сердечно-сосудистого</w:t>
      </w:r>
      <w:proofErr w:type="spellEnd"/>
      <w:proofErr w:type="gramEnd"/>
      <w:r w:rsidRPr="00CB7C57">
        <w:rPr>
          <w:rFonts w:ascii="Times New Roman" w:hAnsi="Times New Roman" w:cs="Times New Roman"/>
          <w:sz w:val="28"/>
        </w:rPr>
        <w:t xml:space="preserve"> риска и наличия поражения органов-мишеней.</w:t>
      </w:r>
    </w:p>
    <w:p w:rsidR="00CB7C57" w:rsidRP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CB7C57">
        <w:rPr>
          <w:rFonts w:ascii="Times New Roman" w:hAnsi="Times New Roman" w:cs="Times New Roman"/>
          <w:sz w:val="28"/>
        </w:rPr>
        <w:t xml:space="preserve">Цели гипотензивной терапии: </w:t>
      </w:r>
    </w:p>
    <w:p w:rsidR="00CB7C57" w:rsidRP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CB7C57">
        <w:rPr>
          <w:rFonts w:ascii="Times New Roman" w:hAnsi="Times New Roman" w:cs="Times New Roman"/>
          <w:sz w:val="28"/>
        </w:rPr>
        <w:t xml:space="preserve">• Предупредить возникновение поражения органов мишеней и способствовать их обратному развитию (гипертрофия миокарда, поражение сосудов клетчатки, почек и др.). </w:t>
      </w:r>
    </w:p>
    <w:p w:rsidR="00CB7C57" w:rsidRP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CB7C57">
        <w:rPr>
          <w:rFonts w:ascii="Times New Roman" w:hAnsi="Times New Roman" w:cs="Times New Roman"/>
          <w:sz w:val="28"/>
        </w:rPr>
        <w:t xml:space="preserve">• Уменьшить риск развития </w:t>
      </w:r>
      <w:proofErr w:type="spellStart"/>
      <w:proofErr w:type="gramStart"/>
      <w:r w:rsidRPr="00CB7C57">
        <w:rPr>
          <w:rFonts w:ascii="Times New Roman" w:hAnsi="Times New Roman" w:cs="Times New Roman"/>
          <w:sz w:val="28"/>
        </w:rPr>
        <w:t>сердечно-сосудистых</w:t>
      </w:r>
      <w:proofErr w:type="spellEnd"/>
      <w:proofErr w:type="gramEnd"/>
      <w:r w:rsidRPr="00CB7C57">
        <w:rPr>
          <w:rFonts w:ascii="Times New Roman" w:hAnsi="Times New Roman" w:cs="Times New Roman"/>
          <w:sz w:val="28"/>
        </w:rPr>
        <w:t xml:space="preserve"> заболеваний и их осложнений (инсульт, ИМ, аритмии, сердечная недостаточность) и увеличить продолжительность жизни больных АГ.</w:t>
      </w:r>
    </w:p>
    <w:p w:rsidR="00CB7C57" w:rsidRP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CB7C57">
        <w:rPr>
          <w:rFonts w:ascii="Times New Roman" w:hAnsi="Times New Roman" w:cs="Times New Roman"/>
          <w:sz w:val="28"/>
        </w:rPr>
        <w:t xml:space="preserve"> • Адекватная гипотензивная терапия снижает риск развития ИМ на 20—25%, инсульта на 35—40%, сердечной недостаточности — на 50%. </w:t>
      </w:r>
    </w:p>
    <w:p w:rsidR="00CB7C57" w:rsidRP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CB7C57">
        <w:rPr>
          <w:rFonts w:ascii="Times New Roman" w:hAnsi="Times New Roman" w:cs="Times New Roman"/>
          <w:sz w:val="28"/>
        </w:rPr>
        <w:t xml:space="preserve">• Целевой уровень АД составляет менее 140/90 мм </w:t>
      </w:r>
      <w:proofErr w:type="spellStart"/>
      <w:r w:rsidRPr="00CB7C57">
        <w:rPr>
          <w:rFonts w:ascii="Times New Roman" w:hAnsi="Times New Roman" w:cs="Times New Roman"/>
          <w:sz w:val="28"/>
        </w:rPr>
        <w:t>рт.ст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., а у больных сахарным диабетом и патологией почек, ИБС и мозговым инсультом — менее 130/80 мм </w:t>
      </w:r>
      <w:proofErr w:type="spellStart"/>
      <w:r w:rsidRPr="00CB7C57">
        <w:rPr>
          <w:rFonts w:ascii="Times New Roman" w:hAnsi="Times New Roman" w:cs="Times New Roman"/>
          <w:sz w:val="28"/>
        </w:rPr>
        <w:t>рт.ст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. </w:t>
      </w:r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CB7C57">
        <w:rPr>
          <w:rFonts w:ascii="Times New Roman" w:hAnsi="Times New Roman" w:cs="Times New Roman"/>
          <w:sz w:val="28"/>
        </w:rPr>
        <w:lastRenderedPageBreak/>
        <w:t xml:space="preserve">• Достижение этих целей требует коррекции всех модифицируемых факторов риска (курение, </w:t>
      </w:r>
      <w:proofErr w:type="spellStart"/>
      <w:r w:rsidRPr="00CB7C57">
        <w:rPr>
          <w:rFonts w:ascii="Times New Roman" w:hAnsi="Times New Roman" w:cs="Times New Roman"/>
          <w:sz w:val="28"/>
        </w:rPr>
        <w:t>дислипидемии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, СД), а также лечения всех ассоциированных клинических состояний — ИБС, ХСН, нефропатии и т.д. </w:t>
      </w:r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Группы гипотензивных препаратов: </w:t>
      </w:r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-Ингибиторы </w:t>
      </w:r>
      <w:proofErr w:type="spellStart"/>
      <w:r>
        <w:rPr>
          <w:rFonts w:ascii="Times New Roman" w:hAnsi="Times New Roman" w:cs="Times New Roman"/>
          <w:sz w:val="28"/>
        </w:rPr>
        <w:t>ангиотензин-превращающего</w:t>
      </w:r>
      <w:proofErr w:type="spellEnd"/>
      <w:r>
        <w:rPr>
          <w:rFonts w:ascii="Times New Roman" w:hAnsi="Times New Roman" w:cs="Times New Roman"/>
          <w:sz w:val="28"/>
        </w:rPr>
        <w:t xml:space="preserve"> фермента (</w:t>
      </w:r>
      <w:proofErr w:type="spellStart"/>
      <w:r>
        <w:rPr>
          <w:rFonts w:ascii="Times New Roman" w:hAnsi="Times New Roman" w:cs="Times New Roman"/>
          <w:sz w:val="28"/>
        </w:rPr>
        <w:t>иАПФ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Антагонисты рецепторов </w:t>
      </w:r>
      <w:proofErr w:type="spellStart"/>
      <w:r>
        <w:rPr>
          <w:rFonts w:ascii="Times New Roman" w:hAnsi="Times New Roman" w:cs="Times New Roman"/>
          <w:sz w:val="28"/>
        </w:rPr>
        <w:t>Ангиотензина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(АРА)</w:t>
      </w:r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Бета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дреноблокаторы</w:t>
      </w:r>
      <w:proofErr w:type="spellEnd"/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Диуретики</w:t>
      </w:r>
      <w:proofErr w:type="spellEnd"/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</w:rPr>
        <w:t>Блокаторы</w:t>
      </w:r>
      <w:proofErr w:type="spellEnd"/>
      <w:r>
        <w:rPr>
          <w:rFonts w:ascii="Times New Roman" w:hAnsi="Times New Roman" w:cs="Times New Roman"/>
          <w:sz w:val="28"/>
        </w:rPr>
        <w:t xml:space="preserve"> медленных кальциевых каналов</w:t>
      </w:r>
    </w:p>
    <w:p w:rsidR="00CB7C57" w:rsidRDefault="00CB7C57" w:rsidP="00CB7C57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современные гипотензивные препараты подходят как для начальной терапии, так и для </w:t>
      </w:r>
      <w:proofErr w:type="spellStart"/>
      <w:r>
        <w:rPr>
          <w:rFonts w:ascii="Times New Roman" w:hAnsi="Times New Roman" w:cs="Times New Roman"/>
          <w:sz w:val="28"/>
        </w:rPr>
        <w:t>монотерапии</w:t>
      </w:r>
      <w:proofErr w:type="spellEnd"/>
      <w:r>
        <w:rPr>
          <w:rFonts w:ascii="Times New Roman" w:hAnsi="Times New Roman" w:cs="Times New Roman"/>
          <w:sz w:val="28"/>
        </w:rPr>
        <w:t xml:space="preserve"> и для комбинированной терапии. </w:t>
      </w:r>
    </w:p>
    <w:p w:rsidR="00CB7C57" w:rsidRDefault="00CB7C57" w:rsidP="00CB7C57">
      <w:pPr>
        <w:spacing w:after="0" w:line="360" w:lineRule="auto"/>
        <w:ind w:left="-567"/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Ингибиторы АПФ и А</w:t>
      </w:r>
      <w:r w:rsidRPr="00CB7C57">
        <w:rPr>
          <w:rFonts w:ascii="Times New Roman" w:hAnsi="Times New Roman" w:cs="Times New Roman"/>
          <w:sz w:val="28"/>
        </w:rPr>
        <w:t xml:space="preserve">РА доказали свою эффективность в уменьшении ГЛЖ, а также </w:t>
      </w:r>
      <w:proofErr w:type="spellStart"/>
      <w:r w:rsidRPr="00CB7C57">
        <w:rPr>
          <w:rFonts w:ascii="Times New Roman" w:hAnsi="Times New Roman" w:cs="Times New Roman"/>
          <w:sz w:val="28"/>
        </w:rPr>
        <w:t>микроальбуминурии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и снижении функции почек. Из всех </w:t>
      </w:r>
      <w:proofErr w:type="spellStart"/>
      <w:r w:rsidRPr="00CB7C57">
        <w:rPr>
          <w:rFonts w:ascii="Times New Roman" w:hAnsi="Times New Roman" w:cs="Times New Roman"/>
          <w:sz w:val="28"/>
        </w:rPr>
        <w:t>иАПФ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только </w:t>
      </w:r>
      <w:proofErr w:type="spellStart"/>
      <w:r w:rsidRPr="00CB7C57">
        <w:rPr>
          <w:rFonts w:ascii="Times New Roman" w:hAnsi="Times New Roman" w:cs="Times New Roman"/>
          <w:sz w:val="28"/>
        </w:rPr>
        <w:t>рамиприл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CB7C57">
        <w:rPr>
          <w:rFonts w:ascii="Times New Roman" w:hAnsi="Times New Roman" w:cs="Times New Roman"/>
          <w:sz w:val="28"/>
        </w:rPr>
        <w:t>периндоприл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продемонстрировали существенное снижение вероятности развития инфаркта миокарда, инсульта, </w:t>
      </w:r>
      <w:proofErr w:type="spellStart"/>
      <w:r w:rsidRPr="00CB7C57">
        <w:rPr>
          <w:rFonts w:ascii="Times New Roman" w:hAnsi="Times New Roman" w:cs="Times New Roman"/>
          <w:sz w:val="28"/>
        </w:rPr>
        <w:t>сердечно-сосудистой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смерти, ХСН, нефропатии не только у больных артериальной гипертонией, но и у лиц с </w:t>
      </w:r>
      <w:proofErr w:type="gramStart"/>
      <w:r w:rsidRPr="00CB7C57">
        <w:rPr>
          <w:rFonts w:ascii="Times New Roman" w:hAnsi="Times New Roman" w:cs="Times New Roman"/>
          <w:sz w:val="28"/>
        </w:rPr>
        <w:t>нормальным</w:t>
      </w:r>
      <w:proofErr w:type="gramEnd"/>
      <w:r w:rsidRPr="00CB7C57">
        <w:rPr>
          <w:rFonts w:ascii="Times New Roman" w:hAnsi="Times New Roman" w:cs="Times New Roman"/>
          <w:sz w:val="28"/>
        </w:rPr>
        <w:t xml:space="preserve"> АД. Для </w:t>
      </w:r>
      <w:proofErr w:type="gramStart"/>
      <w:r w:rsidRPr="00CB7C57">
        <w:rPr>
          <w:rFonts w:ascii="Times New Roman" w:hAnsi="Times New Roman" w:cs="Times New Roman"/>
          <w:sz w:val="28"/>
        </w:rPr>
        <w:t>β-</w:t>
      </w:r>
      <w:proofErr w:type="gramEnd"/>
      <w:r w:rsidRPr="00CB7C57">
        <w:rPr>
          <w:rFonts w:ascii="Times New Roman" w:hAnsi="Times New Roman" w:cs="Times New Roman"/>
          <w:sz w:val="28"/>
        </w:rPr>
        <w:t xml:space="preserve">блокаторов доказана высокая эффективность по снижению риска ССО у больных АГ. Бесспорным показанием для назначения </w:t>
      </w:r>
      <w:proofErr w:type="gramStart"/>
      <w:r w:rsidRPr="00CB7C57">
        <w:rPr>
          <w:rFonts w:ascii="Times New Roman" w:hAnsi="Times New Roman" w:cs="Times New Roman"/>
          <w:sz w:val="28"/>
        </w:rPr>
        <w:t>β-</w:t>
      </w:r>
      <w:proofErr w:type="gramEnd"/>
      <w:r w:rsidRPr="00CB7C57">
        <w:rPr>
          <w:rFonts w:ascii="Times New Roman" w:hAnsi="Times New Roman" w:cs="Times New Roman"/>
          <w:sz w:val="28"/>
        </w:rPr>
        <w:t xml:space="preserve">блокаторов является вторичная профилактика у кардиологических больных, перенесших инфаркт миокарда. Кроме того, </w:t>
      </w:r>
      <w:proofErr w:type="gramStart"/>
      <w:r w:rsidRPr="00CB7C57">
        <w:rPr>
          <w:rFonts w:ascii="Times New Roman" w:hAnsi="Times New Roman" w:cs="Times New Roman"/>
          <w:sz w:val="28"/>
        </w:rPr>
        <w:t>β-</w:t>
      </w:r>
      <w:proofErr w:type="gramEnd"/>
      <w:r w:rsidRPr="00CB7C57">
        <w:rPr>
          <w:rFonts w:ascii="Times New Roman" w:hAnsi="Times New Roman" w:cs="Times New Roman"/>
          <w:sz w:val="28"/>
        </w:rPr>
        <w:t xml:space="preserve">блокаторы назначают больным АГ в сочетании со стабильной стенокардией, ХСН, </w:t>
      </w:r>
      <w:proofErr w:type="spellStart"/>
      <w:r w:rsidRPr="00CB7C57">
        <w:rPr>
          <w:rFonts w:ascii="Times New Roman" w:hAnsi="Times New Roman" w:cs="Times New Roman"/>
          <w:sz w:val="28"/>
        </w:rPr>
        <w:t>тахиаритмией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, глаукомой и беременностью. Предпочтение отдается высокоселективным, </w:t>
      </w:r>
      <w:proofErr w:type="spellStart"/>
      <w:r w:rsidRPr="00CB7C57">
        <w:rPr>
          <w:rFonts w:ascii="Times New Roman" w:hAnsi="Times New Roman" w:cs="Times New Roman"/>
          <w:sz w:val="28"/>
        </w:rPr>
        <w:t>липофильным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B7C57">
        <w:rPr>
          <w:rFonts w:ascii="Times New Roman" w:hAnsi="Times New Roman" w:cs="Times New Roman"/>
          <w:sz w:val="28"/>
        </w:rPr>
        <w:t>β-</w:t>
      </w:r>
      <w:proofErr w:type="gramEnd"/>
      <w:r w:rsidRPr="00CB7C57">
        <w:rPr>
          <w:rFonts w:ascii="Times New Roman" w:hAnsi="Times New Roman" w:cs="Times New Roman"/>
          <w:sz w:val="28"/>
        </w:rPr>
        <w:t xml:space="preserve">блокаторам — </w:t>
      </w:r>
      <w:proofErr w:type="spellStart"/>
      <w:r w:rsidRPr="00CB7C57">
        <w:rPr>
          <w:rFonts w:ascii="Times New Roman" w:hAnsi="Times New Roman" w:cs="Times New Roman"/>
          <w:sz w:val="28"/>
        </w:rPr>
        <w:t>бисопрололу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CB7C57">
        <w:rPr>
          <w:rFonts w:ascii="Times New Roman" w:hAnsi="Times New Roman" w:cs="Times New Roman"/>
          <w:sz w:val="28"/>
        </w:rPr>
        <w:t>метопрололу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, а также </w:t>
      </w:r>
      <w:proofErr w:type="spellStart"/>
      <w:r w:rsidRPr="00CB7C57">
        <w:rPr>
          <w:rFonts w:ascii="Times New Roman" w:hAnsi="Times New Roman" w:cs="Times New Roman"/>
          <w:sz w:val="28"/>
        </w:rPr>
        <w:t>карведилолу</w:t>
      </w:r>
      <w:proofErr w:type="spellEnd"/>
      <w:r w:rsidRPr="00CB7C57">
        <w:rPr>
          <w:rFonts w:ascii="Times New Roman" w:hAnsi="Times New Roman" w:cs="Times New Roman"/>
          <w:sz w:val="28"/>
        </w:rPr>
        <w:t>,</w:t>
      </w:r>
      <w:r w:rsidRPr="00CB7C57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CB7C57">
        <w:rPr>
          <w:rFonts w:ascii="Times New Roman" w:hAnsi="Times New Roman" w:cs="Times New Roman"/>
          <w:sz w:val="28"/>
        </w:rPr>
        <w:t>мебивололу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, имеющим дополнительное сосудорасширяющее свойство. Антагонисты кальция и </w:t>
      </w:r>
      <w:proofErr w:type="spellStart"/>
      <w:r w:rsidRPr="00CB7C57">
        <w:rPr>
          <w:rFonts w:ascii="Times New Roman" w:hAnsi="Times New Roman" w:cs="Times New Roman"/>
          <w:sz w:val="28"/>
        </w:rPr>
        <w:t>тиазидовые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B7C57">
        <w:rPr>
          <w:rFonts w:ascii="Times New Roman" w:hAnsi="Times New Roman" w:cs="Times New Roman"/>
          <w:sz w:val="28"/>
        </w:rPr>
        <w:t>диуретики</w:t>
      </w:r>
      <w:proofErr w:type="spellEnd"/>
      <w:r w:rsidRPr="00CB7C57">
        <w:rPr>
          <w:rFonts w:ascii="Times New Roman" w:hAnsi="Times New Roman" w:cs="Times New Roman"/>
          <w:sz w:val="28"/>
        </w:rPr>
        <w:t xml:space="preserve"> имеют преимущество при назначении больным изолированной систолической артериальной гипертонией и АГ пожилого возраста. Таким пациентам рекомендуется назначение препаратов с длительным 24-часовым действием для приема 1 раз в сут</w:t>
      </w:r>
      <w:r>
        <w:rPr>
          <w:rFonts w:ascii="Times New Roman" w:hAnsi="Times New Roman" w:cs="Times New Roman"/>
          <w:sz w:val="28"/>
        </w:rPr>
        <w:t xml:space="preserve">ки. </w:t>
      </w:r>
    </w:p>
    <w:p w:rsidR="00CB7C57" w:rsidRDefault="00CB7C57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B7C57" w:rsidRPr="00151102" w:rsidRDefault="00CB7C57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151102">
        <w:rPr>
          <w:rFonts w:ascii="Times New Roman" w:hAnsi="Times New Roman" w:cs="Times New Roman"/>
          <w:sz w:val="28"/>
          <w:szCs w:val="28"/>
        </w:rPr>
        <w:t xml:space="preserve">4.8. Сахарный диабет. </w:t>
      </w:r>
    </w:p>
    <w:p w:rsidR="00CB7C57" w:rsidRDefault="00CB7C57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Коррекция образа жизни, сочетающего контроль массы тела, изменение питания и увеличение физической активности</w:t>
      </w:r>
      <w:r w:rsidR="003A4514">
        <w:rPr>
          <w:rFonts w:ascii="Times New Roman" w:hAnsi="Times New Roman" w:cs="Times New Roman"/>
          <w:sz w:val="28"/>
          <w:szCs w:val="28"/>
        </w:rPr>
        <w:t xml:space="preserve">, интенсивный контроль гипергликемии снижает риск развития </w:t>
      </w:r>
      <w:proofErr w:type="spellStart"/>
      <w:r w:rsidR="003A4514">
        <w:rPr>
          <w:rFonts w:ascii="Times New Roman" w:hAnsi="Times New Roman" w:cs="Times New Roman"/>
          <w:sz w:val="28"/>
          <w:szCs w:val="28"/>
        </w:rPr>
        <w:t>микрососудистых</w:t>
      </w:r>
      <w:proofErr w:type="spellEnd"/>
      <w:r w:rsidR="003A4514">
        <w:rPr>
          <w:rFonts w:ascii="Times New Roman" w:hAnsi="Times New Roman" w:cs="Times New Roman"/>
          <w:sz w:val="28"/>
          <w:szCs w:val="28"/>
        </w:rPr>
        <w:t xml:space="preserve"> осложнений и в меньшей степени, </w:t>
      </w:r>
      <w:proofErr w:type="spellStart"/>
      <w:proofErr w:type="gramStart"/>
      <w:r w:rsidR="003A4514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proofErr w:type="gramEnd"/>
      <w:r w:rsidR="003A4514">
        <w:rPr>
          <w:rFonts w:ascii="Times New Roman" w:hAnsi="Times New Roman" w:cs="Times New Roman"/>
          <w:sz w:val="28"/>
          <w:szCs w:val="28"/>
        </w:rPr>
        <w:t xml:space="preserve"> заболеваний. </w:t>
      </w:r>
      <w:r w:rsidR="00A10221" w:rsidRPr="00A10221">
        <w:rPr>
          <w:rFonts w:ascii="Times New Roman" w:hAnsi="Times New Roman" w:cs="Times New Roman"/>
          <w:sz w:val="28"/>
        </w:rPr>
        <w:t xml:space="preserve">Большинство пациентов СД 2 типа имеют избыточную МТ, контроль которой является важнейшим компонентом лечения этих больных. Пациентам с избыточной МТ/ожирением с целью умеренного снижения МТ рекомендуется ограничение калорийности рациона. Это обеспечивает положительные эффекты в отношении </w:t>
      </w:r>
      <w:proofErr w:type="spellStart"/>
      <w:r w:rsidR="00A10221" w:rsidRPr="00A10221">
        <w:rPr>
          <w:rFonts w:ascii="Times New Roman" w:hAnsi="Times New Roman" w:cs="Times New Roman"/>
          <w:sz w:val="28"/>
        </w:rPr>
        <w:t>гликемического</w:t>
      </w:r>
      <w:proofErr w:type="spellEnd"/>
      <w:r w:rsidR="00A10221" w:rsidRPr="00A10221">
        <w:rPr>
          <w:rFonts w:ascii="Times New Roman" w:hAnsi="Times New Roman" w:cs="Times New Roman"/>
          <w:sz w:val="28"/>
        </w:rPr>
        <w:t xml:space="preserve"> контроля, липидного профиля и АД, особенно в ранний период заболевания</w:t>
      </w:r>
      <w:r w:rsidR="00A10221">
        <w:rPr>
          <w:rFonts w:ascii="Times New Roman" w:hAnsi="Times New Roman" w:cs="Times New Roman"/>
          <w:sz w:val="28"/>
        </w:rPr>
        <w:t>.</w:t>
      </w:r>
      <w:r w:rsidR="003A4514" w:rsidRPr="00A10221">
        <w:rPr>
          <w:rFonts w:ascii="Times New Roman" w:hAnsi="Times New Roman" w:cs="Times New Roman"/>
          <w:sz w:val="36"/>
          <w:szCs w:val="28"/>
        </w:rPr>
        <w:t xml:space="preserve"> </w:t>
      </w:r>
      <w:r w:rsidR="003A4514">
        <w:rPr>
          <w:rFonts w:ascii="Times New Roman" w:hAnsi="Times New Roman" w:cs="Times New Roman"/>
          <w:sz w:val="28"/>
          <w:szCs w:val="28"/>
        </w:rPr>
        <w:t>Активное лечение артериальной гипертензии с целевым уровнем САД до 140 мм</w:t>
      </w:r>
      <w:proofErr w:type="gramStart"/>
      <w:r w:rsidR="003A4514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3A4514">
        <w:rPr>
          <w:rFonts w:ascii="Times New Roman" w:hAnsi="Times New Roman" w:cs="Times New Roman"/>
          <w:sz w:val="28"/>
          <w:szCs w:val="28"/>
        </w:rPr>
        <w:t>рт.ст</w:t>
      </w:r>
      <w:proofErr w:type="spellEnd"/>
      <w:r w:rsidR="003A4514">
        <w:rPr>
          <w:rFonts w:ascii="Times New Roman" w:hAnsi="Times New Roman" w:cs="Times New Roman"/>
          <w:sz w:val="28"/>
          <w:szCs w:val="28"/>
        </w:rPr>
        <w:t xml:space="preserve">. снижает риск микро- и </w:t>
      </w:r>
      <w:proofErr w:type="spellStart"/>
      <w:r w:rsidR="003A4514">
        <w:rPr>
          <w:rFonts w:ascii="Times New Roman" w:hAnsi="Times New Roman" w:cs="Times New Roman"/>
          <w:sz w:val="28"/>
          <w:szCs w:val="28"/>
        </w:rPr>
        <w:t>макрососудистых</w:t>
      </w:r>
      <w:proofErr w:type="spellEnd"/>
      <w:r w:rsidR="003A4514">
        <w:rPr>
          <w:rFonts w:ascii="Times New Roman" w:hAnsi="Times New Roman" w:cs="Times New Roman"/>
          <w:sz w:val="28"/>
          <w:szCs w:val="28"/>
        </w:rPr>
        <w:t xml:space="preserve"> осложнений.</w:t>
      </w:r>
      <w:r w:rsidR="003E7959">
        <w:rPr>
          <w:rFonts w:ascii="Times New Roman" w:hAnsi="Times New Roman" w:cs="Times New Roman"/>
          <w:sz w:val="28"/>
          <w:szCs w:val="28"/>
        </w:rPr>
        <w:t xml:space="preserve"> Снижение целевого уровня САД д</w:t>
      </w:r>
      <w:r w:rsidR="003A4514">
        <w:rPr>
          <w:rFonts w:ascii="Times New Roman" w:hAnsi="Times New Roman" w:cs="Times New Roman"/>
          <w:sz w:val="28"/>
          <w:szCs w:val="28"/>
        </w:rPr>
        <w:t xml:space="preserve">о 130 </w:t>
      </w:r>
      <w:proofErr w:type="spellStart"/>
      <w:r w:rsidR="003A4514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="003A45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A4514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="003A4514">
        <w:rPr>
          <w:rFonts w:ascii="Times New Roman" w:hAnsi="Times New Roman" w:cs="Times New Roman"/>
          <w:sz w:val="28"/>
          <w:szCs w:val="28"/>
        </w:rPr>
        <w:t xml:space="preserve">. еще в большей степени снижает риск инсульта, </w:t>
      </w:r>
      <w:proofErr w:type="spellStart"/>
      <w:r w:rsidR="003A4514">
        <w:rPr>
          <w:rFonts w:ascii="Times New Roman" w:hAnsi="Times New Roman" w:cs="Times New Roman"/>
          <w:sz w:val="28"/>
          <w:szCs w:val="28"/>
        </w:rPr>
        <w:t>ретинопатии</w:t>
      </w:r>
      <w:proofErr w:type="spellEnd"/>
      <w:r w:rsidR="003A4514">
        <w:rPr>
          <w:rFonts w:ascii="Times New Roman" w:hAnsi="Times New Roman" w:cs="Times New Roman"/>
          <w:sz w:val="28"/>
          <w:szCs w:val="28"/>
        </w:rPr>
        <w:t xml:space="preserve"> и альбуминурии и должно достигаться у некоторых пациентов.  </w:t>
      </w:r>
      <w:r w:rsidR="003E7959" w:rsidRPr="003E7959">
        <w:rPr>
          <w:rFonts w:ascii="Times New Roman" w:hAnsi="Times New Roman" w:cs="Times New Roman"/>
          <w:sz w:val="28"/>
        </w:rPr>
        <w:t xml:space="preserve">СД является независимым </w:t>
      </w:r>
      <w:proofErr w:type="gramStart"/>
      <w:r w:rsidR="003E7959" w:rsidRPr="003E7959">
        <w:rPr>
          <w:rFonts w:ascii="Times New Roman" w:hAnsi="Times New Roman" w:cs="Times New Roman"/>
          <w:sz w:val="28"/>
        </w:rPr>
        <w:t>ФР</w:t>
      </w:r>
      <w:proofErr w:type="gramEnd"/>
      <w:r w:rsidR="003E7959" w:rsidRPr="003E7959">
        <w:rPr>
          <w:rFonts w:ascii="Times New Roman" w:hAnsi="Times New Roman" w:cs="Times New Roman"/>
          <w:sz w:val="28"/>
        </w:rPr>
        <w:t xml:space="preserve"> ССЗ, наличие которого повышает риск развития ИМ в 2,4 раза. Дебют СД в более молодом возрасте ассоциирован с более высоким риском разви</w:t>
      </w:r>
      <w:r w:rsidR="003E7959">
        <w:rPr>
          <w:rFonts w:ascii="Times New Roman" w:hAnsi="Times New Roman" w:cs="Times New Roman"/>
          <w:sz w:val="28"/>
        </w:rPr>
        <w:t>тия осложнений заболевания</w:t>
      </w:r>
      <w:r w:rsidR="003E7959" w:rsidRPr="003E7959">
        <w:rPr>
          <w:rFonts w:ascii="Times New Roman" w:hAnsi="Times New Roman" w:cs="Times New Roman"/>
          <w:sz w:val="28"/>
        </w:rPr>
        <w:t xml:space="preserve">. При наличии диабета у больных ИБС, они имеют значительно более высокий риск </w:t>
      </w:r>
      <w:proofErr w:type="spellStart"/>
      <w:proofErr w:type="gramStart"/>
      <w:r w:rsidR="003E7959" w:rsidRPr="003E7959">
        <w:rPr>
          <w:rFonts w:ascii="Times New Roman" w:hAnsi="Times New Roman" w:cs="Times New Roman"/>
          <w:sz w:val="28"/>
        </w:rPr>
        <w:t>сердечно-сосудистых</w:t>
      </w:r>
      <w:proofErr w:type="spellEnd"/>
      <w:proofErr w:type="gramEnd"/>
      <w:r w:rsidR="003E7959" w:rsidRPr="003E7959">
        <w:rPr>
          <w:rFonts w:ascii="Times New Roman" w:hAnsi="Times New Roman" w:cs="Times New Roman"/>
          <w:sz w:val="28"/>
        </w:rPr>
        <w:t xml:space="preserve"> событий и меньшую продолжительность жизни.</w:t>
      </w:r>
      <w:r w:rsidR="003E7959" w:rsidRPr="003E7959">
        <w:t xml:space="preserve"> </w:t>
      </w:r>
      <w:r w:rsidR="003E7959" w:rsidRPr="003E7959">
        <w:rPr>
          <w:rFonts w:ascii="Times New Roman" w:hAnsi="Times New Roman" w:cs="Times New Roman"/>
          <w:sz w:val="28"/>
        </w:rPr>
        <w:t xml:space="preserve">Пациенты с СД нуждается в многофакторном подходе, не ограничивающемся только контролем гликемии. Доказано, что при снижении HbA1c в среднем на 0,9% за 5 лет достигается меньшее снижение ССР, чем при снижении показателей холестерина или АД, достигаемых при приеме </w:t>
      </w:r>
      <w:proofErr w:type="spellStart"/>
      <w:r w:rsidR="003E7959" w:rsidRPr="003E7959">
        <w:rPr>
          <w:rFonts w:ascii="Times New Roman" w:hAnsi="Times New Roman" w:cs="Times New Roman"/>
          <w:sz w:val="28"/>
        </w:rPr>
        <w:t>статинов</w:t>
      </w:r>
      <w:proofErr w:type="spellEnd"/>
      <w:r w:rsidR="003E7959" w:rsidRPr="003E7959">
        <w:rPr>
          <w:rFonts w:ascii="Times New Roman" w:hAnsi="Times New Roman" w:cs="Times New Roman"/>
          <w:sz w:val="28"/>
        </w:rPr>
        <w:t xml:space="preserve"> или гипотензивных препаратов</w:t>
      </w:r>
      <w:r w:rsidR="003E7959">
        <w:rPr>
          <w:rFonts w:ascii="Times New Roman" w:hAnsi="Times New Roman" w:cs="Times New Roman"/>
          <w:sz w:val="28"/>
        </w:rPr>
        <w:t>.</w:t>
      </w:r>
      <w:r w:rsidR="00A10221" w:rsidRPr="00A10221">
        <w:t xml:space="preserve"> </w:t>
      </w:r>
      <w:r w:rsidR="00A10221" w:rsidRPr="00A10221">
        <w:rPr>
          <w:rFonts w:ascii="Times New Roman" w:hAnsi="Times New Roman" w:cs="Times New Roman"/>
          <w:sz w:val="28"/>
        </w:rPr>
        <w:t xml:space="preserve">У пациентов с СД доказана эффективность </w:t>
      </w:r>
      <w:proofErr w:type="spellStart"/>
      <w:r w:rsidR="00A10221" w:rsidRPr="00A10221">
        <w:rPr>
          <w:rFonts w:ascii="Times New Roman" w:hAnsi="Times New Roman" w:cs="Times New Roman"/>
          <w:sz w:val="28"/>
        </w:rPr>
        <w:t>гиполипидемической</w:t>
      </w:r>
      <w:proofErr w:type="spellEnd"/>
      <w:r w:rsidR="00A10221" w:rsidRPr="00A10221">
        <w:rPr>
          <w:rFonts w:ascii="Times New Roman" w:hAnsi="Times New Roman" w:cs="Times New Roman"/>
          <w:sz w:val="28"/>
        </w:rPr>
        <w:t xml:space="preserve"> терапии </w:t>
      </w:r>
      <w:proofErr w:type="spellStart"/>
      <w:r w:rsidR="00A10221" w:rsidRPr="00A10221">
        <w:rPr>
          <w:rFonts w:ascii="Times New Roman" w:hAnsi="Times New Roman" w:cs="Times New Roman"/>
          <w:sz w:val="28"/>
        </w:rPr>
        <w:t>статинами</w:t>
      </w:r>
      <w:proofErr w:type="spellEnd"/>
      <w:r w:rsidR="00A10221" w:rsidRPr="00A10221">
        <w:rPr>
          <w:rFonts w:ascii="Times New Roman" w:hAnsi="Times New Roman" w:cs="Times New Roman"/>
          <w:sz w:val="28"/>
        </w:rPr>
        <w:t xml:space="preserve"> для первичной и вторичной профилактики ССЗ, а также для снижения </w:t>
      </w:r>
      <w:proofErr w:type="spellStart"/>
      <w:proofErr w:type="gramStart"/>
      <w:r w:rsidR="00A10221" w:rsidRPr="00A10221">
        <w:rPr>
          <w:rFonts w:ascii="Times New Roman" w:hAnsi="Times New Roman" w:cs="Times New Roman"/>
          <w:sz w:val="28"/>
        </w:rPr>
        <w:t>сердечно-сосудистой</w:t>
      </w:r>
      <w:proofErr w:type="spellEnd"/>
      <w:proofErr w:type="gramEnd"/>
      <w:r w:rsidR="00A10221" w:rsidRPr="00A10221">
        <w:rPr>
          <w:rFonts w:ascii="Times New Roman" w:hAnsi="Times New Roman" w:cs="Times New Roman"/>
          <w:sz w:val="28"/>
        </w:rPr>
        <w:t xml:space="preserve"> смертности. Все пациенты с СД старше 40 лет вне зависимости от наличия </w:t>
      </w:r>
      <w:proofErr w:type="gramStart"/>
      <w:r w:rsidR="00A10221" w:rsidRPr="00A10221">
        <w:rPr>
          <w:rFonts w:ascii="Times New Roman" w:hAnsi="Times New Roman" w:cs="Times New Roman"/>
          <w:sz w:val="28"/>
        </w:rPr>
        <w:t>ФР</w:t>
      </w:r>
      <w:proofErr w:type="gramEnd"/>
      <w:r w:rsidR="00A10221" w:rsidRPr="00A10221">
        <w:rPr>
          <w:rFonts w:ascii="Times New Roman" w:hAnsi="Times New Roman" w:cs="Times New Roman"/>
          <w:sz w:val="28"/>
        </w:rPr>
        <w:t xml:space="preserve"> и более молодые пациенты с ХБП или множественными ФР должны получать терапию </w:t>
      </w:r>
      <w:proofErr w:type="spellStart"/>
      <w:r w:rsidR="00A10221" w:rsidRPr="00A10221">
        <w:rPr>
          <w:rFonts w:ascii="Times New Roman" w:hAnsi="Times New Roman" w:cs="Times New Roman"/>
          <w:sz w:val="28"/>
        </w:rPr>
        <w:t>статинами</w:t>
      </w:r>
      <w:proofErr w:type="spellEnd"/>
      <w:r w:rsidR="00A10221" w:rsidRPr="00A10221">
        <w:rPr>
          <w:rFonts w:ascii="Times New Roman" w:hAnsi="Times New Roman" w:cs="Times New Roman"/>
          <w:sz w:val="28"/>
        </w:rPr>
        <w:t xml:space="preserve"> с целью снижения уровня ХС ЛНП до целевых уровней.</w:t>
      </w:r>
    </w:p>
    <w:p w:rsidR="00A10221" w:rsidRPr="00151102" w:rsidRDefault="00A10221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151102">
        <w:rPr>
          <w:rFonts w:ascii="Times New Roman" w:hAnsi="Times New Roman" w:cs="Times New Roman"/>
          <w:sz w:val="28"/>
        </w:rPr>
        <w:t xml:space="preserve">4.9. Наследственная предрасположенность. </w:t>
      </w:r>
    </w:p>
    <w:p w:rsidR="00A10221" w:rsidRDefault="0075019F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EC3F80">
        <w:rPr>
          <w:rFonts w:ascii="Times New Roman" w:hAnsi="Times New Roman" w:cs="Times New Roman"/>
          <w:sz w:val="28"/>
        </w:rPr>
        <w:lastRenderedPageBreak/>
        <w:t xml:space="preserve">О роли наследственной отягощенности в развитии ССЗ известно достаточно </w:t>
      </w:r>
      <w:proofErr w:type="gramStart"/>
      <w:r w:rsidRPr="00EC3F80">
        <w:rPr>
          <w:rFonts w:ascii="Times New Roman" w:hAnsi="Times New Roman" w:cs="Times New Roman"/>
          <w:sz w:val="28"/>
        </w:rPr>
        <w:t xml:space="preserve">давно,. По данным исследований, проведенных на монозиготных и </w:t>
      </w:r>
      <w:proofErr w:type="spellStart"/>
      <w:r w:rsidRPr="00EC3F80">
        <w:rPr>
          <w:rFonts w:ascii="Times New Roman" w:hAnsi="Times New Roman" w:cs="Times New Roman"/>
          <w:sz w:val="28"/>
        </w:rPr>
        <w:t>дизиготных</w:t>
      </w:r>
      <w:proofErr w:type="spellEnd"/>
      <w:r w:rsidRPr="00EC3F80">
        <w:rPr>
          <w:rFonts w:ascii="Times New Roman" w:hAnsi="Times New Roman" w:cs="Times New Roman"/>
          <w:sz w:val="28"/>
        </w:rPr>
        <w:t xml:space="preserve"> близнецах и в семьях пациентов с ССЗ, вклад наследственности в развитие ССЗ варьирует от 30 до 80%. Отягощенный семейный анамнез по преждевременному развитию ССЗ является грубым в оценке, но простым в применении маркером риска развития ССЗ, так как оценивает не только вклад генетических факторов, но и влияние средовых факторов на членов</w:t>
      </w:r>
      <w:proofErr w:type="gramEnd"/>
      <w:r w:rsidRPr="00EC3F80">
        <w:rPr>
          <w:rFonts w:ascii="Times New Roman" w:hAnsi="Times New Roman" w:cs="Times New Roman"/>
          <w:sz w:val="28"/>
        </w:rPr>
        <w:t xml:space="preserve"> одной семьи. Преждевременная смерть от ССЗ в семье ассоциируется с повышенным риском развития </w:t>
      </w:r>
      <w:proofErr w:type="spellStart"/>
      <w:proofErr w:type="gramStart"/>
      <w:r w:rsidRPr="00EC3F80">
        <w:rPr>
          <w:rFonts w:ascii="Times New Roman" w:hAnsi="Times New Roman" w:cs="Times New Roman"/>
          <w:sz w:val="28"/>
        </w:rPr>
        <w:t>сердечно-сосудистых</w:t>
      </w:r>
      <w:proofErr w:type="spellEnd"/>
      <w:proofErr w:type="gramEnd"/>
      <w:r w:rsidRPr="00EC3F80">
        <w:rPr>
          <w:rFonts w:ascii="Times New Roman" w:hAnsi="Times New Roman" w:cs="Times New Roman"/>
          <w:sz w:val="28"/>
        </w:rPr>
        <w:t xml:space="preserve"> событий, в том числе и преждевременных, у других членов семьи. В ряде исследований, в которых одновременно оценивали семейный анамнез и генетические маркеры, было показано, что после корректировки риска по генетическим маркерам, семейный анамнез оставался информативным и вносил дополнительный вклад в оценку риска развития ССЗ</w:t>
      </w:r>
      <w:proofErr w:type="gramStart"/>
      <w:r w:rsidRPr="00EC3F80">
        <w:rPr>
          <w:rFonts w:ascii="Times New Roman" w:hAnsi="Times New Roman" w:cs="Times New Roman"/>
          <w:sz w:val="28"/>
        </w:rPr>
        <w:t xml:space="preserve"> .</w:t>
      </w:r>
      <w:proofErr w:type="gramEnd"/>
      <w:r w:rsidRPr="00EC3F80">
        <w:rPr>
          <w:rFonts w:ascii="Times New Roman" w:hAnsi="Times New Roman" w:cs="Times New Roman"/>
          <w:sz w:val="28"/>
        </w:rPr>
        <w:t xml:space="preserve"> Выявлены гены, мутации в которых вызывают </w:t>
      </w:r>
      <w:proofErr w:type="spellStart"/>
      <w:r w:rsidRPr="00EC3F80">
        <w:rPr>
          <w:rFonts w:ascii="Times New Roman" w:hAnsi="Times New Roman" w:cs="Times New Roman"/>
          <w:sz w:val="28"/>
        </w:rPr>
        <w:t>моногенные</w:t>
      </w:r>
      <w:proofErr w:type="spellEnd"/>
      <w:r w:rsidRPr="00EC3F80">
        <w:rPr>
          <w:rFonts w:ascii="Times New Roman" w:hAnsi="Times New Roman" w:cs="Times New Roman"/>
          <w:sz w:val="28"/>
        </w:rPr>
        <w:t xml:space="preserve"> (то есть, обусловленные изменениями только одного гена, расположенного в определенном локусе) формы ССЗ (ST6GALNAC5, CYP27A1, MEF2A и LRP6) и </w:t>
      </w:r>
      <w:proofErr w:type="spellStart"/>
      <w:r w:rsidRPr="00EC3F80">
        <w:rPr>
          <w:rFonts w:ascii="Times New Roman" w:hAnsi="Times New Roman" w:cs="Times New Roman"/>
          <w:sz w:val="28"/>
        </w:rPr>
        <w:t>моногенные</w:t>
      </w:r>
      <w:proofErr w:type="spellEnd"/>
      <w:r w:rsidRPr="00EC3F80">
        <w:rPr>
          <w:rFonts w:ascii="Times New Roman" w:hAnsi="Times New Roman" w:cs="Times New Roman"/>
          <w:sz w:val="28"/>
        </w:rPr>
        <w:t xml:space="preserve"> заболевания с высоким риском развития ССЗ, такие как семейная </w:t>
      </w:r>
      <w:proofErr w:type="spellStart"/>
      <w:r w:rsidRPr="00EC3F80">
        <w:rPr>
          <w:rFonts w:ascii="Times New Roman" w:hAnsi="Times New Roman" w:cs="Times New Roman"/>
          <w:sz w:val="28"/>
        </w:rPr>
        <w:t>гиперхолестеринемия</w:t>
      </w:r>
      <w:proofErr w:type="spellEnd"/>
      <w:r w:rsidRPr="00EC3F80">
        <w:rPr>
          <w:rFonts w:ascii="Times New Roman" w:hAnsi="Times New Roman" w:cs="Times New Roman"/>
          <w:sz w:val="28"/>
        </w:rPr>
        <w:t xml:space="preserve"> (LDLR, APOB, PCSK9, LDLRAP1), наследственный дефицит </w:t>
      </w:r>
      <w:proofErr w:type="spellStart"/>
      <w:r w:rsidRPr="00EC3F80">
        <w:rPr>
          <w:rFonts w:ascii="Times New Roman" w:hAnsi="Times New Roman" w:cs="Times New Roman"/>
          <w:sz w:val="28"/>
        </w:rPr>
        <w:t>аполипопротеина</w:t>
      </w:r>
      <w:proofErr w:type="spellEnd"/>
      <w:r w:rsidRPr="00EC3F8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EC3F80">
        <w:rPr>
          <w:rFonts w:ascii="Times New Roman" w:hAnsi="Times New Roman" w:cs="Times New Roman"/>
          <w:sz w:val="28"/>
        </w:rPr>
        <w:t>С</w:t>
      </w:r>
      <w:proofErr w:type="gramEnd"/>
      <w:r w:rsidRPr="00EC3F80">
        <w:rPr>
          <w:rFonts w:ascii="Times New Roman" w:hAnsi="Times New Roman" w:cs="Times New Roman"/>
          <w:sz w:val="28"/>
        </w:rPr>
        <w:t xml:space="preserve">-II (APOCII) и ряд других.  В настоящее время существует большое количество коммерческих тестов, позволяющих проводить различные виды генетической диагностики вплоть до </w:t>
      </w:r>
      <w:proofErr w:type="spellStart"/>
      <w:r w:rsidRPr="00EC3F80">
        <w:rPr>
          <w:rFonts w:ascii="Times New Roman" w:hAnsi="Times New Roman" w:cs="Times New Roman"/>
          <w:sz w:val="28"/>
        </w:rPr>
        <w:t>секвенирования</w:t>
      </w:r>
      <w:proofErr w:type="spellEnd"/>
      <w:r w:rsidRPr="00EC3F80">
        <w:rPr>
          <w:rFonts w:ascii="Times New Roman" w:hAnsi="Times New Roman" w:cs="Times New Roman"/>
          <w:sz w:val="28"/>
        </w:rPr>
        <w:t xml:space="preserve"> всего генома пациента, и мотивация использовать эту информацию для оценки генетического риска развития ССЗ у пациентов, а также сделать генетическую диагност</w:t>
      </w:r>
      <w:r w:rsidR="00EC3F80" w:rsidRPr="00EC3F80">
        <w:rPr>
          <w:rFonts w:ascii="Times New Roman" w:hAnsi="Times New Roman" w:cs="Times New Roman"/>
          <w:sz w:val="28"/>
        </w:rPr>
        <w:t>ику рутинным исследованием</w:t>
      </w:r>
      <w:r w:rsidRPr="00EC3F80">
        <w:rPr>
          <w:rFonts w:ascii="Times New Roman" w:hAnsi="Times New Roman" w:cs="Times New Roman"/>
          <w:sz w:val="28"/>
        </w:rPr>
        <w:t>. Однако, учитывая неопределенность относительно пользы от их применения, в настоящее время использование генетических маркеров для оценки риска развития ССЗ не рекомендуется</w:t>
      </w:r>
    </w:p>
    <w:p w:rsidR="00A96B98" w:rsidRDefault="00A96B98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</w:p>
    <w:p w:rsidR="00FA2E82" w:rsidRDefault="00151102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Список литературы</w:t>
      </w:r>
      <w:r w:rsidR="00FA2E82">
        <w:rPr>
          <w:rFonts w:ascii="Times New Roman" w:hAnsi="Times New Roman" w:cs="Times New Roman"/>
          <w:sz w:val="28"/>
        </w:rPr>
        <w:t xml:space="preserve">. </w:t>
      </w:r>
    </w:p>
    <w:p w:rsidR="00FA2E82" w:rsidRDefault="00FA2E82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Национальные рекомендации «Кардиоваскулярная профилактика», Москва, 2017. </w:t>
      </w:r>
    </w:p>
    <w:p w:rsidR="00151102" w:rsidRDefault="00151102" w:rsidP="005423E0">
      <w:pPr>
        <w:spacing w:after="0" w:line="360" w:lineRule="auto"/>
        <w:ind w:left="-567"/>
        <w:rPr>
          <w:rFonts w:ascii="Times New Roman" w:hAnsi="Times New Roman" w:cs="Times New Roman"/>
          <w:sz w:val="28"/>
        </w:rPr>
      </w:pPr>
      <w:r w:rsidRPr="00151102">
        <w:rPr>
          <w:rFonts w:ascii="Times New Roman" w:hAnsi="Times New Roman" w:cs="Times New Roman"/>
          <w:sz w:val="28"/>
        </w:rPr>
        <w:lastRenderedPageBreak/>
        <w:t xml:space="preserve">Рекомендации </w:t>
      </w:r>
      <w:proofErr w:type="gramStart"/>
      <w:r w:rsidRPr="00151102">
        <w:rPr>
          <w:rFonts w:ascii="Times New Roman" w:hAnsi="Times New Roman" w:cs="Times New Roman"/>
          <w:sz w:val="28"/>
        </w:rPr>
        <w:t>Е</w:t>
      </w:r>
      <w:proofErr w:type="gramEnd"/>
      <w:r w:rsidRPr="00151102">
        <w:rPr>
          <w:rFonts w:ascii="Times New Roman" w:hAnsi="Times New Roman" w:cs="Times New Roman"/>
          <w:sz w:val="28"/>
        </w:rPr>
        <w:t xml:space="preserve">SC/EAS по лечению </w:t>
      </w:r>
      <w:proofErr w:type="spellStart"/>
      <w:r w:rsidRPr="00151102">
        <w:rPr>
          <w:rFonts w:ascii="Times New Roman" w:hAnsi="Times New Roman" w:cs="Times New Roman"/>
          <w:sz w:val="28"/>
        </w:rPr>
        <w:t>дислипидемий</w:t>
      </w:r>
      <w:proofErr w:type="spellEnd"/>
      <w:r w:rsidRPr="00151102">
        <w:rPr>
          <w:rFonts w:ascii="Times New Roman" w:hAnsi="Times New Roman" w:cs="Times New Roman"/>
          <w:sz w:val="28"/>
        </w:rPr>
        <w:t xml:space="preserve">: модификация липидов для снижения </w:t>
      </w:r>
      <w:proofErr w:type="spellStart"/>
      <w:r w:rsidRPr="00151102">
        <w:rPr>
          <w:rFonts w:ascii="Times New Roman" w:hAnsi="Times New Roman" w:cs="Times New Roman"/>
          <w:sz w:val="28"/>
        </w:rPr>
        <w:t>сердечно-сосудистого</w:t>
      </w:r>
      <w:proofErr w:type="spellEnd"/>
      <w:r w:rsidRPr="00151102">
        <w:rPr>
          <w:rFonts w:ascii="Times New Roman" w:hAnsi="Times New Roman" w:cs="Times New Roman"/>
          <w:sz w:val="28"/>
        </w:rPr>
        <w:t xml:space="preserve"> риска. 2019</w:t>
      </w:r>
      <w:r>
        <w:rPr>
          <w:rFonts w:ascii="Times New Roman" w:hAnsi="Times New Roman" w:cs="Times New Roman"/>
          <w:sz w:val="28"/>
        </w:rPr>
        <w:t>г.</w:t>
      </w:r>
    </w:p>
    <w:p w:rsidR="00151102" w:rsidRPr="00151102" w:rsidRDefault="00151102" w:rsidP="005423E0">
      <w:pPr>
        <w:spacing w:after="0" w:line="360" w:lineRule="auto"/>
        <w:ind w:left="-567"/>
        <w:rPr>
          <w:rFonts w:ascii="Times New Roman" w:hAnsi="Times New Roman" w:cs="Times New Roman"/>
          <w:b/>
          <w:sz w:val="72"/>
          <w:szCs w:val="28"/>
        </w:rPr>
      </w:pPr>
      <w:r w:rsidRPr="00151102">
        <w:rPr>
          <w:rFonts w:ascii="Times New Roman" w:hAnsi="Times New Roman" w:cs="Times New Roman"/>
          <w:sz w:val="28"/>
        </w:rPr>
        <w:t>ЕОК/ЕОАГ Рекомендации по лечению больных с артериальной гипертензией,2018г</w:t>
      </w:r>
    </w:p>
    <w:sectPr w:rsidR="00151102" w:rsidRPr="00151102" w:rsidSect="00901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A5E"/>
    <w:multiLevelType w:val="hybridMultilevel"/>
    <w:tmpl w:val="C78855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28F61E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86773FB"/>
    <w:multiLevelType w:val="hybridMultilevel"/>
    <w:tmpl w:val="2FA2A7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CD279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5075525"/>
    <w:multiLevelType w:val="hybridMultilevel"/>
    <w:tmpl w:val="5D029C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5784831"/>
    <w:multiLevelType w:val="hybridMultilevel"/>
    <w:tmpl w:val="3BE8A39C"/>
    <w:lvl w:ilvl="0" w:tplc="8C62F8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>
    <w:nsid w:val="498A7F1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0014209"/>
    <w:multiLevelType w:val="hybridMultilevel"/>
    <w:tmpl w:val="849AAB9C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>
    <w:nsid w:val="62FE65D7"/>
    <w:multiLevelType w:val="hybridMultilevel"/>
    <w:tmpl w:val="884665D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3F5"/>
    <w:rsid w:val="00080F0D"/>
    <w:rsid w:val="001108A5"/>
    <w:rsid w:val="00151102"/>
    <w:rsid w:val="00287105"/>
    <w:rsid w:val="002971E7"/>
    <w:rsid w:val="00302A05"/>
    <w:rsid w:val="003A4514"/>
    <w:rsid w:val="003E7959"/>
    <w:rsid w:val="005423E0"/>
    <w:rsid w:val="005777D6"/>
    <w:rsid w:val="00597FEC"/>
    <w:rsid w:val="00624C6A"/>
    <w:rsid w:val="00731172"/>
    <w:rsid w:val="0075019F"/>
    <w:rsid w:val="00794E58"/>
    <w:rsid w:val="007B3A67"/>
    <w:rsid w:val="008600F2"/>
    <w:rsid w:val="009017EA"/>
    <w:rsid w:val="009641B4"/>
    <w:rsid w:val="00A10221"/>
    <w:rsid w:val="00A23149"/>
    <w:rsid w:val="00A60313"/>
    <w:rsid w:val="00A96B98"/>
    <w:rsid w:val="00B60CFC"/>
    <w:rsid w:val="00B676CE"/>
    <w:rsid w:val="00B860B1"/>
    <w:rsid w:val="00B933F5"/>
    <w:rsid w:val="00CB1BDA"/>
    <w:rsid w:val="00CB1C7F"/>
    <w:rsid w:val="00CB7C57"/>
    <w:rsid w:val="00D30D83"/>
    <w:rsid w:val="00D96655"/>
    <w:rsid w:val="00E206FE"/>
    <w:rsid w:val="00E575B6"/>
    <w:rsid w:val="00EA689C"/>
    <w:rsid w:val="00EC3F80"/>
    <w:rsid w:val="00EF233F"/>
    <w:rsid w:val="00F35100"/>
    <w:rsid w:val="00F8215F"/>
    <w:rsid w:val="00F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9C"/>
    <w:pPr>
      <w:ind w:left="720"/>
      <w:contextualSpacing/>
    </w:pPr>
  </w:style>
  <w:style w:type="table" w:styleId="a4">
    <w:name w:val="Table Grid"/>
    <w:basedOn w:val="a1"/>
    <w:uiPriority w:val="59"/>
    <w:rsid w:val="00CB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575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okr">
    <w:name w:val="sokr"/>
    <w:basedOn w:val="a0"/>
    <w:rsid w:val="0054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89C"/>
    <w:pPr>
      <w:ind w:left="720"/>
      <w:contextualSpacing/>
    </w:pPr>
  </w:style>
  <w:style w:type="table" w:styleId="a4">
    <w:name w:val="Table Grid"/>
    <w:basedOn w:val="a1"/>
    <w:uiPriority w:val="59"/>
    <w:rsid w:val="00CB1B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0C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0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6B244-8E15-4986-B159-D3AF691C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17</Pages>
  <Words>3474</Words>
  <Characters>19806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</cp:lastModifiedBy>
  <cp:revision>10</cp:revision>
  <dcterms:created xsi:type="dcterms:W3CDTF">2021-01-10T03:15:00Z</dcterms:created>
  <dcterms:modified xsi:type="dcterms:W3CDTF">2021-01-11T03:42:00Z</dcterms:modified>
</cp:coreProperties>
</file>