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9D" w:rsidRPr="00D1159D" w:rsidRDefault="00D1159D" w:rsidP="00D11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длительную историю изучения антител, ведущую свое начало со времен Эмиля Адольфа фон Беринга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Emil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Adolph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von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Behring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Шибасабуро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Китасато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Shibasaburo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Kitasato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описавших защитные свойства антитоксина, и Пауля Эрлиха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Paul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Ehrlich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назвавшего противомикробные вещества периферической крови </w:t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«антителами»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особенности их строения начали проясняться лишь с конца 50-х годов XX века. В значительной степени этому способствовало использование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миеломных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 больных множественной миеломой. У таких лиц плазматическая клетка или ее непосредственный предшественник подвергается спонтанной неопластической трансформации, в результате у больных этой формой рака образуется опухоль, секретирующая сходные с нормальными, но гомогенные иммуноглобулины — продукты клеточного клона, сформировавшегося из одной трансформированной родительской клетки, В сыворотке больных миеломой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 могут составлять более 95%, вследствие чего могут быть выделены в больших количествах в чистом виде. К этому же типу молекул относятся белки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Бенс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-Джонса, выделяемые с мочой больных миеломой и представляющие собой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димеры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цепей иммуноглобулинов. Гомогенные иммуноглобулины могут быть выделены также у лиц, больных другими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лимфопролиферативными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или у мышей при экспериментальном канцерогенезе, индуцированном, например, минеральным маслом. Клонированные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плазмоцитомы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секретирующие соответствующие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белки, именуют линиями МОРС (от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Mineral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oil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induction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plasmacytoma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cells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49278557" wp14:editId="63E230E6">
            <wp:extent cx="4286250" cy="3733800"/>
            <wp:effectExtent l="0" t="0" r="0" b="0"/>
            <wp:docPr id="1" name="Рисунок 1" descr="Строение иммуноглобулинов (антител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иммуноглобулинов (антител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1959 г. Родни Портер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Rodney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Porter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впервые показал, что молекула антитела, обработанная папаином и поперек разрезанная этим ферментом, представлена тремя фрагментами, два из которых сохраняют способность взаимодействовать с антигеном, а третий проявляет способность к кристаллизации (рис. 11.2). В соответствии с этим эти два фрагмента были названы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-фрагментами (от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Fragment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antigen-binding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третий —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-фрагментом (от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Fragment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crystallizable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Джералд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Gerard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Maurice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Edelman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наоборот, разрезал молекулу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миеломного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вдоль с помощью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меркалтоэтанола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концентрированном растворе мочевины, разрушающего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(рис. 11.2). В результате такого воздействия были получены 4 цепи, две из которых были идентичными, имели мол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массу</w:t>
      </w:r>
      <w:proofErr w:type="gram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были обозначены как тяжелые цепи — Н (от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Heavy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chains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другие две цепи, также идентичные друг другу, имели мол. массу 20-25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были названы легкими цепями — L (от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chains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Однако ни одна из этих цепей активностью антител не обладала. Это свидетельствовало о том, что активный центр антитела формируется двумя цепями — легкой и тяжелой, а молекула антитела имеет два активных центра. В 1969 году он опубликовал результаты анализа аминокислотной последовательности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миеломного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человека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аминокислотную последовательность цепей можно разделить на гомологичные участки длиной около 110 аминокислот, организованные в замкнутую сферу — домены. Впоследствии с помощью рентгеноструктурного анализа подтвердилась структура молекулы антитела, предсказанная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Эдельманом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Оказалось, что домены представляют собой компактные глобулы, форма которых стабилизируется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связями. Каждый домен имеет характерную для иммуноглобулинов укладку цепи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Immunoglobulin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fold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определяется двухслойной β-складчатой структурой, один из слоев которой представлен тремя антипараллельными сегментами, а другой — четырьмя. Примерно в середине домена слои соединены ковалентной связью при помощи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дисульфидного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мостика. Взаимодействующие друг с другом легкие и тяжелые цепи плотно упакованы в молекулярную структуру, определяемую как третичная и представленную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двумя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-фрагментами. Обрабатывая молекулу антитела другим ферментом, пепсином, Альфред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Нисонов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Alfred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Nisonoff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установил возможность получения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-фрагмента в виде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')2, обладавшего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антительной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двумя антигенсвязывающими участками и определявшего положение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соединяющей тяжелые цепи молекулы (рис. 11,2). Таким образом, к концу 60-х годов прошлого столетия были получены основные данные, характеризующие строение молекулы антитела, а Портер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удостоены Нобелевской премии.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структуры иммуноглобулинов установило общий план строения антител разных классов и их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гомологичность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млекопитающих. На рис. 11.3 показана структура иммуноглобулина (на примере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IgG1), на рис. 11.4 — его доменная организация.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lastRenderedPageBreak/>
        <w:drawing>
          <wp:inline distT="0" distB="0" distL="0" distR="0" wp14:anchorId="0C33399E" wp14:editId="6C9CB0C4">
            <wp:extent cx="4286250" cy="3876675"/>
            <wp:effectExtent l="0" t="0" r="0" b="9525"/>
            <wp:docPr id="2" name="Рисунок 2" descr="Строение иммуноглобулинов (антител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иммуноглобулинов (антител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59D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2436222A" wp14:editId="67C39B7B">
            <wp:extent cx="4286250" cy="3714750"/>
            <wp:effectExtent l="0" t="0" r="0" b="0"/>
            <wp:docPr id="3" name="Рисунок 3" descr="Строение иммуноглобулинов (антител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иммуноглобулинов (антител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каждая молекула иммуноглобулина состоит из 4-х полипептидных цепей — двух идентичных тяжелых (H) цепей и двух идентичных легких (L) цепей. Каждая из тяжелых цепей включает примерно 440 аминокислотных остатков, каждая из легких цепей — примерно 220. Тяжелые цепи соединены друг с другом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 прикреплены также легкие цепи к тяжелым цепям (рис. 11.3 и 11.4). Определяемые у млекопитающих антитела классов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мономерными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антитела класса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пентамерами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Классы антител различают по тяжелым цепям: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μ,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γ,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α,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δ,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ε; легкие цепи 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классов антител в зависимости от первичной структуры и антигенных свойств представлены цепями к или λ. Каждая из легких цепей к или λ может сочетаться с любыми, указанными выше, тяжелыми цепями.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Соотношение легких цепей у разных видов различно. Например, у мышей соотношение цепей к и λ составляет 95:5, у человека — 70:30, к- и λ-цепи кодируются разными генами. Соотношение цепей к и λ различается и в разных молекулах иммуноглобулинов: для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соотношение составляет 70:30, для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1:1, для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1:20. Тип легких цепей на биологические свойства иммуноглобулинов не влияет. В домене Сн2 всех γ-цепей молекулы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один углеводный компонент. В отличие от молекулы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μ-цепи молекулы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прикреплено по 5 олигосахаридов — по одному в доменах Cн1, Сн2 и Cн4 и два в домене Сн3. В молекуле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углеводных компонентов шесть — по одному в месте соединения V- и С-областей и в домене Сн2 и по два в доменах Cн1 и Сн3. По одному углеводному компоненту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локализуются в доменах Сн2 и Сн3. Иммуноглобулин класса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один углеводный компонент в домене Сн2 и два — в домене Сн3. Углеводная часть молекулы не влияет на специфичность иммуноглобулинов. Вместе с тем подавление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гликозилирования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полипептидных цепей, например α- и ε-цепей, подавляет секрецию антител этих классов. Считается также, что углеводные компоненты закрывают участки молекулы, чувствительные к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протеолизу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самым защищают ее от деградации. Кроме того, они поддерживают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конформацию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доменов, необходимую для их функции.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всех классов иммуноглобулинов </w:t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активный центр антитела или его антигенсвязывающую область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формируют N-концевые домены, получившие название вариабельных (V —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Variable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образующих вариабельные области, которые определяются доменами как легких (VL), так и тяжелых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цепей иммуноглобулина. В местах соединения этих доменов (VL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образуется антигенсвязывающая полость (активный центр антитела), представляющая собой щель длиной 1,6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шириной 0,7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глубиной 0,6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других случаях активный центр антитела имеет размеры: в длину 2,5-3,6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ширину 1,0-1,7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глубину 0,6-0,7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идентичных антигенсвязывающих центров в молекуле антитела определяет ее валентность (см. табл. 11.7). Остальные домены молекулы, вплоть до ее С-конца, именуются константными (С — 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Constant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Легкие цепи иммуноглобулинов содержат по одному константному домену (CL), тяжелые цепи иммуноглобулинов классов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три (начиная с NH2-конца — Cн1, Сн2, Сн3), в молекулах иммуноглобулинов классов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четыре (Сн1, Сн2, Cн3, Сн4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других млекопитающих у верблюдов так же, как у некоторых видов акул, имеются антитела, состоящие только из тяжелых цепей. В связи с этим участки связывания антигена у таких антител локализуются не в доменах VL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только в домене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антитела характеризуются меньшими размерами и меньшей молекулярной массой.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отличие от общего правила: один ген — одна полипептидная цепь, генетический контроль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иммуноглобулиновых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характеризуются иной закономерностью. Вариабельные (V) и константные (С) области иммуноглобулинов контролируются разными генами. Иначе говоря, их строение подчиняется правилу: два гена — одна полипептидная цепь. Таким образом, полипептиды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иммуноглобулиновой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кодируются тремя несцепленными группами генов — генами тяжелой цепи, генами легкой к-цепи и генами легкой λ-цепи. В свою очередь полипептиды тяжелой цепи кодируются тесно сцепленными генами, одни из которых контролируют ее вариабельную (V) область, а другие — константную (С), Еще одна группа генов легких и тяжелых цепей иммуноглобулинов контролирует формирование участков (J), обеспечивающих в процессе V(D)J-рекомбинации зародышевых генов соединение кодирующих генных сегментов вариабельной и константной областей. В процессе кодирования тяжелых цепей иммуноглобулинов участвуют также гены, определяющие разнообразие (область D) ее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антигенраспознающего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Вариабельные участки молекулы характеризуются сильно варьирующим аминокислотным составом. Участки молекулы с наибольшей вариабельностью именуют </w:t>
      </w:r>
      <w:proofErr w:type="spellStart"/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гипервариабельными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(HV — 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Hypervariable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Вариабельная область содержит 3-4 таких участка — HV1, HV2, HV3, HV4, их синонимами являются CDR (от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Complementary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determining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regions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участки, определяющие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антитела - CDR1, CDR2, CDR3, CDR4. Участки молекулы, расположенные между CDR-структурами, называют </w:t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каркасными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(FR — 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regions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четыре — FR1, FR2, FR3, FR4. Участки вариабельной области (V) с достаточно устойчивой структурой именуют </w:t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консервативными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аминокислотные остатки в этих участках — </w:t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инвариантными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Константные области (С) каждого класса антител являются строго инвариантными. В водном растворе структурная единица иммуноглобулина (молекула IgG1, рис. 11.3) имеет Y-образную форму.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отмечалось выше, домены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Cн1, VL и CL каждой молекулы иммуноглобулина формируют ее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Fаb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-фрагменты, остальные домены —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-фрагменты, В пределах одного класса антител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-фрагменты строго идентичны, но различаются у разных классов иммуноглобулинов. Два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-фрагмента молекулы образуют ее F(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аb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’)2-фрагмент (рис. 11.2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</w:t>
      </w:r>
      <w:proofErr w:type="gram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в аминокислотной последовательности тяжелых цепей иммуноглобулинов одного и того же класса определяют наличие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субклассов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которых у разных видов животных различно (табл. 11.5). Антитела классов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субклассы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иммуноглобулинов не содержат, антитела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только у кошек и собак. Антитела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субклассов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у овец, мышей, обезьян и у человека,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субклассы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у всех животных, но наибольшее их количество (семь) выявлено у лошадей.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Субклассы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показаны на рис. 11.5.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4BC96ED6" wp14:editId="584EB5BF">
            <wp:extent cx="4286250" cy="2505075"/>
            <wp:effectExtent l="0" t="0" r="0" b="9525"/>
            <wp:docPr id="4" name="Рисунок 4" descr="Строение иммуноглобулинов (антител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оение иммуноглобулинов (антител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Шарнирный участок (или район талии)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молекулы иммуноглобулина расположен между доменами Cн1 и Сн2 (в молекуле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доменами Сн2 и Сн3), определяет гибкость молекулы и способность связывать комплемент (рис. 11.4). В этой части молекулы, в частности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локализуются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соединяющие тяжелые цепи молекулы. В молекуле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дисульфидная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соединяющая тяжелые цепи, располагается в домене Сн2. Разные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субклассы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разным их количеством — молекулы IgG1 и IgG4 человека имеют по две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IgG2 — четыре, IgG3 — одиннадцать.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lastRenderedPageBreak/>
        <w:drawing>
          <wp:inline distT="0" distB="0" distL="0" distR="0" wp14:anchorId="09ADEFD2" wp14:editId="4D48802A">
            <wp:extent cx="4286250" cy="3067050"/>
            <wp:effectExtent l="0" t="0" r="0" b="0"/>
            <wp:docPr id="5" name="Рисунок 5" descr="Строение иммуноглобулинов (антител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ение иммуноглобулинов (антител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Считается, что тяжелые цепи иммуноглобулинов могут быть связаны разным числом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дисульфидных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— от одной до пятнадцати. В молекуле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соединяющие тяжелые цепи, разделены доменом Сн2. Антитела класса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две дополнительные внутри доменные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отсутствующие у других иммуноглобулинов. Одна из них содержится в домене Сн2, другая — в домене Сн3.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Дисульфидная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соединяющая тяжелые цепи молекулы, локализуется между доменами Cн1 и Сн2. Кроме того, в молекулах полимерных иммуноглобулинов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соединяют субъединицы антител с соединяющей цепью J.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особенностей аминокислотного состава и пространственной структуры шарнирный участок характеризуется высокой чувствительностью к протеолитическим ферментам. Молекула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расщепляется в этом районе без участия каких-либо денатурирующих агентов папаином, трипсином, пепсином, плазмином,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бромелином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катепсином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коллагеназой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Фрагментация молекулы позволяет получать ее различные фрагменты, позволяющие более полно характеризовать особенности строения иммуноглобулинов. Так, помимо вышеуказанных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Fс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F(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’)2-фрагментов, получаемых при обработке молекулы папаином или пепсином, был идентифицирован ряд фрагментов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ограниченного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разными агентами.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Фрагмент </w:t>
      </w:r>
      <w:proofErr w:type="spellStart"/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Facb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 в результате отщепления от молекулы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доменов Сн3 при ее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плазмином (рис. 11.6). Полученный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бивалентный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имеет два антигенсвязывающих участка, способен фиксировать комплемент, формировать реакции агглютинации и преципитации.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Фрагмент </w:t>
      </w:r>
      <w:proofErr w:type="spellStart"/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Fabc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 в результате ограниченного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папином молекулы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отщепления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-фрагмента от родительской молекулы,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представяет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связанный с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-фрагментом, характеризуется одновалентностью и константой седиментации 5S (рис. 11.7).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lastRenderedPageBreak/>
        <w:drawing>
          <wp:inline distT="0" distB="0" distL="0" distR="0" wp14:anchorId="70D60A3A" wp14:editId="49A7953A">
            <wp:extent cx="3857625" cy="4286250"/>
            <wp:effectExtent l="0" t="0" r="9525" b="0"/>
            <wp:docPr id="6" name="Рисунок 6" descr="Строение иммуноглобулинов (антител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оение иммуноглобулинов (антител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59D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5E534316" wp14:editId="178BFBC1">
            <wp:extent cx="4286250" cy="2381250"/>
            <wp:effectExtent l="0" t="0" r="0" b="0"/>
            <wp:docPr id="7" name="Рисунок 7" descr="Строение иммуноглобулинов (антител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иммуноглобулинов (антител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Фрагмент </w:t>
      </w:r>
      <w:proofErr w:type="spellStart"/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Fv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 при гидролизе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-фрагмента пепсином, отщепляющим от молекулы домены CL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состоит из N-терминальных вариабельных сегментов, включающих домены тяжелой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легкой (VL) цепей, соединенных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нековалентной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связью. Каждый фрагмент имеет один антигенсвязывающий участок (рис. 11.6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Фрагмент</w:t>
      </w:r>
      <w:proofErr w:type="gramEnd"/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продукт тонкого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молекулы, содержит домены Cн1 и CL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-фрагмента (рис. 11.8).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lastRenderedPageBreak/>
        <w:drawing>
          <wp:inline distT="0" distB="0" distL="0" distR="0" wp14:anchorId="3B41921D" wp14:editId="0CD25B80">
            <wp:extent cx="4286250" cy="2466975"/>
            <wp:effectExtent l="0" t="0" r="0" b="9525"/>
            <wp:docPr id="8" name="Рисунок 8" descr="Строение иммуноглобулинов (антител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оение иммуноглобулинов (антител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Фрагмент </w:t>
      </w:r>
      <w:proofErr w:type="spellStart"/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 собой N-терминальную половину тяжелой цепи иммуноглобулина, получен при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’)2- фрагмента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пепсином, состоит из доменов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Vн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Cн1 тяжелой цепи и шарнирного участка, включает 235 аминокислотных остатков (рис. 11.8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Цепи</w:t>
      </w:r>
      <w:proofErr w:type="gram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иммуноглобулина сплетены в «косичку» (рис. 11.9).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5D8F2452" wp14:editId="4E813FCE">
            <wp:extent cx="4286250" cy="2466975"/>
            <wp:effectExtent l="0" t="0" r="0" b="9525"/>
            <wp:docPr id="9" name="Рисунок 9" descr="Строение иммуноглобулинов (антител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оение иммуноглобулинов (антител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способствует то, что между доменами в молекуле антитела имеются короткие, но весьма гибкие участки цепей, обеспечивающие возможность расположения доменов по отношению друг к другу под некоторым углом. Угол между двумя симметричными антигенсвязывающими участками подвижен в диапазоне от 0 до &gt;100°, антигенсвязывающие участки способны к ротационному движению (рис. 11.10).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lastRenderedPageBreak/>
        <w:drawing>
          <wp:inline distT="0" distB="0" distL="0" distR="0" wp14:anchorId="57714A0F" wp14:editId="421B1FC1">
            <wp:extent cx="4286250" cy="3248025"/>
            <wp:effectExtent l="0" t="0" r="0" b="9525"/>
            <wp:docPr id="10" name="Рисунок 10" descr="Строение иммуноглобулинов (антител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оение иммуноглобулинов (антител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-фрагментов может осуществляться в направлениях, показанных сплошными стрелками. Гибкость проявляется в изменении усредненной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конформации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угол а, по-видимому, больше 80-100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°.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отмечалось ранее, молекулы иммуноглобулинов различных классов характеризуются разным строением их тяжелых цепей. В отличие от других классов антител полимерные иммуноглобулины как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имеют одинаковую дополнительную соединяющую полипептидную цепь J (от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Joining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имеющую гомологии с иммуноглобулинами; ген, кодирующий цепь J, локализуется в хромосоме, не содержащей генов иммуноглобулинов. Иначе говоря, две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мономерные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субъединицы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пять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мономерных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субъединиц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соединены цепью J в С-конце цепи α или μ в одну молекулу (рис. 11.11 и 11.12). Мол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масса</w:t>
      </w:r>
      <w:proofErr w:type="gram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J-цепи равна примерно 15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Эту структуру впервые описали в 1966 году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Rejnek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CederbIad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30330D59" wp14:editId="56A84A9D">
            <wp:extent cx="4286250" cy="3571875"/>
            <wp:effectExtent l="0" t="0" r="0" b="9525"/>
            <wp:docPr id="11" name="Рисунок 11" descr="Строение иммуноглобулинов (антител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роение иммуноглобулинов (антител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отличие от секретируемых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-антител рецепторный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экспрессируемый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мембране В-лимфоцитов, имеет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мономерную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с константой седиментации 8S, а примерно половина мембранного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IgD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половинчатую структуру и характеризуется формулой не 2H2L, a HL.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3193D863" wp14:editId="1F6EF455">
            <wp:extent cx="4286250" cy="4105275"/>
            <wp:effectExtent l="0" t="0" r="0" b="9525"/>
            <wp:docPr id="12" name="Рисунок 12" descr="Строение иммуноглобулинов (антител)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оение иммуноглобулинов (антител)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существует и в виде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преимущественно содержащейся в сыворотке крови.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преобладает в экстраваскулярных секретах, содержится в больших количествах в пищеварительных соках слизистой и в секретах экзокринных желез — слюнных, слезных, потовых, молочных, в частности в молозиве, обеспечивая передачу иммунитета от матери новорожденным животным.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Особенность строения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димерного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отличие от других молекул антител заключаются в наличии </w:t>
      </w:r>
      <w:r w:rsidRPr="00D115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секреторного компонента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гликопротеина, N-концевые аминокислотные последовательности которого очень сходны у человека, крупного рогатого скота и у собак. Секреторный компонент является нормальной составной частью секреторного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SIgA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обвивает «состыкованные» конец в конец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димерного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из нескольких антигенно родственных полипептидов, синтезируется клетками серозного эпителия, в секретах существует и в свободном несвязанном состоянии даже в отсутствие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разных видов прочность соединения секреторного компонента с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различна; например, у человека секреторный компонент соединен с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дисульфидными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связями, у кролика — с помощью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нековалентных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взаимодействий. Секреторный компонент представляет собой фрагмент мембранного поли-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-рецептора эпителиальных клеток слизистой кишечника, 5-доменного члена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суперсемейства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иммуноглобулинов, взаимодействующего с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димерным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взаимодействия комплекс рецептор-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подвергается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эндоцитозу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транспортируется к клеточной поверхности, обращенной к просвету кишечника.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Эндоцитированный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 подвергается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протеолизу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часть в виде секреторного компонента вместе с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секретируется в просвет кишечника.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разных авторов, мол</w:t>
      </w:r>
      <w:proofErr w:type="gram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масса</w:t>
      </w:r>
      <w:proofErr w:type="gram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секреторного компонента, не связанного с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человека колеблется в пределах 74-85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лошади — 80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крупного рогатого скота — 46-86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овцы и козы — 85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собаки — 77,5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кролика — 60-64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морской свинки — 88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константа седиментации секреторного компонента у свиньи и мыши составляет 4S. Секреторный компонент впервые описал Т.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Томази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1965 году.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Особенностями строения характеризуется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птиц. Этот иммуноглобулин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гомологичен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млекопитающих, содержит две тяжелые и две легкие цепи. Тяжелые цепи и (эпсилон) имеют четыре константных домена и один вариабельный, легкие цепи содержат по одному константному и одному вариабельному домену. Шарнирный участок 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отсутствует (рис. 51.3). Молекулярная масса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180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константой седиментации 7,8S, его структура характерна для иммуноглобулинов кур. Однако иммуноглобулины уток и гусей имеют две молекулы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них такая же полноразмерная, как у кур, другая характеризуется усеченной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изоформой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содержащей только три домена тяжелой цепи, — два константных и один вариабельный — вместо пяти доменов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11.3). Молекулярная масса такой усеченной формы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120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константа седиментации 5,7S. Такую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изоформу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именуют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(Δ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она является результатом альтернативного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сплайсинга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тяжелой цепи. Поскольку такая молекула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-фрагмента, эта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иммуноглобулиновая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молекула лишена способности активировать систему комплемента и вступать во взаимодействие с мембранным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-рецептором клеток. Молекула лишена также гибкости из-за отсутствия шарнирного участка. Поэтому преципитация или агглютинация усеченной формы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только в присутствии высокой концентрации солей.</w:t>
      </w:r>
    </w:p>
    <w:p w:rsidR="00D1159D" w:rsidRPr="00D1159D" w:rsidRDefault="00D1159D" w:rsidP="00D1159D">
      <w:pPr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D1159D">
        <w:rPr>
          <w:rFonts w:ascii="inherit" w:eastAsia="Times New Roman" w:hAnsi="inherit" w:cs="Times New Roman"/>
          <w:noProof/>
          <w:color w:val="FA8F1D"/>
          <w:sz w:val="20"/>
          <w:szCs w:val="20"/>
          <w:lang w:eastAsia="ru-RU"/>
        </w:rPr>
        <w:drawing>
          <wp:inline distT="0" distB="0" distL="0" distR="0" wp14:anchorId="0FE12BA1" wp14:editId="137F0F35">
            <wp:extent cx="4286250" cy="3419475"/>
            <wp:effectExtent l="0" t="0" r="0" b="9525"/>
            <wp:docPr id="13" name="Рисунок 13" descr="Строение иммуноглобулинов (антител)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оение иммуноглобулинов (антител)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Сходство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с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млекопитающих может свидетельствовать о том, что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их эволюционным предшественником.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Строение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также отличается от такового млекопитающих. Этот иммуноглобулин у птиц имеет не три константных домена, как у млекопитающих, а четыре,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(340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формах. В слизистой кишечника птиц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секреторный компонент.</w:t>
      </w: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строению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не отличается от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млекопитающих, как и у млекопитающих является иммуноглобулином первичного ответа,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IgY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вторичного ответа. В куриных яйцах и у 1-дневных цыплят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в </w:t>
      </w:r>
      <w:proofErr w:type="spellStart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мономерной</w:t>
      </w:r>
      <w:proofErr w:type="spellEnd"/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9D" w:rsidRPr="00765818" w:rsidRDefault="00765818" w:rsidP="0076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5818">
        <w:rPr>
          <w:rFonts w:ascii="Times New Roman" w:eastAsia="Times New Roman" w:hAnsi="Times New Roman" w:cs="Times New Roman"/>
          <w:sz w:val="40"/>
          <w:szCs w:val="40"/>
          <w:lang w:eastAsia="ru-RU"/>
        </w:rPr>
        <w:t>Реферат на тему:</w:t>
      </w:r>
    </w:p>
    <w:p w:rsidR="00765818" w:rsidRPr="00765818" w:rsidRDefault="00765818" w:rsidP="0076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5818">
        <w:rPr>
          <w:rFonts w:ascii="Times New Roman" w:eastAsia="Times New Roman" w:hAnsi="Times New Roman" w:cs="Times New Roman"/>
          <w:sz w:val="40"/>
          <w:szCs w:val="40"/>
          <w:lang w:eastAsia="ru-RU"/>
        </w:rPr>
        <w:t>Строение и функции иммуноглобулинов.</w:t>
      </w:r>
    </w:p>
    <w:p w:rsidR="00765818" w:rsidRPr="00765818" w:rsidRDefault="00765818" w:rsidP="0076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P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581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Выполнила:</w:t>
      </w:r>
    </w:p>
    <w:p w:rsidR="00765818" w:rsidRP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6581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Макарьевская</w:t>
      </w:r>
      <w:proofErr w:type="spellEnd"/>
      <w:r w:rsidRPr="007658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Д.С.</w:t>
      </w: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58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318 </w:t>
      </w:r>
      <w:proofErr w:type="spellStart"/>
      <w:r w:rsidRPr="00765818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</w:t>
      </w:r>
      <w:proofErr w:type="spellEnd"/>
      <w:r w:rsidRPr="0076581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818" w:rsidRDefault="00765818" w:rsidP="0076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литературы.</w:t>
      </w:r>
    </w:p>
    <w:p w:rsidR="00765818" w:rsidRDefault="00765818" w:rsidP="0076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BF" w:rsidRDefault="006A5BBF" w:rsidP="0076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BF" w:rsidRDefault="006A5BBF" w:rsidP="0076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76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А.Г. «Руководство по иммунологии и иммунопатологии».</w:t>
      </w:r>
    </w:p>
    <w:p w:rsidR="006A5BBF" w:rsidRDefault="006A5BBF" w:rsidP="0076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Default="00765818" w:rsidP="0076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 В.Г. «Иммунология». – Москва, Издательство Московского Университета, 1998.</w:t>
      </w:r>
    </w:p>
    <w:p w:rsidR="006A5BBF" w:rsidRDefault="006A5BBF" w:rsidP="0076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18" w:rsidRPr="00D1159D" w:rsidRDefault="00765818" w:rsidP="0076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Ройт</w:t>
      </w:r>
      <w:proofErr w:type="spellEnd"/>
      <w:r w:rsidRPr="0076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«Иммунология». – Москва, Мир, 2000.</w:t>
      </w:r>
    </w:p>
    <w:p w:rsidR="00DE5AB3" w:rsidRDefault="00D1159D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0" w:tgtFrame="_blank" w:tooltip="Google Plus" w:history="1">
        <w:r w:rsidRPr="00D1159D">
          <w:rPr>
            <w:rFonts w:ascii="Arial" w:eastAsia="Times New Roman" w:hAnsi="Arial" w:cs="Arial"/>
            <w:color w:val="FA8F1D"/>
            <w:sz w:val="17"/>
            <w:szCs w:val="17"/>
            <w:u w:val="single"/>
            <w:shd w:val="clear" w:color="auto" w:fill="C25234"/>
            <w:lang w:eastAsia="ru-RU"/>
          </w:rPr>
          <w:br/>
        </w:r>
      </w:hyperlink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Default="00765818" w:rsidP="00D1159D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65818" w:rsidRPr="00D1159D" w:rsidRDefault="00765818" w:rsidP="00D1159D"/>
    <w:sectPr w:rsidR="00765818" w:rsidRPr="00D1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7"/>
    <w:rsid w:val="006A5BBF"/>
    <w:rsid w:val="00732EF7"/>
    <w:rsid w:val="00765818"/>
    <w:rsid w:val="00D1159D"/>
    <w:rsid w:val="00D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A73A-384F-45F4-B272-B090CEF5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gonesour.ru/uploads/posts/2015-10/1445781438_r4.jpe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orldgonesour.ru/uploads/posts/2015-10/1445781590_r8.jpeg" TargetMode="External"/><Relationship Id="rId26" Type="http://schemas.openxmlformats.org/officeDocument/2006/relationships/hyperlink" Target="http://worldgonesour.ru/uploads/posts/2015-10/1445781728_r12.jpe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orldgonesour.ru/uploads/posts/2015-10/1445781538_t5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orldgonesour.ru/uploads/posts/2015-10/1445781582_r7.jpeg" TargetMode="External"/><Relationship Id="rId20" Type="http://schemas.openxmlformats.org/officeDocument/2006/relationships/hyperlink" Target="http://worldgonesour.ru/uploads/posts/2015-10/1445781680_r9.jpe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orldgonesour.ru/uploads/posts/2015-10/1445781425_r3.jpe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orldgonesour.ru/uploads/posts/2015-10/1445781702_r11.jpe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orldgonesour.ru/uploads/posts/2015-10/1445781840_r13.jpeg" TargetMode="External"/><Relationship Id="rId10" Type="http://schemas.openxmlformats.org/officeDocument/2006/relationships/hyperlink" Target="http://worldgonesour.ru/uploads/posts/2015-10/1445781538_r5.jpe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hyperlink" Target="http://worldgonesour.ru/uploads/posts/2015-10/1445781405_r2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orldgonesour.ru/uploads/posts/2015-10/1445781589_r6.jpeg" TargetMode="External"/><Relationship Id="rId22" Type="http://schemas.openxmlformats.org/officeDocument/2006/relationships/hyperlink" Target="http://worldgonesour.ru/uploads/posts/2015-10/1445781638_r10.jpe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share.yandex.net/go.xml?service=gplus&amp;url=http%3A%2F%2Fworldgonesour.ru%2Fveterinarnaya-immunologiya%2F2427-stroenie-immunoglobulinov-antitel.html&amp;title=%D0%A1%D1%82%D1%80%D0%BE%D0%B5%D0%BD%D0%B8%D0%B5%20%D0%B8%D0%BC%D0%BC%D1%83%D0%BD%D0%BE%D0%B3%D0%BB%D0%BE%D0%B1%D1%83%D0%BB%D0%B8%D0%BD%D0%BE%D0%B2%20(%D0%B0%D0%BD%D1%82%D0%B8%D1%82%D0%B5%D0%BB)%20%C2%BB%20%D0%92%D1%81%D0%B5%20%D0%BE%20%D0%B6%D0%B8%D0%B2%D0%BE%D1%82%D0%BD%D0%BE%D0%B2%D0%BE%D0%B4%D1%81%D1%82%D0%B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2017-05-21T14:41:00Z</dcterms:created>
  <dcterms:modified xsi:type="dcterms:W3CDTF">2017-05-21T15:03:00Z</dcterms:modified>
</cp:coreProperties>
</file>