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E6" w:rsidRPr="000343B5" w:rsidRDefault="001736E6" w:rsidP="001736E6">
      <w:pPr>
        <w:jc w:val="center"/>
        <w:rPr>
          <w:b/>
          <w:sz w:val="28"/>
        </w:rPr>
      </w:pPr>
      <w:r w:rsidRPr="000343B5">
        <w:rPr>
          <w:b/>
          <w:sz w:val="28"/>
        </w:rPr>
        <w:t>Введение вакцины АКДС.</w:t>
      </w:r>
    </w:p>
    <w:p w:rsidR="001736E6" w:rsidRPr="000343B5" w:rsidRDefault="001736E6" w:rsidP="001736E6">
      <w:pPr>
        <w:ind w:left="360"/>
      </w:pPr>
    </w:p>
    <w:p w:rsidR="001736E6" w:rsidRDefault="001736E6" w:rsidP="001736E6">
      <w:pPr>
        <w:ind w:left="360"/>
      </w:pPr>
      <w:r w:rsidRPr="006715A4">
        <w:t xml:space="preserve"> </w:t>
      </w:r>
      <w:r w:rsidRPr="002C10AE">
        <w:rPr>
          <w:u w:val="single"/>
        </w:rPr>
        <w:t>Цель:</w:t>
      </w:r>
      <w:r w:rsidRPr="006715A4">
        <w:t xml:space="preserve"> </w:t>
      </w:r>
    </w:p>
    <w:p w:rsidR="001736E6" w:rsidRDefault="001736E6" w:rsidP="001736E6">
      <w:pPr>
        <w:ind w:left="360"/>
      </w:pPr>
      <w:r>
        <w:t>- профилактика коклюша;</w:t>
      </w:r>
    </w:p>
    <w:p w:rsidR="001736E6" w:rsidRDefault="001736E6" w:rsidP="001736E6">
      <w:pPr>
        <w:ind w:left="360"/>
      </w:pPr>
      <w:r>
        <w:t>- столбняка;</w:t>
      </w:r>
    </w:p>
    <w:p w:rsidR="001736E6" w:rsidRPr="006715A4" w:rsidRDefault="001736E6" w:rsidP="001736E6">
      <w:pPr>
        <w:ind w:left="360"/>
      </w:pPr>
      <w:r>
        <w:t xml:space="preserve">- </w:t>
      </w:r>
      <w:r w:rsidRPr="006715A4">
        <w:t>дифтерии.</w:t>
      </w:r>
    </w:p>
    <w:p w:rsidR="001736E6" w:rsidRDefault="001736E6" w:rsidP="001736E6">
      <w:pPr>
        <w:ind w:left="360"/>
        <w:rPr>
          <w:u w:val="single"/>
        </w:rPr>
      </w:pPr>
    </w:p>
    <w:p w:rsidR="001736E6" w:rsidRPr="002C10AE" w:rsidRDefault="001736E6" w:rsidP="001736E6">
      <w:pPr>
        <w:ind w:left="360"/>
        <w:rPr>
          <w:u w:val="single"/>
        </w:rPr>
      </w:pPr>
      <w:r w:rsidRPr="002C10AE">
        <w:rPr>
          <w:u w:val="single"/>
        </w:rPr>
        <w:t>Оснащение:</w:t>
      </w:r>
    </w:p>
    <w:p w:rsidR="001736E6" w:rsidRPr="006715A4" w:rsidRDefault="001736E6" w:rsidP="001736E6">
      <w:pPr>
        <w:ind w:left="360"/>
      </w:pPr>
      <w:r w:rsidRPr="006715A4">
        <w:t>- стерильный столик с ватными шариками, салфетками, пинцетом;</w:t>
      </w:r>
    </w:p>
    <w:p w:rsidR="001736E6" w:rsidRPr="006715A4" w:rsidRDefault="001736E6" w:rsidP="001736E6">
      <w:pPr>
        <w:ind w:left="360"/>
      </w:pPr>
      <w:r w:rsidRPr="006715A4">
        <w:t>- перчатки;</w:t>
      </w:r>
    </w:p>
    <w:p w:rsidR="001736E6" w:rsidRPr="006715A4" w:rsidRDefault="001736E6" w:rsidP="001736E6">
      <w:pPr>
        <w:ind w:left="360"/>
      </w:pPr>
      <w:r w:rsidRPr="006715A4">
        <w:t>- вакцина АКДС;</w:t>
      </w:r>
    </w:p>
    <w:p w:rsidR="001736E6" w:rsidRPr="006715A4" w:rsidRDefault="001736E6" w:rsidP="001736E6">
      <w:pPr>
        <w:ind w:left="360"/>
      </w:pPr>
      <w:r w:rsidRPr="006715A4">
        <w:t>- мензурка для помещения в нее ампулы с вакциной;</w:t>
      </w:r>
    </w:p>
    <w:p w:rsidR="001736E6" w:rsidRPr="006715A4" w:rsidRDefault="001736E6" w:rsidP="001736E6">
      <w:pPr>
        <w:ind w:left="360"/>
      </w:pPr>
      <w:r w:rsidRPr="006715A4">
        <w:t>- светозащитный конус из черной бумаги;</w:t>
      </w:r>
    </w:p>
    <w:p w:rsidR="001736E6" w:rsidRPr="006715A4" w:rsidRDefault="001736E6" w:rsidP="001736E6">
      <w:pPr>
        <w:ind w:left="360"/>
      </w:pPr>
      <w:r w:rsidRPr="006715A4">
        <w:t>- шприц, иглы;</w:t>
      </w:r>
    </w:p>
    <w:p w:rsidR="001736E6" w:rsidRPr="006715A4" w:rsidRDefault="001736E6" w:rsidP="001736E6">
      <w:pPr>
        <w:ind w:left="360"/>
      </w:pPr>
      <w:r w:rsidRPr="006715A4">
        <w:t xml:space="preserve">- лоток с </w:t>
      </w:r>
      <w:proofErr w:type="spellStart"/>
      <w:r w:rsidRPr="006715A4">
        <w:t>дезраствором</w:t>
      </w:r>
      <w:proofErr w:type="spellEnd"/>
      <w:r w:rsidRPr="006715A4">
        <w:t xml:space="preserve"> для сбрасывания шприцев;</w:t>
      </w:r>
    </w:p>
    <w:p w:rsidR="001736E6" w:rsidRPr="006715A4" w:rsidRDefault="001736E6" w:rsidP="001736E6">
      <w:pPr>
        <w:ind w:left="360"/>
      </w:pPr>
      <w:r w:rsidRPr="006715A4">
        <w:t xml:space="preserve">- емкость с </w:t>
      </w:r>
      <w:proofErr w:type="spellStart"/>
      <w:r w:rsidRPr="006715A4">
        <w:t>дезраствором</w:t>
      </w:r>
      <w:proofErr w:type="spellEnd"/>
      <w:r w:rsidRPr="006715A4">
        <w:t xml:space="preserve"> для отработанного материала;</w:t>
      </w:r>
    </w:p>
    <w:p w:rsidR="001736E6" w:rsidRDefault="001736E6" w:rsidP="001736E6">
      <w:pPr>
        <w:ind w:left="360"/>
      </w:pPr>
      <w:r w:rsidRPr="006715A4">
        <w:t>- 70% этиловый спирт.</w:t>
      </w:r>
    </w:p>
    <w:p w:rsidR="001736E6" w:rsidRPr="006715A4" w:rsidRDefault="001736E6" w:rsidP="001736E6">
      <w:pPr>
        <w:ind w:left="36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pPr>
              <w:jc w:val="center"/>
            </w:pPr>
            <w:r w:rsidRPr="006715A4">
              <w:t>Этапы</w:t>
            </w:r>
          </w:p>
        </w:tc>
        <w:tc>
          <w:tcPr>
            <w:tcW w:w="4961" w:type="dxa"/>
          </w:tcPr>
          <w:p w:rsidR="001736E6" w:rsidRPr="006715A4" w:rsidRDefault="001736E6" w:rsidP="00064AD2">
            <w:pPr>
              <w:jc w:val="center"/>
            </w:pPr>
            <w:r w:rsidRPr="006715A4">
              <w:t>Обоснование</w:t>
            </w:r>
          </w:p>
        </w:tc>
      </w:tr>
      <w:tr w:rsidR="001736E6" w:rsidRPr="006715A4" w:rsidTr="001736E6">
        <w:tc>
          <w:tcPr>
            <w:tcW w:w="9776" w:type="dxa"/>
            <w:gridSpan w:val="2"/>
          </w:tcPr>
          <w:p w:rsidR="001736E6" w:rsidRPr="002E740D" w:rsidRDefault="001736E6" w:rsidP="00064AD2">
            <w:pPr>
              <w:jc w:val="center"/>
              <w:rPr>
                <w:b/>
              </w:rPr>
            </w:pPr>
            <w:r w:rsidRPr="002E740D">
              <w:rPr>
                <w:b/>
              </w:rPr>
              <w:t>Подготовка к процедуре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Организовать выполнение п.1-4 пр</w:t>
            </w:r>
            <w:r>
              <w:t xml:space="preserve">инципов иммунопрофилактики (см. </w:t>
            </w:r>
            <w:r w:rsidRPr="006715A4">
              <w:t>принципы иммунопрофилактики)</w:t>
            </w:r>
          </w:p>
        </w:tc>
        <w:tc>
          <w:tcPr>
            <w:tcW w:w="4961" w:type="dxa"/>
          </w:tcPr>
          <w:p w:rsidR="001736E6" w:rsidRPr="006715A4" w:rsidRDefault="001736E6" w:rsidP="00064AD2">
            <w:bookmarkStart w:id="0" w:name="_GoBack"/>
            <w:r w:rsidRPr="006715A4">
              <w:t>Профилактика поствакцинальных осложнений.</w:t>
            </w:r>
            <w:bookmarkEnd w:id="0"/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Подготовить необходимое оснащение.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Обеспечение четкости выполнения процедуры.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Вымыть и осушить руки, надеть перчатки.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Обеспечение инфекционной безопасности.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Достать из упаковки ампулу с вакциной, протереть шейку ампулы ватным шариком со спиртом, надрезать наждачным диском.</w:t>
            </w:r>
          </w:p>
          <w:p w:rsidR="001736E6" w:rsidRPr="006715A4" w:rsidRDefault="001736E6" w:rsidP="00064AD2">
            <w:r w:rsidRPr="006715A4">
              <w:t>Накрыть стерильной салфеткой и надломить.</w:t>
            </w:r>
          </w:p>
          <w:p w:rsidR="001736E6" w:rsidRPr="006715A4" w:rsidRDefault="001736E6" w:rsidP="00064AD2">
            <w:r w:rsidRPr="006715A4">
              <w:t xml:space="preserve">Отработанные ватные шарики, салфетку сбросить в емкость с </w:t>
            </w:r>
            <w:proofErr w:type="spellStart"/>
            <w:r w:rsidRPr="006715A4">
              <w:t>дезраствором</w:t>
            </w:r>
            <w:proofErr w:type="spellEnd"/>
            <w:r w:rsidRPr="006715A4">
              <w:t>.</w:t>
            </w:r>
          </w:p>
          <w:p w:rsidR="001736E6" w:rsidRPr="006715A4" w:rsidRDefault="001736E6" w:rsidP="00064AD2">
            <w:r w:rsidRPr="006715A4">
              <w:t>Ампулу поставить в мензурку.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Обеспечивается профилактика инфицирования во время инъекции.</w:t>
            </w:r>
          </w:p>
          <w:p w:rsidR="001736E6" w:rsidRPr="006715A4" w:rsidRDefault="001736E6" w:rsidP="00064AD2">
            <w:r w:rsidRPr="006715A4">
              <w:t>Вскрытие ампул с использованием салфетки предупреждает попадание сухой вакцины в окружающую среду.</w:t>
            </w:r>
          </w:p>
          <w:p w:rsidR="001736E6" w:rsidRPr="006715A4" w:rsidRDefault="001736E6" w:rsidP="00064AD2">
            <w:r w:rsidRPr="006715A4">
              <w:t xml:space="preserve">Что касалось вакцины, должно обеззараживаться во избежание </w:t>
            </w:r>
            <w:r>
              <w:t>з</w:t>
            </w:r>
            <w:r w:rsidRPr="006715A4">
              <w:t>аражения окружающей среды.</w:t>
            </w:r>
          </w:p>
          <w:p w:rsidR="001736E6" w:rsidRPr="006715A4" w:rsidRDefault="001736E6" w:rsidP="00064AD2">
            <w:r w:rsidRPr="006715A4">
              <w:t>П</w:t>
            </w:r>
            <w:r>
              <w:t xml:space="preserve">редотвращение падения ампулы и, </w:t>
            </w:r>
            <w:r w:rsidRPr="006715A4">
              <w:t>следовательно</w:t>
            </w:r>
            <w:r>
              <w:t>,</w:t>
            </w:r>
            <w:r w:rsidRPr="006715A4">
              <w:t xml:space="preserve"> попадания вакцины в окружающую среду.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Вскрыть упаковку шприца.</w:t>
            </w:r>
          </w:p>
          <w:p w:rsidR="001736E6" w:rsidRPr="006715A4" w:rsidRDefault="001736E6" w:rsidP="00064AD2">
            <w:r w:rsidRPr="006715A4">
              <w:t>Надеть на него иглу с колпачком, зафиксировать иглу на канюле.</w:t>
            </w:r>
            <w:r>
              <w:t xml:space="preserve"> </w:t>
            </w:r>
            <w:r w:rsidRPr="006715A4">
              <w:t>Снять с иглы колпачок.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Предупреждение падения иглы во время работы.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Взять шприц с АКДС</w:t>
            </w:r>
            <w:r>
              <w:t>-вакциной и набрать в шприц 0,5</w:t>
            </w:r>
            <w:r w:rsidRPr="006715A4">
              <w:t>мл препарата (пус</w:t>
            </w:r>
            <w:r>
              <w:t xml:space="preserve">тую ампулу сбросить в </w:t>
            </w:r>
            <w:proofErr w:type="spellStart"/>
            <w:r w:rsidRPr="002C10AE">
              <w:t>дезраствор</w:t>
            </w:r>
            <w:proofErr w:type="spellEnd"/>
            <w:r w:rsidRPr="006715A4">
              <w:t>)</w:t>
            </w:r>
            <w:r>
              <w:t>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Строгий учет вакцины.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 xml:space="preserve">Взять пинцетом со стерильного стола салфетку и выпустить в нее воздух из шприца (сбросить салфетку в емкость с </w:t>
            </w:r>
            <w:proofErr w:type="spellStart"/>
            <w:r w:rsidRPr="006715A4">
              <w:t>дезраствором</w:t>
            </w:r>
            <w:proofErr w:type="spellEnd"/>
            <w:r w:rsidRPr="006715A4">
              <w:t>). Положить шприц внутрь стерильного стола.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Предупреждение попадания вакцины в окружающую среду.</w:t>
            </w:r>
          </w:p>
        </w:tc>
      </w:tr>
      <w:tr w:rsidR="001736E6" w:rsidRPr="006715A4" w:rsidTr="001736E6">
        <w:tc>
          <w:tcPr>
            <w:tcW w:w="9776" w:type="dxa"/>
            <w:gridSpan w:val="2"/>
          </w:tcPr>
          <w:p w:rsidR="001736E6" w:rsidRPr="002E740D" w:rsidRDefault="001736E6" w:rsidP="00064AD2">
            <w:pPr>
              <w:jc w:val="center"/>
              <w:rPr>
                <w:b/>
              </w:rPr>
            </w:pPr>
            <w:r w:rsidRPr="002E740D">
              <w:rPr>
                <w:b/>
              </w:rPr>
              <w:t>Выполнение процедуры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lastRenderedPageBreak/>
              <w:t xml:space="preserve">Обработать </w:t>
            </w:r>
            <w:r>
              <w:t>среднюю треть передней поверхности бедра</w:t>
            </w:r>
            <w:r w:rsidRPr="006715A4">
              <w:t xml:space="preserve"> 2-мя шариками, смоченными 70% этиловым спиртом.</w:t>
            </w:r>
          </w:p>
          <w:p w:rsidR="001736E6" w:rsidRPr="006715A4" w:rsidRDefault="001736E6" w:rsidP="00064AD2">
            <w:r w:rsidRPr="006715A4">
              <w:t>Ввести вакцину внутримышечно.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Выполнение процедуры.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Извлечь иглу. Обработать место инъекции третьим шариком, смоченным 70% спиртом.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 xml:space="preserve">Профилактика развития </w:t>
            </w:r>
            <w:proofErr w:type="spellStart"/>
            <w:r w:rsidRPr="006715A4">
              <w:t>постъинъекционного</w:t>
            </w:r>
            <w:proofErr w:type="spellEnd"/>
            <w:r w:rsidRPr="006715A4">
              <w:t xml:space="preserve"> абсцесса.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 xml:space="preserve">Использованные шарики и шприц (предварительно промытый дезинфицирующим средством) сбросить в лоток с </w:t>
            </w:r>
            <w:proofErr w:type="spellStart"/>
            <w:r w:rsidRPr="006715A4">
              <w:t>дезраствором</w:t>
            </w:r>
            <w:proofErr w:type="spellEnd"/>
            <w:r w:rsidRPr="006715A4">
              <w:t>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Предотвращение заражения окружающей среды.</w:t>
            </w:r>
          </w:p>
        </w:tc>
      </w:tr>
      <w:tr w:rsidR="001736E6" w:rsidRPr="006715A4" w:rsidTr="001736E6">
        <w:tc>
          <w:tcPr>
            <w:tcW w:w="9776" w:type="dxa"/>
            <w:gridSpan w:val="2"/>
          </w:tcPr>
          <w:p w:rsidR="001736E6" w:rsidRPr="002E740D" w:rsidRDefault="001736E6" w:rsidP="00064AD2">
            <w:pPr>
              <w:jc w:val="center"/>
              <w:rPr>
                <w:b/>
              </w:rPr>
            </w:pPr>
            <w:r w:rsidRPr="002E740D">
              <w:rPr>
                <w:b/>
              </w:rPr>
              <w:t>Завершение процедуры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 xml:space="preserve">Снять перчатки и сбросить их в </w:t>
            </w:r>
            <w:proofErr w:type="spellStart"/>
            <w:r w:rsidRPr="006715A4">
              <w:t>дезраствор</w:t>
            </w:r>
            <w:proofErr w:type="spellEnd"/>
            <w:r w:rsidRPr="006715A4">
              <w:t>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Все</w:t>
            </w:r>
            <w:r>
              <w:t>,</w:t>
            </w:r>
            <w:r w:rsidRPr="006715A4">
              <w:t xml:space="preserve"> что касалось вакцины</w:t>
            </w:r>
            <w:r>
              <w:t>,</w:t>
            </w:r>
            <w:r w:rsidRPr="006715A4">
              <w:t xml:space="preserve"> до</w:t>
            </w:r>
            <w:r>
              <w:t>лжно быть обеззаражено</w:t>
            </w:r>
            <w:r w:rsidRPr="006715A4">
              <w:t>.</w:t>
            </w:r>
          </w:p>
        </w:tc>
      </w:tr>
      <w:tr w:rsidR="001736E6" w:rsidRPr="006715A4" w:rsidTr="001736E6">
        <w:tc>
          <w:tcPr>
            <w:tcW w:w="4815" w:type="dxa"/>
          </w:tcPr>
          <w:p w:rsidR="001736E6" w:rsidRPr="006715A4" w:rsidRDefault="001736E6" w:rsidP="00064AD2">
            <w:r w:rsidRPr="006715A4">
              <w:t>Организовать выполнение п. 6-7 принципов иммунопрофилактики.</w:t>
            </w:r>
          </w:p>
        </w:tc>
        <w:tc>
          <w:tcPr>
            <w:tcW w:w="4961" w:type="dxa"/>
          </w:tcPr>
          <w:p w:rsidR="001736E6" w:rsidRPr="006715A4" w:rsidRDefault="001736E6" w:rsidP="00064AD2">
            <w:r w:rsidRPr="006715A4">
              <w:t>Четкая регистрация введенной вакцины. Учет поствакцинальных осложнений.</w:t>
            </w:r>
          </w:p>
        </w:tc>
      </w:tr>
    </w:tbl>
    <w:p w:rsidR="001736E6" w:rsidRDefault="001736E6" w:rsidP="001736E6"/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1736E6" w:rsidRDefault="001736E6" w:rsidP="001736E6">
      <w:pPr>
        <w:jc w:val="center"/>
        <w:rPr>
          <w:b/>
          <w:sz w:val="28"/>
        </w:rPr>
      </w:pPr>
    </w:p>
    <w:p w:rsidR="002F1EB0" w:rsidRDefault="001736E6" w:rsidP="001736E6">
      <w:pPr>
        <w:ind w:left="-567"/>
      </w:pPr>
    </w:p>
    <w:sectPr w:rsidR="002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6"/>
    <w:rsid w:val="001736E6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276F-EC38-417E-84AE-8FA38F1C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2021-10-01T09:31:00Z</dcterms:created>
  <dcterms:modified xsi:type="dcterms:W3CDTF">2021-10-01T09:35:00Z</dcterms:modified>
</cp:coreProperties>
</file>