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CB" w:rsidRPr="00F713F2" w:rsidRDefault="000B3E04" w:rsidP="00F713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13F2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№ 6 </w:t>
      </w:r>
      <w:r w:rsidR="007A76CB" w:rsidRPr="00F713F2">
        <w:rPr>
          <w:rFonts w:ascii="Times New Roman" w:eastAsia="Times New Roman" w:hAnsi="Times New Roman" w:cs="Times New Roman"/>
          <w:bCs/>
          <w:sz w:val="28"/>
          <w:szCs w:val="28"/>
        </w:rPr>
        <w:t xml:space="preserve">.Биологически-активные добавки. Анализ ассортимента. Хранение. Реализация. </w:t>
      </w:r>
      <w:r w:rsidR="007A76CB" w:rsidRPr="00F713F2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качество.</w:t>
      </w:r>
    </w:p>
    <w:p w:rsidR="007A76CB" w:rsidRPr="00F713F2" w:rsidRDefault="007A76CB" w:rsidP="00F713F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6F9" w:rsidRPr="00F713F2" w:rsidRDefault="00441B63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БАД – это композиции натуральных или идентичных 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>натуральным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биологически  активных веществ, предназначенных для непосредственного приема с пищей или введения в состав пищевых продуктов с целью обогащения рациона отдельными пищевыми БАД из растительного, животного или минерального сырья, а также химическими или биологически активными веществами и их комплексами.</w:t>
      </w:r>
    </w:p>
    <w:p w:rsidR="00441B63" w:rsidRPr="00F713F2" w:rsidRDefault="00441B63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1. Классификация БАД. </w:t>
      </w:r>
    </w:p>
    <w:p w:rsidR="00441B63" w:rsidRPr="00F713F2" w:rsidRDefault="00441B63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Нутрицевтики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– это биологически активные добавки к пище, применяемые для коррекции химического состава пищи человека. Они содержат незаменимые пищевые вещества: витамины,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полинасыщенные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жирные кислоты, макро- и микроэлементы, пищевые волокна, другие пищевые вещества. </w:t>
      </w:r>
    </w:p>
    <w:p w:rsidR="00441B63" w:rsidRPr="00F713F2" w:rsidRDefault="00441B63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Нутрицевтики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восполняют дефицит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эссенциальных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пищевых веществ, улучшают обмен веществ, укрепляют иммунитет, способствуют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адаптогенному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эффекту к неблагоприятным факторам внешней среды. </w:t>
      </w:r>
    </w:p>
    <w:p w:rsidR="00441B63" w:rsidRPr="00F713F2" w:rsidRDefault="00441B63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Парафармацевтики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– это биологически активные добавки к пище, применяемые для профилактики, вспомогательной терапии и поддержки в физиологических границах функциональной активности органов и систем. </w:t>
      </w:r>
    </w:p>
    <w:p w:rsidR="00441B63" w:rsidRPr="00F713F2" w:rsidRDefault="00441B63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Парафармацевтики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– содержат компоненты растительного, животного, минерального или другого происхождения, способные оказывать регулирующие влияние на функции отдельных органов и систем организма человека (органические кислоты, гликозиды, алкалоиды, дубильные вещества,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биофлавоноиды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41B63" w:rsidRPr="00F713F2" w:rsidRDefault="00441B63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13F2">
        <w:rPr>
          <w:rFonts w:ascii="Times New Roman" w:hAnsi="Times New Roman" w:cs="Times New Roman"/>
          <w:sz w:val="28"/>
          <w:szCs w:val="28"/>
        </w:rPr>
        <w:t>Эубиотики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>:</w:t>
      </w:r>
    </w:p>
    <w:p w:rsidR="00441B63" w:rsidRPr="00F713F2" w:rsidRDefault="00441B63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</w:p>
    <w:p w:rsidR="00441B63" w:rsidRPr="00F713F2" w:rsidRDefault="00441B63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</w:p>
    <w:p w:rsidR="00365169" w:rsidRPr="00F713F2" w:rsidRDefault="00365169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13F2">
        <w:rPr>
          <w:rFonts w:ascii="Times New Roman" w:hAnsi="Times New Roman" w:cs="Times New Roman"/>
          <w:sz w:val="28"/>
          <w:szCs w:val="28"/>
        </w:rPr>
        <w:t>Эубиотики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— биологически активные добавки к пище, в состав которых входят живые микроорганизмы и (или) их метаболиты, оказывающие нормализующее воздействие на состав и биологическую активность микрофлоры и моторику пищеварительного тракта;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эубиотики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включают в себя и субстрат, способствующий росту дружественной флоры, но не усваиваемый человеческим организмом.</w:t>
      </w:r>
    </w:p>
    <w:p w:rsidR="00441B63" w:rsidRPr="00F713F2" w:rsidRDefault="00441B63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Пробиотик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65169"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Pr="00F713F2">
        <w:rPr>
          <w:rFonts w:ascii="Times New Roman" w:hAnsi="Times New Roman" w:cs="Times New Roman"/>
          <w:sz w:val="28"/>
          <w:szCs w:val="28"/>
        </w:rPr>
        <w:t xml:space="preserve">БАД, содержащее живые или ослабленные микроорганизмы нормальной микрофлоры т. е. лакто и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бифидобактерии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. Могут 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продукты жизнедеятельности. Применяются с целью восстановления микробного баланса организма.</w:t>
      </w:r>
    </w:p>
    <w:p w:rsidR="00365169" w:rsidRPr="00F713F2" w:rsidRDefault="00365169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Пребиотик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это вещества растительного происхождения(клетчатка,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пще</w:t>
      </w:r>
      <w:r w:rsidR="001D1507" w:rsidRPr="00F713F2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="001D1507" w:rsidRPr="00F713F2">
        <w:rPr>
          <w:rFonts w:ascii="Times New Roman" w:hAnsi="Times New Roman" w:cs="Times New Roman"/>
          <w:sz w:val="28"/>
          <w:szCs w:val="28"/>
        </w:rPr>
        <w:t xml:space="preserve"> волокна) которые способствую</w:t>
      </w:r>
      <w:r w:rsidRPr="00F713F2">
        <w:rPr>
          <w:rFonts w:ascii="Times New Roman" w:hAnsi="Times New Roman" w:cs="Times New Roman"/>
          <w:sz w:val="28"/>
          <w:szCs w:val="28"/>
        </w:rPr>
        <w:t>т развитию и жизнедеятельности нормальной микрофлоры.</w:t>
      </w:r>
    </w:p>
    <w:p w:rsidR="003104D0" w:rsidRPr="00F713F2" w:rsidRDefault="00981907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13F2">
        <w:rPr>
          <w:rFonts w:ascii="Times New Roman" w:hAnsi="Times New Roman" w:cs="Times New Roman"/>
          <w:sz w:val="28"/>
          <w:szCs w:val="28"/>
        </w:rPr>
        <w:t>Симбиотики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синбиотики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>) – комбинированные препараты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включающие в себя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>.</w:t>
      </w:r>
    </w:p>
    <w:p w:rsidR="00286DDB" w:rsidRPr="00F713F2" w:rsidRDefault="00286DDB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Требования к упаковке БАД и информации, нанесенной на этикетку в соответствии с Санитарно-эпидемиологические правила и нормативы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2.3.2.1290-03: </w:t>
      </w:r>
    </w:p>
    <w:p w:rsidR="00286DDB" w:rsidRPr="00F713F2" w:rsidRDefault="00286DDB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1. Упаковка БАД должна обеспечивать сохранность и обеспечивать качество БАД на всех этапах оборота. </w:t>
      </w:r>
    </w:p>
    <w:p w:rsidR="00286DDB" w:rsidRPr="00F713F2" w:rsidRDefault="00286DDB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2. При упаковке БАД должны использоваться материалы, разрешенные для использования в установленном порядке для контакта с пищевыми продуктами или лекарственными средствами. </w:t>
      </w:r>
    </w:p>
    <w:p w:rsidR="00286DDB" w:rsidRPr="00F713F2" w:rsidRDefault="00286DDB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lastRenderedPageBreak/>
        <w:t xml:space="preserve">3. Требования к информации, нанесенной на этикетку БАД, устанавливаются в соответствии с действующими законодательными и нормативными документами, регламентирующими вынесение на этикетку информации для потребителя. </w:t>
      </w:r>
    </w:p>
    <w:p w:rsidR="00114422" w:rsidRPr="00F713F2" w:rsidRDefault="00286DDB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4. Информация о БАД должна содержать:</w:t>
      </w:r>
    </w:p>
    <w:p w:rsidR="00114422" w:rsidRPr="00F713F2" w:rsidRDefault="00286DDB" w:rsidP="00F713F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наименования БАД, и в частности: </w:t>
      </w:r>
    </w:p>
    <w:p w:rsidR="00114422" w:rsidRPr="00F713F2" w:rsidRDefault="00286DDB" w:rsidP="00F713F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товарный знак изготовителя (при наличии); </w:t>
      </w:r>
    </w:p>
    <w:p w:rsidR="00114422" w:rsidRPr="00F713F2" w:rsidRDefault="00286DDB" w:rsidP="00F713F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обозначения нормативной или технической документации, обязательным требованиям которых должны соответствовать БАД (для БАД отечественного производства и стран СНГ); </w:t>
      </w:r>
    </w:p>
    <w:p w:rsidR="00114422" w:rsidRPr="00F713F2" w:rsidRDefault="00286DDB" w:rsidP="00F713F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состав БАД, с указанием ингредиентного состава в порядке, соответствующем их убыванию в весовом или процентном выражении; </w:t>
      </w:r>
    </w:p>
    <w:p w:rsidR="00114422" w:rsidRPr="00F713F2" w:rsidRDefault="00286DDB" w:rsidP="00F713F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сведения об основных потребительских свойствах БАД;</w:t>
      </w:r>
    </w:p>
    <w:p w:rsidR="00114422" w:rsidRPr="00F713F2" w:rsidRDefault="00286DDB" w:rsidP="00F713F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сведения о весе или объеме БАД в единице потребительской упаковки и весе или объеме единицы продукта; </w:t>
      </w:r>
    </w:p>
    <w:p w:rsidR="00114422" w:rsidRPr="00F713F2" w:rsidRDefault="00286DDB" w:rsidP="00F713F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сведения о противопоказаниях для применения пр</w:t>
      </w:r>
      <w:r w:rsidR="001D1507" w:rsidRPr="00F713F2">
        <w:rPr>
          <w:rFonts w:ascii="Times New Roman" w:hAnsi="Times New Roman" w:cs="Times New Roman"/>
          <w:sz w:val="28"/>
          <w:szCs w:val="28"/>
        </w:rPr>
        <w:t xml:space="preserve">и отдельных видах заболеваний; </w:t>
      </w:r>
      <w:r w:rsidRPr="00F713F2">
        <w:rPr>
          <w:rFonts w:ascii="Times New Roman" w:hAnsi="Times New Roman" w:cs="Times New Roman"/>
          <w:sz w:val="28"/>
          <w:szCs w:val="28"/>
        </w:rPr>
        <w:t xml:space="preserve">указание, что БАД не является лекарством; </w:t>
      </w:r>
    </w:p>
    <w:p w:rsidR="00114422" w:rsidRPr="00F713F2" w:rsidRDefault="00286DDB" w:rsidP="00F713F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дата изготовления, гарантийный срок годности или дата конечного срока реализации продукции; </w:t>
      </w:r>
    </w:p>
    <w:p w:rsidR="00114422" w:rsidRPr="00F713F2" w:rsidRDefault="00286DDB" w:rsidP="00F713F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условия хранения;</w:t>
      </w:r>
    </w:p>
    <w:p w:rsidR="00114422" w:rsidRPr="00F713F2" w:rsidRDefault="00286DDB" w:rsidP="00F713F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информация о государственной регистрации БАД с указанием номера и даты; </w:t>
      </w:r>
    </w:p>
    <w:p w:rsidR="00286DDB" w:rsidRPr="00F713F2" w:rsidRDefault="00286DDB" w:rsidP="00F713F2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место нахождения, наименование изготовителя (продавца) и место нахождения и телефон организации, уполномоченной изготовителем (продавцом) на принятие претензий от потребителей. </w:t>
      </w:r>
    </w:p>
    <w:p w:rsidR="00286DDB" w:rsidRPr="00F713F2" w:rsidRDefault="00286DDB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5. Информация, предусмотренная настоящей статьей, доводится до сведения потребителей в любой доступной для прочтения потребителем форме.</w:t>
      </w:r>
    </w:p>
    <w:p w:rsidR="00981907" w:rsidRPr="00F713F2" w:rsidRDefault="00286DDB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lastRenderedPageBreak/>
        <w:t xml:space="preserve"> 6. Использование термина «экологически чистый продукт» в названии и при нанесении информации на этикетку БАД, а также использование иных терминов, не имеющих законодательного и научного обоснования, не допускается.</w:t>
      </w:r>
    </w:p>
    <w:p w:rsidR="00146302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Технический регламент ТС «О безопасности упаковки» 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ТС 005/2011 (в ред. от 17.12.2012), принят Решением Комиссии ТС N 769 от 16.08.2011 г вступил в силу с 01.07.2012</w:t>
      </w:r>
    </w:p>
    <w:p w:rsidR="000B3E04" w:rsidRPr="00F713F2" w:rsidRDefault="00C5447C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1504315</wp:posOffset>
            </wp:positionV>
            <wp:extent cx="2407920" cy="1268730"/>
            <wp:effectExtent l="19050" t="0" r="0" b="0"/>
            <wp:wrapTight wrapText="bothSides">
              <wp:wrapPolygon edited="0">
                <wp:start x="-171" y="0"/>
                <wp:lineTo x="-171" y="21405"/>
                <wp:lineTo x="21532" y="21405"/>
                <wp:lineTo x="21532" y="0"/>
                <wp:lineTo x="-171" y="0"/>
              </wp:wrapPolygon>
            </wp:wrapTight>
            <wp:docPr id="4" name="Рисунок 4" descr="http://www.gigiena-saratov.ru/s/212/storage/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igiena-saratov.ru/s/212/storage/12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302" w:rsidRPr="00F713F2">
        <w:rPr>
          <w:rFonts w:ascii="Times New Roman" w:hAnsi="Times New Roman" w:cs="Times New Roman"/>
          <w:sz w:val="28"/>
          <w:szCs w:val="28"/>
        </w:rPr>
        <w:t xml:space="preserve"> Маркировка упаковки (укупорочных средств) должна содержать:</w:t>
      </w:r>
    </w:p>
    <w:p w:rsidR="000B3E04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 • цифровое обозначение и (или) буквенное обозначение (аббревиатуру) материала, из которого изготавливается упаковка (укупорочные средства), в соответствии с приложением 3 к TP ТС 005/2011 </w:t>
      </w:r>
    </w:p>
    <w:p w:rsidR="00146302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• пиктограммы и символы в соответствии с приложением 4 к TP ТС 005/2011</w:t>
      </w:r>
    </w:p>
    <w:p w:rsidR="00146302" w:rsidRPr="00F713F2" w:rsidRDefault="00C5447C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18415</wp:posOffset>
            </wp:positionV>
            <wp:extent cx="1659255" cy="1487170"/>
            <wp:effectExtent l="19050" t="0" r="0" b="0"/>
            <wp:wrapTight wrapText="bothSides">
              <wp:wrapPolygon edited="0">
                <wp:start x="-248" y="0"/>
                <wp:lineTo x="-248" y="21305"/>
                <wp:lineTo x="21575" y="21305"/>
                <wp:lineTo x="21575" y="0"/>
                <wp:lineTo x="-248" y="0"/>
              </wp:wrapPolygon>
            </wp:wrapTight>
            <wp:docPr id="1" name="Рисунок 1" descr="https://mooml.com/upload/medialibrary/e67/ts9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oml.com/upload/medialibrary/e67/ts9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302" w:rsidRPr="00F713F2" w:rsidRDefault="00146302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6302" w:rsidRPr="00F713F2" w:rsidRDefault="00146302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6302" w:rsidRPr="00F713F2" w:rsidRDefault="000022FB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62.2pt;margin-top:6.45pt;width:246.1pt;height:52.15pt;z-index:251660288">
            <v:textbox>
              <w:txbxContent>
                <w:p w:rsidR="00146302" w:rsidRPr="00146302" w:rsidRDefault="00146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возможность утилизации использованной упаковки (укупорочных средств) - петля Мебиуса</w:t>
                  </w:r>
                </w:p>
              </w:txbxContent>
            </v:textbox>
          </v:rect>
        </w:pict>
      </w:r>
    </w:p>
    <w:p w:rsidR="00146302" w:rsidRPr="00F713F2" w:rsidRDefault="00146302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6302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Требования по хранению БАД Постановление Главного государственного санитарного врача РФ от 17.04.2003 г. N 50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2.3.2.1290-03 </w:t>
      </w:r>
    </w:p>
    <w:p w:rsidR="00146302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Требования к хранению БАД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="00C5447C" w:rsidRPr="00F713F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6302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1. Организации, занимающиеся хранением БАД, должны быть оснащены в зависимости от ассортимента:</w:t>
      </w:r>
    </w:p>
    <w:p w:rsidR="00146302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 - стеллажами, поддонами, подтоварниками, шкафами для хранения БАД; </w:t>
      </w:r>
    </w:p>
    <w:p w:rsidR="00146302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- холодильными камерами (шкафами) для хранения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термолабильных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БАД;</w:t>
      </w:r>
    </w:p>
    <w:p w:rsidR="00146302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 - средствами механизации для погрузочно-разгрузочных работ (при необходимости);</w:t>
      </w:r>
    </w:p>
    <w:p w:rsidR="00146302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lastRenderedPageBreak/>
        <w:t xml:space="preserve"> - приборами для регистрации параметров воздуха (термометры, психрометры, гигрометры). Термометры, гигрометры или психрометры размещаются вдали от нагревательных приборов на высоте 1,5 - 1,7 м от пола и на расстоянии не менее 3 м от двери. Показатели этих приборов ежедневно 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>регистрируются в специальном журнале Контролирующие приборы должны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проходить метрологическую поверку в установленные сроки. </w:t>
      </w:r>
    </w:p>
    <w:p w:rsidR="00146302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2. Каждое наименование и каждая партия (серия) БАД хранятся на отдельных поддонах. На стеллажах, шкафах, полках прикрепляется стеллажная карта с указанием наименования БАД, партии (серии), срока годности, количества единиц хранения.</w:t>
      </w:r>
    </w:p>
    <w:p w:rsidR="00146302" w:rsidRPr="00F713F2" w:rsidRDefault="00C5447C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="00146302" w:rsidRPr="00F713F2">
        <w:rPr>
          <w:rFonts w:ascii="Times New Roman" w:hAnsi="Times New Roman" w:cs="Times New Roman"/>
          <w:sz w:val="28"/>
          <w:szCs w:val="28"/>
        </w:rPr>
        <w:t>3. БАД следует хранить с учетом их физико-химических свой</w:t>
      </w:r>
      <w:proofErr w:type="gramStart"/>
      <w:r w:rsidR="00146302" w:rsidRPr="00F713F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146302" w:rsidRPr="00F713F2">
        <w:rPr>
          <w:rFonts w:ascii="Times New Roman" w:hAnsi="Times New Roman" w:cs="Times New Roman"/>
          <w:sz w:val="28"/>
          <w:szCs w:val="28"/>
        </w:rPr>
        <w:t xml:space="preserve">и условиях, указанных производителем, соблюдая режимы температуры, влажности и освещенности. </w:t>
      </w:r>
    </w:p>
    <w:p w:rsidR="00146302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Требования по отпуску пищевой продукции</w:t>
      </w:r>
      <w:r w:rsidR="000B3E04" w:rsidRPr="00F713F2">
        <w:rPr>
          <w:rFonts w:ascii="Times New Roman" w:hAnsi="Times New Roman" w:cs="Times New Roman"/>
          <w:sz w:val="28"/>
          <w:szCs w:val="28"/>
        </w:rPr>
        <w:t>:</w:t>
      </w:r>
      <w:r w:rsidRPr="00F71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302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 При реализации пищевой продукции должны соблюдаться условия хранения и сроки годности такой продукции, установленные ее изготовителем (ст. 17 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ТС 021/2011) . </w:t>
      </w:r>
    </w:p>
    <w:p w:rsidR="00146302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 (ст. 20 закона № 29-ФЗ «О качестве и безопасности пищевых продуктов»)  </w:t>
      </w:r>
    </w:p>
    <w:p w:rsidR="00146302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Не допускается розничная продажа продовольственных товаров вне стационарных мест торговли: на дому, по месту работы и учебы, на транспорте, на улице и в иных местах (далее именуется - разносная торговля) (п. 4 Постановления Правительства РФ от 19.01.1998 г. № 55) </w:t>
      </w:r>
      <w:r w:rsidRPr="00F713F2">
        <w:rPr>
          <w:rFonts w:ascii="Times New Roman" w:hAnsi="Times New Roman" w:cs="Times New Roman"/>
          <w:sz w:val="28"/>
          <w:szCs w:val="28"/>
        </w:rPr>
        <w:sym w:font="Symbol" w:char="F075"/>
      </w:r>
      <w:r w:rsidRPr="00F71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47C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Предоставление необходимой и достоверной информации покупателю, в том числе сведения об обязательном подтверждении соответствия, о цене, сведения о государственной регистрации, сведения о назначении, условиях и области применения, а также о противопоказаниях для употребления в пищу при отдельных видах заболеваний (для товаров, информация о которых должна </w:t>
      </w:r>
      <w:r w:rsidRPr="00F713F2">
        <w:rPr>
          <w:rFonts w:ascii="Times New Roman" w:hAnsi="Times New Roman" w:cs="Times New Roman"/>
          <w:sz w:val="28"/>
          <w:szCs w:val="28"/>
        </w:rPr>
        <w:lastRenderedPageBreak/>
        <w:t xml:space="preserve">содержать эти сведения) (пункты 11, 12, 32 Постановления Правительства РФ от 19.01.1998 г. № 55) </w:t>
      </w:r>
      <w:proofErr w:type="gramEnd"/>
    </w:p>
    <w:p w:rsidR="00C5447C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В случае если осуществляется реализация пищевой продукции, не упакованной в потребительскую упаковку, или часть информации о которой размещена на листках-вкладышах, прилагаемых к упаковке, продавец обязан довести информацию о такой продукции до потребителя (ст. 17 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ТС 021/2011): </w:t>
      </w:r>
    </w:p>
    <w:p w:rsidR="00C5447C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• состав пищевой продукции;</w:t>
      </w:r>
    </w:p>
    <w:p w:rsidR="00C5447C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 • количество пищевой продукции; </w:t>
      </w:r>
    </w:p>
    <w:p w:rsidR="00C5447C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• наименование и место нахождения изготовителя пищевой продукции или ФИО и место нахождения индивидуального предпринимателя - изготовителя пищевой продукции, а также в случаях, установленных настоящим 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ТС, наименование и место нахождения уполномоченного изготовителем лица…; </w:t>
      </w:r>
    </w:p>
    <w:p w:rsidR="00C5447C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• рекомендации и (или) ограничения по использованию; </w:t>
      </w:r>
    </w:p>
    <w:p w:rsidR="00C5447C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• показатели пищевой ценности пищевой продукции;</w:t>
      </w:r>
    </w:p>
    <w:p w:rsidR="00C5447C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 • сведения о наличии в пищевой продукции компонентов, полученных с применением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генно-модифицированных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организмов (ГМО). </w:t>
      </w:r>
    </w:p>
    <w:p w:rsidR="00146302" w:rsidRPr="00F713F2" w:rsidRDefault="00146302" w:rsidP="00F71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• единый знак обращения продукции на рынке государств - членов Таможенного союза.</w:t>
      </w:r>
    </w:p>
    <w:p w:rsidR="00146302" w:rsidRPr="00F713F2" w:rsidRDefault="00146302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0C98" w:rsidRPr="00F713F2" w:rsidRDefault="00520C9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Глицин  – биологически активная добавка (БАД) к пище, источник веществ, обладающих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антиоксидантным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нейропротективным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нейрометаболическим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действием. </w:t>
      </w:r>
      <w:r w:rsidR="00B35B30" w:rsidRPr="00F713F2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="00B35B30" w:rsidRPr="00F713F2">
        <w:rPr>
          <w:rFonts w:ascii="Times New Roman" w:hAnsi="Times New Roman" w:cs="Times New Roman"/>
          <w:sz w:val="28"/>
          <w:szCs w:val="28"/>
        </w:rPr>
        <w:t>парафармацевтика</w:t>
      </w:r>
      <w:proofErr w:type="spellEnd"/>
      <w:r w:rsidR="00B35B30" w:rsidRPr="00F713F2">
        <w:rPr>
          <w:rFonts w:ascii="Times New Roman" w:hAnsi="Times New Roman" w:cs="Times New Roman"/>
          <w:sz w:val="28"/>
          <w:szCs w:val="28"/>
        </w:rPr>
        <w:t>.</w:t>
      </w:r>
    </w:p>
    <w:p w:rsidR="00520C98" w:rsidRPr="00F713F2" w:rsidRDefault="00520C9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Форма выпуска и состав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20C98" w:rsidRPr="00F713F2" w:rsidRDefault="00520C9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Лекарственная форма – таблетки: белого цвета (в блистере 50 шт., в картонной коробке 1 блистер). Активное вещество в составе таблетки массой 100 мг – глицин. </w:t>
      </w:r>
    </w:p>
    <w:p w:rsidR="00520C98" w:rsidRPr="00F713F2" w:rsidRDefault="00520C9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lastRenderedPageBreak/>
        <w:t xml:space="preserve">Фармакологические свойства,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Фармакодинамика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>:</w:t>
      </w:r>
    </w:p>
    <w:p w:rsidR="00520C98" w:rsidRPr="00F713F2" w:rsidRDefault="00520C9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 Являясь регулятором обмена веществ, глицин способствует активизации и нормализации происходящих в центральной нервной системе процессов защитного торможения. Средство оказывает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глицинергическое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ГАМКергическое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, α1-адреноблокирующее,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антиоксидантное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и антитоксическое действие. 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За счет регулирования деятельности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ионотропных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рецепторов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глутамата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(NMDA) Глицин актив уменьшает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напряжение, конфликтность, агрессивность, повышает социальную адаптацию, улучшает настроение, облегчает засыпание и нормализует сон, повышает умственную работоспособность, уменьшает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вегетососудистые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расстройства (в климактерическом периоде в том числе), снижает выраженность мозговых нарушений при черепно-мозговых травмах и ишемическом инсульте, подавляет токсическое действие алкоголя и лекарственных средств, способных угнетать функцию центральной нервной системы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C98" w:rsidRPr="00F713F2" w:rsidRDefault="00520C9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13F2">
        <w:rPr>
          <w:rFonts w:ascii="Times New Roman" w:hAnsi="Times New Roman" w:cs="Times New Roman"/>
          <w:sz w:val="28"/>
          <w:szCs w:val="28"/>
        </w:rPr>
        <w:t>Фармакокинетика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>:  Глицин обладает свойством легко проникать в биологические жидкости и ткани организма, в том числе в головной мозг. В процессе метаболизма вещества образуются вода и углекислый газ, накопления в тканях не происходит.</w:t>
      </w:r>
    </w:p>
    <w:p w:rsidR="00520C98" w:rsidRPr="00F713F2" w:rsidRDefault="00520C9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Показания к применению: органические и функциональные заболевания нервной системы, сопровождающиеся эмоциональной нестабильностью, повышенной возбудимостью, нарушением сна и снижением умственной работоспособности (невротические расстройства,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неврозоподобные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состояния, последствия черепно-мозговых травм и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нейроинфекций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вегетососудистая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дистония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, различные формы органических поражений головного мозга, в том числе перинатального и алкогольного генеза); сниженная умственная работоспособность;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напряжение (в том числе конфликтные и различные стрессовые ситуации, экзамены);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ишемический инсульт;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поведение детей и подростков. </w:t>
      </w:r>
    </w:p>
    <w:p w:rsidR="00520C98" w:rsidRPr="00F713F2" w:rsidRDefault="00520C9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Противопоказания:  беременность, период лактации; возраст до 3-х лет; повышенная индивидуальная чувствительность к компонентам препарата. </w:t>
      </w:r>
    </w:p>
    <w:p w:rsidR="00520C98" w:rsidRPr="00F713F2" w:rsidRDefault="00520C9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Инструкция по применению Глицина: способ и дозировка Согласно инструкции, Глицин принимают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во время приема пищи. Рекомендуемый режим дозирования: взрослые: по 2 таблетки три раза в сутки; дети от 3 лет: по 1 таблетке три раза в сутки. </w:t>
      </w:r>
    </w:p>
    <w:p w:rsidR="00520C98" w:rsidRPr="00F713F2" w:rsidRDefault="00520C9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Побочные действия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В период приема БАД могут развиваться аллергические реакции. </w:t>
      </w:r>
    </w:p>
    <w:p w:rsidR="00520C98" w:rsidRPr="00F713F2" w:rsidRDefault="00520C9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Передозировка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На данное время информации о передозировке не имеется. </w:t>
      </w:r>
    </w:p>
    <w:p w:rsidR="00520C98" w:rsidRPr="00F713F2" w:rsidRDefault="00520C9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Особые указания:  Перед началом применения глицина следует проконсультироваться со специалистом. Перед применением БАД у детей рекомендуется получить консультацию врача-педиатра. </w:t>
      </w:r>
    </w:p>
    <w:p w:rsidR="00520C98" w:rsidRPr="00F713F2" w:rsidRDefault="00520C9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Применение при беременности и лактации 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ак как безопасность применения Глицина у беременных и кормящих грудью женщин изучена мало, принимать его этой категории пациентов не рекомендуется. </w:t>
      </w:r>
    </w:p>
    <w:p w:rsidR="00520C98" w:rsidRPr="00F713F2" w:rsidRDefault="00520C9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Лекарственное взаимодействие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Взаимодействие БАД с другими лекарственными средствами не изучалось</w:t>
      </w:r>
    </w:p>
    <w:p w:rsidR="00520C98" w:rsidRPr="00F713F2" w:rsidRDefault="00520C9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Сроки и условия хранения -  Хранить в защищенном от света, сухом месте, при температуре не выше 25 °С. Беречь от детей. </w:t>
      </w:r>
    </w:p>
    <w:p w:rsidR="00520C98" w:rsidRPr="00F713F2" w:rsidRDefault="00520C9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Срок хранения – 2 года. </w:t>
      </w:r>
    </w:p>
    <w:p w:rsidR="00520C98" w:rsidRPr="00F713F2" w:rsidRDefault="00520C9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Условия отпуска из аптек - Отпускается без рецепта.</w:t>
      </w:r>
    </w:p>
    <w:p w:rsidR="00A21DA1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Атероклефит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БИО </w:t>
      </w:r>
      <w:r w:rsidR="00903BF9" w:rsidRPr="00F713F2">
        <w:rPr>
          <w:rFonts w:ascii="Times New Roman" w:hAnsi="Times New Roman" w:cs="Times New Roman"/>
          <w:sz w:val="28"/>
          <w:szCs w:val="28"/>
        </w:rPr>
        <w:t>–</w:t>
      </w:r>
      <w:r w:rsidRPr="00F713F2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903BF9" w:rsidRPr="00F713F2">
        <w:rPr>
          <w:rFonts w:ascii="Times New Roman" w:hAnsi="Times New Roman" w:cs="Times New Roman"/>
          <w:sz w:val="28"/>
          <w:szCs w:val="28"/>
        </w:rPr>
        <w:t xml:space="preserve"> парафармацевтика</w:t>
      </w:r>
      <w:r w:rsidRPr="00F713F2">
        <w:rPr>
          <w:rFonts w:ascii="Times New Roman" w:hAnsi="Times New Roman" w:cs="Times New Roman"/>
          <w:sz w:val="28"/>
          <w:szCs w:val="28"/>
        </w:rPr>
        <w:t>.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Состав</w:t>
      </w:r>
      <w:r w:rsidR="004E1E93" w:rsidRPr="00F713F2">
        <w:rPr>
          <w:rFonts w:ascii="Times New Roman" w:hAnsi="Times New Roman" w:cs="Times New Roman"/>
          <w:sz w:val="28"/>
          <w:szCs w:val="28"/>
        </w:rPr>
        <w:t>:</w:t>
      </w:r>
    </w:p>
    <w:p w:rsidR="00A21DA1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13F2">
        <w:rPr>
          <w:rFonts w:ascii="Times New Roman" w:hAnsi="Times New Roman" w:cs="Times New Roman"/>
          <w:sz w:val="28"/>
          <w:szCs w:val="28"/>
        </w:rPr>
        <w:lastRenderedPageBreak/>
        <w:t>Атероклефит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БИО в своем составе имеет витамины (аскорбиновая и никотиновая кислоты), рутин, вещества растительного происхождения: цветки боярышника и экстракт красного клевера.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Форма выпуска</w:t>
      </w:r>
      <w:r w:rsidR="004E1E93" w:rsidRPr="00F713F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Атероклефит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БИО выпускается в виде капсул, капель. Капсулы 250 мг упакованы по 30 и 60 штук. Капли выпускаются в специальных флакончиках с дозатором (30, 50, 100 мл) и применяются внутрь.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Фармакологическое действие</w:t>
      </w:r>
      <w:r w:rsidR="004E1E93" w:rsidRPr="00F713F2">
        <w:rPr>
          <w:rFonts w:ascii="Times New Roman" w:hAnsi="Times New Roman" w:cs="Times New Roman"/>
          <w:sz w:val="28"/>
          <w:szCs w:val="28"/>
        </w:rPr>
        <w:t>: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Комплексное действие биологически активных компонентов направлено на улучшение работы сердца и сосудов, снижение показателя холестерина в организме, профилактику развития атеросклероза и формирования бляшек, которые способны закрывать просвет сосуда. Растительные компоненты потенцируют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холестеринснижающий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эффект никотиновой кислоты. Витамин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в свою очередь укрепляет стенки сосудов.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13F2">
        <w:rPr>
          <w:rFonts w:ascii="Times New Roman" w:hAnsi="Times New Roman" w:cs="Times New Roman"/>
          <w:sz w:val="28"/>
          <w:szCs w:val="28"/>
        </w:rPr>
        <w:t>Фармакодинамика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фармакокинетика</w:t>
      </w:r>
      <w:proofErr w:type="spellEnd"/>
      <w:r w:rsidR="004E1E93" w:rsidRPr="00F713F2">
        <w:rPr>
          <w:rFonts w:ascii="Times New Roman" w:hAnsi="Times New Roman" w:cs="Times New Roman"/>
          <w:sz w:val="28"/>
          <w:szCs w:val="28"/>
        </w:rPr>
        <w:t>: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Оценка невозможна в виду комплексного состава медикамента.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Показания к применению</w:t>
      </w:r>
      <w:r w:rsidR="004E1E93" w:rsidRPr="00F713F2">
        <w:rPr>
          <w:rFonts w:ascii="Times New Roman" w:hAnsi="Times New Roman" w:cs="Times New Roman"/>
          <w:sz w:val="28"/>
          <w:szCs w:val="28"/>
        </w:rPr>
        <w:t>: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Атероклефит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БИО назначают для профилактики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гиперхолестеринемии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>, предупреждения развития бляшек.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Противопоказания</w:t>
      </w:r>
      <w:r w:rsidR="004E1E93" w:rsidRPr="00F713F2">
        <w:rPr>
          <w:rFonts w:ascii="Times New Roman" w:hAnsi="Times New Roman" w:cs="Times New Roman"/>
          <w:sz w:val="28"/>
          <w:szCs w:val="28"/>
        </w:rPr>
        <w:t>: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Индивидуальная гиперчувствительность к аскорбиновой и никотиновой кислотам, рутину, боярышнику и клеверу. Медикамент не назначают при лактации, в период беременности.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Есть противопоказания. Посоветуйтесь с врачом.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Побочные действия</w:t>
      </w:r>
      <w:r w:rsidR="004E1E93" w:rsidRPr="00F713F2">
        <w:rPr>
          <w:rFonts w:ascii="Times New Roman" w:hAnsi="Times New Roman" w:cs="Times New Roman"/>
          <w:sz w:val="28"/>
          <w:szCs w:val="28"/>
        </w:rPr>
        <w:t xml:space="preserve"> - </w:t>
      </w:r>
      <w:r w:rsidRPr="00F713F2">
        <w:rPr>
          <w:rFonts w:ascii="Times New Roman" w:hAnsi="Times New Roman" w:cs="Times New Roman"/>
          <w:sz w:val="28"/>
          <w:szCs w:val="28"/>
        </w:rPr>
        <w:t>Аллергические ответы.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Инструкция по применению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Атероклефит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БИО (Способ и дозировка)</w:t>
      </w:r>
      <w:r w:rsidR="004E1E93" w:rsidRPr="00F713F2">
        <w:rPr>
          <w:rFonts w:ascii="Times New Roman" w:hAnsi="Times New Roman" w:cs="Times New Roman"/>
          <w:sz w:val="28"/>
          <w:szCs w:val="28"/>
        </w:rPr>
        <w:t>: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lastRenderedPageBreak/>
        <w:t xml:space="preserve">Капли принимают 2-3 раза в день по 20-30 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½ 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>стакана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воды. Курс лечения рассчитан на 1 месяц. Возможен повторный курс 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½ месяца. Лечащие врачи рекомендуют обязательно проводить 3-4 курса в год. Дозированные флаконы перед применением нужно взбалтывать.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Капсулы 250 мг принимают по 1 штуке 1-2 раза в день. Длительность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холестеринснижающей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терапии 30 дней.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Передозировка</w:t>
      </w:r>
      <w:r w:rsidR="004E1E93" w:rsidRPr="00F713F2">
        <w:rPr>
          <w:rFonts w:ascii="Times New Roman" w:hAnsi="Times New Roman" w:cs="Times New Roman"/>
          <w:sz w:val="28"/>
          <w:szCs w:val="28"/>
        </w:rPr>
        <w:t xml:space="preserve"> - </w:t>
      </w:r>
      <w:r w:rsidRPr="00F713F2">
        <w:rPr>
          <w:rFonts w:ascii="Times New Roman" w:hAnsi="Times New Roman" w:cs="Times New Roman"/>
          <w:sz w:val="28"/>
          <w:szCs w:val="28"/>
        </w:rPr>
        <w:t>Случаи в медицинской практике не зарегистрированы. Описание подобных случаев в медицинской литературе не встречается.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Взаимодействи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>е</w:t>
      </w:r>
      <w:r w:rsidR="004E1E93" w:rsidRPr="00F713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1E93" w:rsidRPr="00F7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Атероклефит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БИО можно применять совместно со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статинами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и другими кардиологическими препаратами. Клинически важные взаимодействия не зарегистрированы.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Условия продаж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>и</w:t>
      </w:r>
      <w:r w:rsidR="004E1E93" w:rsidRPr="00F713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53D9B"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Pr="00F713F2">
        <w:rPr>
          <w:rFonts w:ascii="Times New Roman" w:hAnsi="Times New Roman" w:cs="Times New Roman"/>
          <w:sz w:val="28"/>
          <w:szCs w:val="28"/>
        </w:rPr>
        <w:t>Врачебный рецептурный бланк предъявлять не обязательно.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Условия хранени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>я</w:t>
      </w:r>
      <w:r w:rsidR="004E1E93" w:rsidRPr="00F713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1E93"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Pr="00F713F2">
        <w:rPr>
          <w:rFonts w:ascii="Times New Roman" w:hAnsi="Times New Roman" w:cs="Times New Roman"/>
          <w:sz w:val="28"/>
          <w:szCs w:val="28"/>
        </w:rPr>
        <w:t>Капсулы и капли хранить в прохладном месте, ограничивая бесконтрольный допуск маленьких детей.</w:t>
      </w:r>
    </w:p>
    <w:p w:rsidR="00672E38" w:rsidRPr="00F713F2" w:rsidRDefault="00672E38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Срок годности</w:t>
      </w:r>
      <w:r w:rsidR="004E1E93" w:rsidRPr="00F713F2">
        <w:rPr>
          <w:rFonts w:ascii="Times New Roman" w:hAnsi="Times New Roman" w:cs="Times New Roman"/>
          <w:sz w:val="28"/>
          <w:szCs w:val="28"/>
        </w:rPr>
        <w:t>-</w:t>
      </w:r>
      <w:r w:rsidRPr="00F713F2">
        <w:rPr>
          <w:rFonts w:ascii="Times New Roman" w:hAnsi="Times New Roman" w:cs="Times New Roman"/>
          <w:sz w:val="28"/>
          <w:szCs w:val="28"/>
        </w:rPr>
        <w:t>2 года (соблюдая температурный режим).</w:t>
      </w:r>
    </w:p>
    <w:p w:rsidR="00672E38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13F2">
        <w:rPr>
          <w:rFonts w:ascii="Times New Roman" w:hAnsi="Times New Roman" w:cs="Times New Roman"/>
          <w:sz w:val="28"/>
          <w:szCs w:val="28"/>
        </w:rPr>
        <w:t>Цинк+витамин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>С</w:t>
      </w:r>
      <w:r w:rsidR="00A91235" w:rsidRPr="00F713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91235"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="00B35B30" w:rsidRPr="00F713F2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spellStart"/>
      <w:r w:rsidR="00B35B30" w:rsidRPr="00F713F2">
        <w:rPr>
          <w:rFonts w:ascii="Times New Roman" w:hAnsi="Times New Roman" w:cs="Times New Roman"/>
          <w:sz w:val="28"/>
          <w:szCs w:val="28"/>
        </w:rPr>
        <w:t>нутрицевтика</w:t>
      </w:r>
      <w:proofErr w:type="spellEnd"/>
      <w:r w:rsidR="00B35B30" w:rsidRPr="00F71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DA1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Форма выпуска и состав</w:t>
      </w:r>
      <w:r w:rsidR="004E1E93" w:rsidRPr="00F713F2">
        <w:rPr>
          <w:rFonts w:ascii="Times New Roman" w:hAnsi="Times New Roman" w:cs="Times New Roman"/>
          <w:sz w:val="28"/>
          <w:szCs w:val="28"/>
        </w:rPr>
        <w:t>:</w:t>
      </w:r>
      <w:r w:rsidRPr="00F71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DA1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Лекарственная форма биодобавки – таблетки по 270 мг (в упаковке 50 шт. и инструкция по применению </w:t>
      </w:r>
      <w:r w:rsidR="004E1E93" w:rsidRPr="00F713F2">
        <w:rPr>
          <w:rFonts w:ascii="Times New Roman" w:hAnsi="Times New Roman" w:cs="Times New Roman"/>
          <w:sz w:val="28"/>
          <w:szCs w:val="28"/>
        </w:rPr>
        <w:t>Цинка + витамин С</w:t>
      </w:r>
      <w:proofErr w:type="gramStart"/>
      <w:r w:rsidR="004E1E93"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Pr="00F713F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>.</w:t>
      </w:r>
    </w:p>
    <w:p w:rsidR="00A21DA1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 Активные вещества в </w:t>
      </w:r>
      <w:r w:rsidR="004E1E93" w:rsidRPr="00F713F2">
        <w:rPr>
          <w:rFonts w:ascii="Times New Roman" w:hAnsi="Times New Roman" w:cs="Times New Roman"/>
          <w:sz w:val="28"/>
          <w:szCs w:val="28"/>
        </w:rPr>
        <w:t>составе Цинка + витамин</w:t>
      </w:r>
      <w:proofErr w:type="gramStart"/>
      <w:r w:rsidR="004E1E93" w:rsidRPr="00F713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E1E93"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Pr="00F713F2">
        <w:rPr>
          <w:rFonts w:ascii="Times New Roman" w:hAnsi="Times New Roman" w:cs="Times New Roman"/>
          <w:sz w:val="28"/>
          <w:szCs w:val="28"/>
        </w:rPr>
        <w:t xml:space="preserve"> (на 1 таблетку): витамин C (аскорбиновая кислота) – не менее 90 мг; цинк (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цинка) – не менее 12 мг. </w:t>
      </w:r>
    </w:p>
    <w:p w:rsidR="00A21DA1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Вспомогательные компоненты: микрокристаллическая целлюлоза,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стеарат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кальция, аморфный диоксид кремния. </w:t>
      </w:r>
    </w:p>
    <w:p w:rsidR="00A21DA1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lastRenderedPageBreak/>
        <w:t>Фармакологические свойства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="004E1E93" w:rsidRPr="00F713F2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Pr="00F713F2">
        <w:rPr>
          <w:rFonts w:ascii="Times New Roman" w:hAnsi="Times New Roman" w:cs="Times New Roman"/>
          <w:sz w:val="28"/>
          <w:szCs w:val="28"/>
        </w:rPr>
        <w:t>Фармакодинамика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="004E1E93" w:rsidRPr="00F713F2">
        <w:rPr>
          <w:rFonts w:ascii="Times New Roman" w:hAnsi="Times New Roman" w:cs="Times New Roman"/>
          <w:sz w:val="28"/>
          <w:szCs w:val="28"/>
        </w:rPr>
        <w:t>:</w:t>
      </w:r>
    </w:p>
    <w:p w:rsidR="00A21DA1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Цинк + витамин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предназначен для укрепления иммунитета в период сезонных эпидемий гриппа и прочих ОРВИ (острых респираторных вирусных инфекций). Доказана тесная взаимосвязь между достаточным содержанием в организме витамина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и цинка и активностью иммунной системы. </w:t>
      </w:r>
    </w:p>
    <w:p w:rsidR="00A21DA1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Применение</w:t>
      </w:r>
      <w:r w:rsidR="004E1E93" w:rsidRPr="00F713F2">
        <w:rPr>
          <w:rFonts w:ascii="Times New Roman" w:hAnsi="Times New Roman" w:cs="Times New Roman"/>
          <w:sz w:val="28"/>
          <w:szCs w:val="28"/>
        </w:rPr>
        <w:t>:</w:t>
      </w:r>
      <w:r w:rsidRPr="00F713F2">
        <w:rPr>
          <w:rFonts w:ascii="Times New Roman" w:hAnsi="Times New Roman" w:cs="Times New Roman"/>
          <w:sz w:val="28"/>
          <w:szCs w:val="28"/>
        </w:rPr>
        <w:t xml:space="preserve"> 1 таблетки БАД обеспечивает поступление в организм активных веществ: витамин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: примерно 150% необходимой суточной нормы; цинк: примерно 80% необходимой суточной нормы; компонент представлен в виде </w:t>
      </w:r>
      <w:proofErr w:type="spellStart"/>
      <w:r w:rsidRPr="00F713F2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F713F2">
        <w:rPr>
          <w:rFonts w:ascii="Times New Roman" w:hAnsi="Times New Roman" w:cs="Times New Roman"/>
          <w:sz w:val="28"/>
          <w:szCs w:val="28"/>
        </w:rPr>
        <w:t xml:space="preserve"> цинка (легко усваиваемой, органической формы). Принимать БАД целесообразно на протяжении всего эпидемиологического периода. Ежедневный длительный прием данной биодобавки способствует укреплению иммунитета и является профилактикой сезонных простудных заболеваний. </w:t>
      </w:r>
    </w:p>
    <w:p w:rsidR="00A21DA1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Показания к применению Цинк + вита</w:t>
      </w:r>
      <w:r w:rsidR="004E1E93" w:rsidRPr="00F713F2">
        <w:rPr>
          <w:rFonts w:ascii="Times New Roman" w:hAnsi="Times New Roman" w:cs="Times New Roman"/>
          <w:sz w:val="28"/>
          <w:szCs w:val="28"/>
        </w:rPr>
        <w:t>мин С</w:t>
      </w:r>
      <w:proofErr w:type="gramStart"/>
      <w:r w:rsidR="004E1E93"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="004E1E93" w:rsidRPr="00F713F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21DA1" w:rsidRPr="00F713F2" w:rsidRDefault="004E1E93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-</w:t>
      </w:r>
      <w:r w:rsidR="00A21DA1" w:rsidRPr="00F713F2">
        <w:rPr>
          <w:rFonts w:ascii="Times New Roman" w:hAnsi="Times New Roman" w:cs="Times New Roman"/>
          <w:sz w:val="28"/>
          <w:szCs w:val="28"/>
        </w:rPr>
        <w:t>рекомендуется применять в период сезонных простудных заболеваний в качестве дополнительного источника витамина</w:t>
      </w:r>
      <w:proofErr w:type="gramStart"/>
      <w:r w:rsidR="00A21DA1" w:rsidRPr="00F713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21DA1" w:rsidRPr="00F713F2">
        <w:rPr>
          <w:rFonts w:ascii="Times New Roman" w:hAnsi="Times New Roman" w:cs="Times New Roman"/>
          <w:sz w:val="28"/>
          <w:szCs w:val="28"/>
        </w:rPr>
        <w:t xml:space="preserve"> и цинка. </w:t>
      </w:r>
    </w:p>
    <w:p w:rsidR="00A21DA1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Противопоказания беременность и период лактации; наличие индивидуальной непереносимости компонентов в составе Цинка + в</w:t>
      </w:r>
      <w:r w:rsidR="004E1E93" w:rsidRPr="00F713F2">
        <w:rPr>
          <w:rFonts w:ascii="Times New Roman" w:hAnsi="Times New Roman" w:cs="Times New Roman"/>
          <w:sz w:val="28"/>
          <w:szCs w:val="28"/>
        </w:rPr>
        <w:t>итамин С</w:t>
      </w:r>
      <w:proofErr w:type="gramStart"/>
      <w:r w:rsidR="004E1E93"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Pr="00F713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1E93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 Цинк + витамин С, инструкция по применению: способ и дозировка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="004E1E93" w:rsidRPr="00F713F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E1E93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 xml:space="preserve">Таблетки 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для приема внутрь, во время еды. Детям от 14 лет и взрослым рекомендуется принимать по 1 таблетке в день. Длительность применения – не менее 1 месяца. По показаниям прием может быть продолжен. В период сезонных эпидемий гриппа и прочих ОРВИ биодобавку рекомендовано принимать ежедневно. Побочные действия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ет сведений. </w:t>
      </w:r>
    </w:p>
    <w:p w:rsidR="00A21DA1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Передозировк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>а</w:t>
      </w:r>
      <w:r w:rsidR="004E1E93" w:rsidRPr="00F713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Нет сведений. </w:t>
      </w:r>
    </w:p>
    <w:p w:rsidR="00A21DA1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Особые указания Цинк + витамин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713F2">
        <w:rPr>
          <w:rFonts w:ascii="Times New Roman" w:hAnsi="Times New Roman" w:cs="Times New Roman"/>
          <w:sz w:val="28"/>
          <w:szCs w:val="28"/>
        </w:rPr>
        <w:t xml:space="preserve"> не является лекарственным средством. </w:t>
      </w:r>
    </w:p>
    <w:p w:rsidR="00A21DA1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lastRenderedPageBreak/>
        <w:t xml:space="preserve">Перед применением БАД нужно проконсультироваться с врачом. Применение при беременности и лактации Биодобавку во время беременности/лактации принимать противопоказано. </w:t>
      </w:r>
    </w:p>
    <w:p w:rsidR="00A21DA1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Применение в детском возрасте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="004E1E93" w:rsidRPr="00F713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E1E93"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Pr="00F713F2">
        <w:rPr>
          <w:rFonts w:ascii="Times New Roman" w:hAnsi="Times New Roman" w:cs="Times New Roman"/>
          <w:sz w:val="28"/>
          <w:szCs w:val="28"/>
        </w:rPr>
        <w:t xml:space="preserve">Режим дозирования биодобавки для детей и подростков до 14 лет не определен. </w:t>
      </w:r>
    </w:p>
    <w:p w:rsidR="00A21DA1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Лекарственное взаимодействие</w:t>
      </w:r>
      <w:r w:rsidR="004E1E93" w:rsidRPr="00F713F2">
        <w:rPr>
          <w:rFonts w:ascii="Times New Roman" w:hAnsi="Times New Roman" w:cs="Times New Roman"/>
          <w:sz w:val="28"/>
          <w:szCs w:val="28"/>
        </w:rPr>
        <w:t>:</w:t>
      </w:r>
      <w:r w:rsidRPr="00F713F2">
        <w:rPr>
          <w:rFonts w:ascii="Times New Roman" w:hAnsi="Times New Roman" w:cs="Times New Roman"/>
          <w:sz w:val="28"/>
          <w:szCs w:val="28"/>
        </w:rPr>
        <w:t xml:space="preserve"> Нет сведений. </w:t>
      </w:r>
    </w:p>
    <w:p w:rsidR="00A21DA1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Сроки и условия хранения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="004E1E93" w:rsidRPr="00F713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E1E93"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Pr="00F713F2">
        <w:rPr>
          <w:rFonts w:ascii="Times New Roman" w:hAnsi="Times New Roman" w:cs="Times New Roman"/>
          <w:sz w:val="28"/>
          <w:szCs w:val="28"/>
        </w:rPr>
        <w:t xml:space="preserve">Хранить при температуре до 25 °C. Беречь от детей. Срок годности – 3 года. </w:t>
      </w:r>
    </w:p>
    <w:p w:rsidR="00A21DA1" w:rsidRPr="00F713F2" w:rsidRDefault="00A21DA1" w:rsidP="00F713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F2">
        <w:rPr>
          <w:rFonts w:ascii="Times New Roman" w:hAnsi="Times New Roman" w:cs="Times New Roman"/>
          <w:sz w:val="28"/>
          <w:szCs w:val="28"/>
        </w:rPr>
        <w:t>Условия отпуска из аптек</w:t>
      </w:r>
      <w:proofErr w:type="gramStart"/>
      <w:r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="004E1E93" w:rsidRPr="00F713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E1E93" w:rsidRPr="00F713F2">
        <w:rPr>
          <w:rFonts w:ascii="Times New Roman" w:hAnsi="Times New Roman" w:cs="Times New Roman"/>
          <w:sz w:val="28"/>
          <w:szCs w:val="28"/>
        </w:rPr>
        <w:t xml:space="preserve"> </w:t>
      </w:r>
      <w:r w:rsidRPr="00F713F2">
        <w:rPr>
          <w:rFonts w:ascii="Times New Roman" w:hAnsi="Times New Roman" w:cs="Times New Roman"/>
          <w:sz w:val="28"/>
          <w:szCs w:val="28"/>
        </w:rPr>
        <w:t>Отпускается без рецепта.</w:t>
      </w:r>
    </w:p>
    <w:p w:rsidR="00A21DA1" w:rsidRPr="00B35B30" w:rsidRDefault="00A21DA1" w:rsidP="00B35B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1DA1" w:rsidRPr="00B35B30" w:rsidSect="001D15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078"/>
    <w:multiLevelType w:val="hybridMultilevel"/>
    <w:tmpl w:val="4F22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6CB"/>
    <w:rsid w:val="000022FB"/>
    <w:rsid w:val="00031E2E"/>
    <w:rsid w:val="000B3E04"/>
    <w:rsid w:val="000B600A"/>
    <w:rsid w:val="00114422"/>
    <w:rsid w:val="00146302"/>
    <w:rsid w:val="001D1507"/>
    <w:rsid w:val="001F2673"/>
    <w:rsid w:val="002500D1"/>
    <w:rsid w:val="00286DDB"/>
    <w:rsid w:val="002D6A2B"/>
    <w:rsid w:val="003104D0"/>
    <w:rsid w:val="00327B31"/>
    <w:rsid w:val="00365169"/>
    <w:rsid w:val="00377927"/>
    <w:rsid w:val="003D25D6"/>
    <w:rsid w:val="00441B63"/>
    <w:rsid w:val="00487792"/>
    <w:rsid w:val="004A6D21"/>
    <w:rsid w:val="004B62B3"/>
    <w:rsid w:val="004E1E93"/>
    <w:rsid w:val="00520C98"/>
    <w:rsid w:val="00672E38"/>
    <w:rsid w:val="00777E69"/>
    <w:rsid w:val="00783137"/>
    <w:rsid w:val="007A76CB"/>
    <w:rsid w:val="00903BF9"/>
    <w:rsid w:val="00931335"/>
    <w:rsid w:val="00962A6A"/>
    <w:rsid w:val="00981907"/>
    <w:rsid w:val="009B16F9"/>
    <w:rsid w:val="00A21DA1"/>
    <w:rsid w:val="00A91235"/>
    <w:rsid w:val="00B35B30"/>
    <w:rsid w:val="00B53D9B"/>
    <w:rsid w:val="00B80949"/>
    <w:rsid w:val="00BE1732"/>
    <w:rsid w:val="00C5447C"/>
    <w:rsid w:val="00DC652E"/>
    <w:rsid w:val="00F7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5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8754">
          <w:blockQuote w:val="1"/>
          <w:marLeft w:val="-752"/>
          <w:marRight w:val="0"/>
          <w:marTop w:val="376"/>
          <w:marBottom w:val="376"/>
          <w:divBdr>
            <w:top w:val="none" w:sz="0" w:space="11" w:color="5A80B1"/>
            <w:left w:val="none" w:sz="0" w:space="0" w:color="auto"/>
            <w:bottom w:val="none" w:sz="0" w:space="11" w:color="5A80B1"/>
            <w:right w:val="none" w:sz="0" w:space="16" w:color="5A80B1"/>
          </w:divBdr>
        </w:div>
        <w:div w:id="532233096">
          <w:blockQuote w:val="1"/>
          <w:marLeft w:val="-752"/>
          <w:marRight w:val="0"/>
          <w:marTop w:val="376"/>
          <w:marBottom w:val="376"/>
          <w:divBdr>
            <w:top w:val="none" w:sz="0" w:space="11" w:color="5A80B1"/>
            <w:left w:val="none" w:sz="0" w:space="0" w:color="auto"/>
            <w:bottom w:val="none" w:sz="0" w:space="11" w:color="5A80B1"/>
            <w:right w:val="none" w:sz="0" w:space="16" w:color="5A80B1"/>
          </w:divBdr>
        </w:div>
        <w:div w:id="1663657058">
          <w:blockQuote w:val="1"/>
          <w:marLeft w:val="-752"/>
          <w:marRight w:val="0"/>
          <w:marTop w:val="376"/>
          <w:marBottom w:val="376"/>
          <w:divBdr>
            <w:top w:val="none" w:sz="0" w:space="11" w:color="5A80B1"/>
            <w:left w:val="none" w:sz="0" w:space="0" w:color="auto"/>
            <w:bottom w:val="none" w:sz="0" w:space="11" w:color="5A80B1"/>
            <w:right w:val="none" w:sz="0" w:space="16" w:color="5A80B1"/>
          </w:divBdr>
        </w:div>
      </w:divsChild>
    </w:div>
    <w:div w:id="1025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1655">
                      <w:marLeft w:val="0"/>
                      <w:marRight w:val="0"/>
                      <w:marTop w:val="215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4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9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6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3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77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8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34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7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5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473547">
                      <w:marLeft w:val="0"/>
                      <w:marRight w:val="0"/>
                      <w:marTop w:val="215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9238">
                          <w:marLeft w:val="-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7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7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2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12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dcterms:created xsi:type="dcterms:W3CDTF">2020-05-31T04:17:00Z</dcterms:created>
  <dcterms:modified xsi:type="dcterms:W3CDTF">2020-06-11T09:32:00Z</dcterms:modified>
</cp:coreProperties>
</file>