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86" w:rsidRPr="00515486" w:rsidRDefault="00515486" w:rsidP="00A678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15486">
        <w:rPr>
          <w:rFonts w:ascii="Times New Roman" w:hAnsi="Times New Roman" w:cs="Times New Roman"/>
          <w:b/>
          <w:sz w:val="28"/>
        </w:rPr>
        <w:t>Лекарственные средства. Анализ ассортимента. Хранение. Реализация.</w:t>
      </w:r>
    </w:p>
    <w:p w:rsidR="00515486" w:rsidRDefault="00515486" w:rsidP="00A678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515486">
        <w:rPr>
          <w:rFonts w:ascii="Times New Roman" w:hAnsi="Times New Roman" w:cs="Times New Roman"/>
          <w:sz w:val="28"/>
        </w:rPr>
        <w:t>екарственные средства - вещества или их комбинации, вступающие в контакт с организмом человека или животного, проникающие в органы, ткани организма человека или животного</w:t>
      </w:r>
      <w:r>
        <w:rPr>
          <w:rFonts w:ascii="Times New Roman" w:hAnsi="Times New Roman" w:cs="Times New Roman"/>
          <w:sz w:val="28"/>
        </w:rPr>
        <w:t>, применяемые для профилактики</w:t>
      </w:r>
      <w:r w:rsidRPr="00515486">
        <w:rPr>
          <w:rFonts w:ascii="Times New Roman" w:hAnsi="Times New Roman" w:cs="Times New Roman"/>
          <w:sz w:val="28"/>
        </w:rPr>
        <w:t>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</w:t>
      </w:r>
      <w:r>
        <w:rPr>
          <w:rFonts w:ascii="Times New Roman" w:hAnsi="Times New Roman" w:cs="Times New Roman"/>
          <w:sz w:val="28"/>
        </w:rPr>
        <w:t>.</w:t>
      </w:r>
    </w:p>
    <w:p w:rsidR="00515486" w:rsidRPr="00362BA4" w:rsidRDefault="00515486" w:rsidP="00515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515486">
        <w:rPr>
          <w:rFonts w:ascii="Times New Roman" w:hAnsi="Times New Roman" w:cs="Times New Roman"/>
          <w:sz w:val="28"/>
        </w:rPr>
        <w:t>нализ ассортимента лекарственных групп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6"/>
        <w:gridCol w:w="1700"/>
        <w:gridCol w:w="3522"/>
        <w:gridCol w:w="1307"/>
      </w:tblGrid>
      <w:tr w:rsidR="00AE677C" w:rsidTr="00AE677C">
        <w:tc>
          <w:tcPr>
            <w:tcW w:w="2816" w:type="dxa"/>
          </w:tcPr>
          <w:p w:rsidR="00AE677C" w:rsidRPr="004D7146" w:rsidRDefault="00AE677C" w:rsidP="00AE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Фармакотерапевтическая группа</w:t>
            </w:r>
          </w:p>
        </w:tc>
        <w:tc>
          <w:tcPr>
            <w:tcW w:w="1700" w:type="dxa"/>
          </w:tcPr>
          <w:p w:rsidR="00AE677C" w:rsidRPr="004D7146" w:rsidRDefault="00AE677C" w:rsidP="00AE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ТН</w:t>
            </w:r>
            <w:proofErr w:type="spellEnd"/>
          </w:p>
        </w:tc>
        <w:tc>
          <w:tcPr>
            <w:tcW w:w="3522" w:type="dxa"/>
          </w:tcPr>
          <w:p w:rsidR="00AE677C" w:rsidRPr="004D7146" w:rsidRDefault="00AE677C" w:rsidP="00AE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МНН</w:t>
            </w:r>
            <w:proofErr w:type="spellEnd"/>
          </w:p>
        </w:tc>
        <w:tc>
          <w:tcPr>
            <w:tcW w:w="1307" w:type="dxa"/>
          </w:tcPr>
          <w:p w:rsidR="00AE677C" w:rsidRPr="004D7146" w:rsidRDefault="00AE677C" w:rsidP="00AE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АТХ</w:t>
            </w:r>
            <w:proofErr w:type="spellEnd"/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льфа-</w:t>
            </w:r>
            <w:proofErr w:type="spellStart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адреномиметик</w:t>
            </w:r>
            <w:proofErr w:type="spellEnd"/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Монтевизин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Тетризолин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S01GA02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нтацидное</w:t>
            </w:r>
            <w:proofErr w:type="spellEnd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Алгелдрат+Магния</w:t>
            </w:r>
            <w:proofErr w:type="spellEnd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</w:t>
            </w:r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A02AX</w:t>
            </w:r>
          </w:p>
        </w:tc>
      </w:tr>
      <w:tr w:rsidR="00AE677C" w:rsidTr="00AE677C">
        <w:tc>
          <w:tcPr>
            <w:tcW w:w="2816" w:type="dxa"/>
          </w:tcPr>
          <w:p w:rsidR="00AE677C" w:rsidRPr="000D7928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AE677C" w:rsidRPr="000D7928" w:rsidRDefault="00AE677C" w:rsidP="00AE6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J01FA10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нтисептическое средство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Гексорал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Гексэтидин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A01AB12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7928">
              <w:rPr>
                <w:rFonts w:ascii="Times New Roman" w:hAnsi="Times New Roman" w:cs="Times New Roman"/>
                <w:sz w:val="24"/>
                <w:szCs w:val="24"/>
              </w:rPr>
              <w:t>енотонизирующее</w:t>
            </w:r>
            <w:proofErr w:type="spellEnd"/>
            <w:r w:rsidRPr="000D79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28">
              <w:rPr>
                <w:rFonts w:ascii="Times New Roman" w:hAnsi="Times New Roman" w:cs="Times New Roman"/>
                <w:sz w:val="24"/>
                <w:szCs w:val="24"/>
              </w:rPr>
              <w:t>венопротекторное</w:t>
            </w:r>
            <w:proofErr w:type="spellEnd"/>
            <w:r w:rsidRPr="000D792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Троксевазин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28">
              <w:rPr>
                <w:rFonts w:ascii="Times New Roman" w:hAnsi="Times New Roman" w:cs="Times New Roman"/>
                <w:sz w:val="24"/>
                <w:szCs w:val="24"/>
              </w:rPr>
              <w:t>Троксерутин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8">
              <w:rPr>
                <w:rFonts w:ascii="Times New Roman" w:hAnsi="Times New Roman" w:cs="Times New Roman"/>
                <w:sz w:val="24"/>
                <w:szCs w:val="24"/>
              </w:rPr>
              <w:t>C05CA04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алия и магния препарат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Аспаркам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 xml:space="preserve">Калия и магния </w:t>
            </w:r>
            <w:proofErr w:type="spellStart"/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40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77C">
              <w:rPr>
                <w:rFonts w:ascii="Times New Roman" w:hAnsi="Times New Roman" w:cs="Times New Roman"/>
                <w:sz w:val="24"/>
                <w:szCs w:val="24"/>
              </w:rPr>
              <w:t>онтрацептивное средство комбинированное (</w:t>
            </w:r>
            <w:proofErr w:type="spellStart"/>
            <w:r w:rsidRPr="00AE677C">
              <w:rPr>
                <w:rFonts w:ascii="Times New Roman" w:hAnsi="Times New Roman" w:cs="Times New Roman"/>
                <w:sz w:val="24"/>
                <w:szCs w:val="24"/>
              </w:rPr>
              <w:t>эстроген+гестаген</w:t>
            </w:r>
            <w:proofErr w:type="spellEnd"/>
            <w:r w:rsidRPr="00AE6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77C">
              <w:rPr>
                <w:rFonts w:ascii="Times New Roman" w:hAnsi="Times New Roman" w:cs="Times New Roman"/>
                <w:sz w:val="24"/>
                <w:szCs w:val="24"/>
              </w:rPr>
              <w:t>Этинилэстрадиол+Дроспиренон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7C">
              <w:rPr>
                <w:rFonts w:ascii="Times New Roman" w:hAnsi="Times New Roman" w:cs="Times New Roman"/>
                <w:sz w:val="24"/>
                <w:szCs w:val="24"/>
              </w:rPr>
              <w:t>G03AA12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Нестероидный противовоспалительный препарат</w:t>
            </w:r>
          </w:p>
        </w:tc>
        <w:tc>
          <w:tcPr>
            <w:tcW w:w="1700" w:type="dxa"/>
          </w:tcPr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Нурофен</w:t>
            </w:r>
            <w:proofErr w:type="spellEnd"/>
          </w:p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Аэртал</w:t>
            </w:r>
            <w:proofErr w:type="spellEnd"/>
          </w:p>
        </w:tc>
        <w:tc>
          <w:tcPr>
            <w:tcW w:w="3522" w:type="dxa"/>
          </w:tcPr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Ацеклофенак</w:t>
            </w:r>
            <w:proofErr w:type="spellEnd"/>
          </w:p>
        </w:tc>
        <w:tc>
          <w:tcPr>
            <w:tcW w:w="1307" w:type="dxa"/>
          </w:tcPr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M01AE01 </w:t>
            </w:r>
          </w:p>
          <w:p w:rsidR="00AE677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M01AB16</w:t>
            </w:r>
          </w:p>
        </w:tc>
      </w:tr>
      <w:tr w:rsidR="00AE677C" w:rsidTr="00AE677C">
        <w:tc>
          <w:tcPr>
            <w:tcW w:w="2816" w:type="dxa"/>
          </w:tcPr>
          <w:p w:rsidR="00AE677C" w:rsidRPr="0055081F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Пищеварительное ферментное средство 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Панкреатин </w:t>
            </w:r>
          </w:p>
        </w:tc>
        <w:tc>
          <w:tcPr>
            <w:tcW w:w="1307" w:type="dxa"/>
          </w:tcPr>
          <w:p w:rsidR="00AE677C" w:rsidRPr="00F61342" w:rsidRDefault="00AE677C" w:rsidP="00AE6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A09AA02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ротивоаллергическое средство - H1-гистаминовых рецепторов блокатор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Диазолин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Мебгидролин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R06AX15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ротивовоспалительный анальгезирующий антисептик местный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Отипакс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Лидокаин+Феназон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S02DA30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ротиводиарейное</w:t>
            </w:r>
            <w:proofErr w:type="spellEnd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Смекта</w:t>
            </w:r>
            <w:proofErr w:type="spellEnd"/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A07BC05</w:t>
            </w:r>
          </w:p>
        </w:tc>
      </w:tr>
      <w:tr w:rsidR="00AE677C" w:rsidTr="00AE677C">
        <w:tc>
          <w:tcPr>
            <w:tcW w:w="2816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ротивокашлевое средство центрального действия</w:t>
            </w:r>
          </w:p>
        </w:tc>
        <w:tc>
          <w:tcPr>
            <w:tcW w:w="1700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Бутамират</w:t>
            </w:r>
            <w:proofErr w:type="spellEnd"/>
          </w:p>
        </w:tc>
        <w:tc>
          <w:tcPr>
            <w:tcW w:w="1307" w:type="dxa"/>
          </w:tcPr>
          <w:p w:rsidR="00AE677C" w:rsidRPr="00263A8C" w:rsidRDefault="00AE677C" w:rsidP="00AE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E3">
              <w:rPr>
                <w:rFonts w:ascii="Times New Roman" w:hAnsi="Times New Roman" w:cs="Times New Roman"/>
                <w:sz w:val="24"/>
                <w:szCs w:val="24"/>
              </w:rPr>
              <w:t>R05DB13</w:t>
            </w:r>
          </w:p>
        </w:tc>
      </w:tr>
      <w:tr w:rsidR="00362BA4" w:rsidTr="00AE677C">
        <w:tc>
          <w:tcPr>
            <w:tcW w:w="2816" w:type="dxa"/>
          </w:tcPr>
          <w:p w:rsidR="00362BA4" w:rsidRPr="00263A8C" w:rsidRDefault="00362BA4" w:rsidP="0036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Противомикробное средство-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62BA4" w:rsidRPr="00263A8C" w:rsidRDefault="00362BA4" w:rsidP="0036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Цифран</w:t>
            </w:r>
            <w:proofErr w:type="spellEnd"/>
          </w:p>
        </w:tc>
        <w:tc>
          <w:tcPr>
            <w:tcW w:w="3522" w:type="dxa"/>
          </w:tcPr>
          <w:p w:rsidR="00362BA4" w:rsidRPr="00263A8C" w:rsidRDefault="00362BA4" w:rsidP="0036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362BA4" w:rsidRPr="0055081F" w:rsidRDefault="00362BA4" w:rsidP="00362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J01MA02</w:t>
            </w:r>
          </w:p>
        </w:tc>
      </w:tr>
      <w:tr w:rsidR="00362BA4" w:rsidTr="00AE677C">
        <w:tc>
          <w:tcPr>
            <w:tcW w:w="2816" w:type="dxa"/>
          </w:tcPr>
          <w:p w:rsidR="00362BA4" w:rsidRPr="00362BA4" w:rsidRDefault="00362BA4" w:rsidP="00362B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2BA4">
              <w:rPr>
                <w:rFonts w:ascii="Times New Roman" w:hAnsi="Times New Roman" w:cs="Times New Roman"/>
                <w:sz w:val="24"/>
              </w:rPr>
              <w:t>Энтеросорбирующее</w:t>
            </w:r>
            <w:proofErr w:type="spellEnd"/>
            <w:r w:rsidRPr="00362BA4">
              <w:rPr>
                <w:rFonts w:ascii="Times New Roman" w:hAnsi="Times New Roman" w:cs="Times New Roman"/>
                <w:sz w:val="24"/>
              </w:rPr>
              <w:t xml:space="preserve"> средство</w:t>
            </w:r>
          </w:p>
        </w:tc>
        <w:tc>
          <w:tcPr>
            <w:tcW w:w="1700" w:type="dxa"/>
          </w:tcPr>
          <w:p w:rsidR="00362BA4" w:rsidRPr="00362BA4" w:rsidRDefault="00362BA4" w:rsidP="00362B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Энтеросгель</w:t>
            </w:r>
            <w:proofErr w:type="spellEnd"/>
          </w:p>
        </w:tc>
        <w:tc>
          <w:tcPr>
            <w:tcW w:w="3522" w:type="dxa"/>
          </w:tcPr>
          <w:p w:rsidR="00362BA4" w:rsidRPr="00362BA4" w:rsidRDefault="00362BA4" w:rsidP="00362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2BA4">
              <w:rPr>
                <w:rFonts w:ascii="Times New Roman" w:hAnsi="Times New Roman" w:cs="Times New Roman"/>
                <w:sz w:val="24"/>
              </w:rPr>
              <w:t>Полиметилсилоксана</w:t>
            </w:r>
            <w:proofErr w:type="spellEnd"/>
            <w:r w:rsidRPr="00362B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2BA4">
              <w:rPr>
                <w:rFonts w:ascii="Times New Roman" w:hAnsi="Times New Roman" w:cs="Times New Roman"/>
                <w:sz w:val="24"/>
              </w:rPr>
              <w:t>полигидрат</w:t>
            </w:r>
            <w:proofErr w:type="spellEnd"/>
          </w:p>
        </w:tc>
        <w:tc>
          <w:tcPr>
            <w:tcW w:w="1307" w:type="dxa"/>
          </w:tcPr>
          <w:p w:rsidR="00362BA4" w:rsidRPr="00362BA4" w:rsidRDefault="00362BA4" w:rsidP="00362BA4">
            <w:pPr>
              <w:rPr>
                <w:rFonts w:ascii="Times New Roman" w:hAnsi="Times New Roman" w:cs="Times New Roman"/>
                <w:sz w:val="24"/>
              </w:rPr>
            </w:pPr>
            <w:r w:rsidRPr="00362BA4">
              <w:rPr>
                <w:rFonts w:ascii="Times New Roman" w:hAnsi="Times New Roman" w:cs="Times New Roman"/>
                <w:sz w:val="24"/>
              </w:rPr>
              <w:t>A07B</w:t>
            </w:r>
          </w:p>
        </w:tc>
      </w:tr>
    </w:tbl>
    <w:p w:rsidR="00C955EF" w:rsidRDefault="00C955EF" w:rsidP="00362BA4">
      <w:pPr>
        <w:rPr>
          <w:rFonts w:ascii="Times New Roman" w:hAnsi="Times New Roman" w:cs="Times New Roman"/>
          <w:sz w:val="28"/>
        </w:rPr>
      </w:pPr>
    </w:p>
    <w:p w:rsidR="00C955EF" w:rsidRDefault="00C955EF" w:rsidP="00A67835">
      <w:pPr>
        <w:pStyle w:val="a3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955EF">
        <w:rPr>
          <w:rFonts w:ascii="Times New Roman" w:hAnsi="Times New Roman" w:cs="Times New Roman"/>
          <w:sz w:val="28"/>
        </w:rPr>
        <w:t xml:space="preserve">равила </w:t>
      </w:r>
      <w:proofErr w:type="gramStart"/>
      <w:r w:rsidRPr="00C955EF">
        <w:rPr>
          <w:rFonts w:ascii="Times New Roman" w:hAnsi="Times New Roman" w:cs="Times New Roman"/>
          <w:sz w:val="28"/>
        </w:rPr>
        <w:t xml:space="preserve">маркировки  </w:t>
      </w:r>
      <w:proofErr w:type="spellStart"/>
      <w:r w:rsidRPr="00C955EF">
        <w:rPr>
          <w:rFonts w:ascii="Times New Roman" w:hAnsi="Times New Roman" w:cs="Times New Roman"/>
          <w:sz w:val="28"/>
        </w:rPr>
        <w:t>ЛС</w:t>
      </w:r>
      <w:proofErr w:type="spellEnd"/>
      <w:proofErr w:type="gramEnd"/>
      <w:r w:rsidRPr="00C955EF">
        <w:rPr>
          <w:rFonts w:ascii="Times New Roman" w:hAnsi="Times New Roman" w:cs="Times New Roman"/>
          <w:sz w:val="28"/>
        </w:rPr>
        <w:t>, согласно требованиям Федерального закона от 12.04.2010 № 61-ФЗ «Об обращении лекарственных средств»</w:t>
      </w:r>
      <w:r w:rsidR="00C976B5">
        <w:rPr>
          <w:rFonts w:ascii="Times New Roman" w:hAnsi="Times New Roman" w:cs="Times New Roman"/>
          <w:sz w:val="28"/>
        </w:rPr>
        <w:t xml:space="preserve"> Лекарственные препараты поступают в обращение, если:</w:t>
      </w:r>
    </w:p>
    <w:p w:rsidR="00C955EF" w:rsidRDefault="00C955EF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C955EF">
        <w:rPr>
          <w:rFonts w:ascii="Times New Roman" w:hAnsi="Times New Roman" w:cs="Times New Roman"/>
          <w:sz w:val="28"/>
        </w:rPr>
        <w:t>первичной упа</w:t>
      </w:r>
      <w:r w:rsidR="00A67835">
        <w:rPr>
          <w:rFonts w:ascii="Times New Roman" w:hAnsi="Times New Roman" w:cs="Times New Roman"/>
          <w:sz w:val="28"/>
        </w:rPr>
        <w:t xml:space="preserve">ковке (за исключением первичной </w:t>
      </w:r>
      <w:r w:rsidRPr="00C955EF">
        <w:rPr>
          <w:rFonts w:ascii="Times New Roman" w:hAnsi="Times New Roman" w:cs="Times New Roman"/>
          <w:sz w:val="28"/>
        </w:rPr>
        <w:t>упаковки лекарственных растительных препаратов) хорошо читаемым шрифтом на русском языке указаны наименование лекарственного препарата (</w:t>
      </w:r>
      <w:proofErr w:type="spellStart"/>
      <w:r>
        <w:rPr>
          <w:rFonts w:ascii="Times New Roman" w:hAnsi="Times New Roman" w:cs="Times New Roman"/>
          <w:sz w:val="28"/>
        </w:rPr>
        <w:t>МНН</w:t>
      </w:r>
      <w:proofErr w:type="spellEnd"/>
      <w:r w:rsidRPr="00C955EF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C955EF">
        <w:rPr>
          <w:rFonts w:ascii="Times New Roman" w:hAnsi="Times New Roman" w:cs="Times New Roman"/>
          <w:sz w:val="28"/>
        </w:rPr>
        <w:t>группировочное</w:t>
      </w:r>
      <w:proofErr w:type="spellEnd"/>
      <w:r w:rsidRPr="00C955EF">
        <w:rPr>
          <w:rFonts w:ascii="Times New Roman" w:hAnsi="Times New Roman" w:cs="Times New Roman"/>
          <w:sz w:val="28"/>
        </w:rPr>
        <w:t xml:space="preserve">, или химическое, или </w:t>
      </w:r>
      <w:proofErr w:type="spellStart"/>
      <w:r>
        <w:rPr>
          <w:rFonts w:ascii="Times New Roman" w:hAnsi="Times New Roman" w:cs="Times New Roman"/>
          <w:sz w:val="28"/>
        </w:rPr>
        <w:t>ТН</w:t>
      </w:r>
      <w:proofErr w:type="spellEnd"/>
      <w:r w:rsidRPr="00C955EF">
        <w:rPr>
          <w:rFonts w:ascii="Times New Roman" w:hAnsi="Times New Roman" w:cs="Times New Roman"/>
          <w:sz w:val="28"/>
        </w:rPr>
        <w:t>), номер серии, дата выпуска (для иммунобиологических лекарственных препаратов), срок годности, дозировка или концентрация, объем, активность в едини</w:t>
      </w:r>
      <w:r>
        <w:rPr>
          <w:rFonts w:ascii="Times New Roman" w:hAnsi="Times New Roman" w:cs="Times New Roman"/>
          <w:sz w:val="28"/>
        </w:rPr>
        <w:t>цах действия или количество доз.</w:t>
      </w:r>
    </w:p>
    <w:p w:rsidR="00C955EF" w:rsidRDefault="00C955EF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Pr="00C955EF">
        <w:rPr>
          <w:rFonts w:ascii="Times New Roman" w:hAnsi="Times New Roman" w:cs="Times New Roman"/>
          <w:sz w:val="28"/>
        </w:rPr>
        <w:t xml:space="preserve"> вторичной упаковке хорошо читаемым шрифтом на русском языке указаны наименование лекарственного препарата (</w:t>
      </w:r>
      <w:proofErr w:type="spellStart"/>
      <w:r>
        <w:rPr>
          <w:rFonts w:ascii="Times New Roman" w:hAnsi="Times New Roman" w:cs="Times New Roman"/>
          <w:sz w:val="28"/>
        </w:rPr>
        <w:t>МНН</w:t>
      </w:r>
      <w:proofErr w:type="spellEnd"/>
      <w:r w:rsidRPr="00C955EF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C955EF">
        <w:rPr>
          <w:rFonts w:ascii="Times New Roman" w:hAnsi="Times New Roman" w:cs="Times New Roman"/>
          <w:sz w:val="28"/>
        </w:rPr>
        <w:t>группировочное</w:t>
      </w:r>
      <w:proofErr w:type="spellEnd"/>
      <w:r w:rsidRPr="00C955EF">
        <w:rPr>
          <w:rFonts w:ascii="Times New Roman" w:hAnsi="Times New Roman" w:cs="Times New Roman"/>
          <w:sz w:val="28"/>
        </w:rPr>
        <w:t xml:space="preserve">, или химическое и </w:t>
      </w:r>
      <w:proofErr w:type="spellStart"/>
      <w:r>
        <w:rPr>
          <w:rFonts w:ascii="Times New Roman" w:hAnsi="Times New Roman" w:cs="Times New Roman"/>
          <w:sz w:val="28"/>
        </w:rPr>
        <w:t>ТН</w:t>
      </w:r>
      <w:proofErr w:type="spellEnd"/>
      <w:r w:rsidRPr="00C955EF">
        <w:rPr>
          <w:rFonts w:ascii="Times New Roman" w:hAnsi="Times New Roman" w:cs="Times New Roman"/>
          <w:sz w:val="28"/>
        </w:rPr>
        <w:t>), наименование производителя лекарственного препарата, номер серии, дата выпуска (для иммунобиологических лекарственных препаратов), номер регистрационного удостоверения, срок годности, способ применения, дозировка или концентрация, объем, активность в единицах действия либо количество доз в упаковке, лекарственная форма, условия отпуска, условия хранения, предупредительные надписи.</w:t>
      </w:r>
    </w:p>
    <w:p w:rsidR="00C955EF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 xml:space="preserve">Фармацевтические субстанции </w:t>
      </w:r>
      <w:r>
        <w:rPr>
          <w:rFonts w:ascii="Times New Roman" w:hAnsi="Times New Roman" w:cs="Times New Roman"/>
          <w:sz w:val="28"/>
        </w:rPr>
        <w:t>поступают</w:t>
      </w:r>
      <w:r w:rsidRPr="00C976B5">
        <w:rPr>
          <w:rFonts w:ascii="Times New Roman" w:hAnsi="Times New Roman" w:cs="Times New Roman"/>
          <w:sz w:val="28"/>
        </w:rPr>
        <w:t xml:space="preserve"> в обращение, если на их первичной упаковке хорошо читаемым шрифтом на русском языке указаны наименование фармацевтической субстанции (</w:t>
      </w:r>
      <w:proofErr w:type="spellStart"/>
      <w:r>
        <w:rPr>
          <w:rFonts w:ascii="Times New Roman" w:hAnsi="Times New Roman" w:cs="Times New Roman"/>
          <w:sz w:val="28"/>
        </w:rPr>
        <w:t>МНН</w:t>
      </w:r>
      <w:proofErr w:type="spellEnd"/>
      <w:r w:rsidRPr="00C976B5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C976B5">
        <w:rPr>
          <w:rFonts w:ascii="Times New Roman" w:hAnsi="Times New Roman" w:cs="Times New Roman"/>
          <w:sz w:val="28"/>
        </w:rPr>
        <w:t>группировочное</w:t>
      </w:r>
      <w:proofErr w:type="spellEnd"/>
      <w:r w:rsidRPr="00C976B5">
        <w:rPr>
          <w:rFonts w:ascii="Times New Roman" w:hAnsi="Times New Roman" w:cs="Times New Roman"/>
          <w:sz w:val="28"/>
        </w:rPr>
        <w:t xml:space="preserve">, или химическое и </w:t>
      </w:r>
      <w:proofErr w:type="spellStart"/>
      <w:r>
        <w:rPr>
          <w:rFonts w:ascii="Times New Roman" w:hAnsi="Times New Roman" w:cs="Times New Roman"/>
          <w:sz w:val="28"/>
        </w:rPr>
        <w:t>ТН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Pr="00C976B5">
        <w:rPr>
          <w:rFonts w:ascii="Times New Roman" w:hAnsi="Times New Roman" w:cs="Times New Roman"/>
          <w:sz w:val="28"/>
        </w:rPr>
        <w:lastRenderedPageBreak/>
        <w:t>наименование производителя фармацевтической субстанции, номер серии и дата изготовления, количество в упаковке и единицы измерения количества, срок годности и условия хранения.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Лекарственные средства в качестве сывороток должны поступать в обращение с указанием животного, из крови, плазмы крови, органов и тканей которого они получены.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На вторичную упаковку лекарственных средств, полученных из крови, плазмы крови, органов и тканей человека, должна наноситься надпись: "Антитела к ВИЧ-1, ВИЧ-2, к вирусу гепатита C и поверхностный антиген вируса гепатита B отсутствуют".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первичную упаковку и вторичную </w:t>
      </w:r>
      <w:r w:rsidRPr="00C976B5">
        <w:rPr>
          <w:rFonts w:ascii="Times New Roman" w:hAnsi="Times New Roman" w:cs="Times New Roman"/>
          <w:sz w:val="28"/>
        </w:rPr>
        <w:t>упаковку радиофармацевтических лекарственных средств должен наноситься знак радиационной опасности.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На вторичную упаковку гомеопатических лекарственных препаратов должна наноситься надпись: "Гомеопатический".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На вторичную упаковку лекарственных растительных препаратов должна наноситься надпись: "Продукция прошла радиационный контроль".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На первичную упаковку и вторичную упаковку лекарственных препаратов, предназначенных для клинических исследований, должна наноситься надпись:</w:t>
      </w:r>
      <w:r>
        <w:rPr>
          <w:rFonts w:ascii="Times New Roman" w:hAnsi="Times New Roman" w:cs="Times New Roman"/>
          <w:sz w:val="28"/>
        </w:rPr>
        <w:t xml:space="preserve"> "Для клинических исследований".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>Упаковка лекарственных средств, предназначенных исключительно для экспорта, маркируется в соответствии с требованиями страны-импортера.</w:t>
      </w:r>
    </w:p>
    <w:p w:rsidR="00C976B5" w:rsidRDefault="00C976B5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C976B5">
        <w:rPr>
          <w:rFonts w:ascii="Times New Roman" w:hAnsi="Times New Roman" w:cs="Times New Roman"/>
          <w:sz w:val="28"/>
        </w:rPr>
        <w:t xml:space="preserve">На транспортную тару, которая не предназначена для потребителей и в которую помещено лекарственное средство, должна наноситься информация о наименовании, серии </w:t>
      </w:r>
      <w:r w:rsidRPr="00C976B5">
        <w:rPr>
          <w:rFonts w:ascii="Times New Roman" w:hAnsi="Times New Roman" w:cs="Times New Roman"/>
          <w:sz w:val="28"/>
        </w:rPr>
        <w:lastRenderedPageBreak/>
        <w:t>лекарственного средства, дате выпуска, количестве вторичных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(а</w:t>
      </w:r>
      <w:r w:rsidR="00F50AFA">
        <w:rPr>
          <w:rFonts w:ascii="Times New Roman" w:hAnsi="Times New Roman" w:cs="Times New Roman"/>
          <w:sz w:val="28"/>
        </w:rPr>
        <w:t>дрес, в том числе страна и/или</w:t>
      </w:r>
      <w:r w:rsidRPr="00C976B5">
        <w:rPr>
          <w:rFonts w:ascii="Times New Roman" w:hAnsi="Times New Roman" w:cs="Times New Roman"/>
          <w:sz w:val="28"/>
        </w:rPr>
        <w:t xml:space="preserve"> место производства лекарственного средства), а также о сроке годности лекарственного средства и об условиях его хранения и перевозки, необходимые предупредительные надписи и манипуляторные знаки.</w:t>
      </w:r>
    </w:p>
    <w:p w:rsidR="00F50AFA" w:rsidRPr="00F50AFA" w:rsidRDefault="00F50AFA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F50AFA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первичную упаковку и вторичную </w:t>
      </w:r>
      <w:r w:rsidRPr="00F50AFA">
        <w:rPr>
          <w:rFonts w:ascii="Times New Roman" w:hAnsi="Times New Roman" w:cs="Times New Roman"/>
          <w:sz w:val="28"/>
        </w:rPr>
        <w:t>упаковку лекарственных средств для ветеринарного применения должна наноситься надпись: "Для ветеринарного применения".</w:t>
      </w:r>
    </w:p>
    <w:p w:rsidR="00F50AFA" w:rsidRDefault="00F50AFA" w:rsidP="00A67835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вторичную </w:t>
      </w:r>
      <w:r w:rsidRPr="00F50AFA">
        <w:rPr>
          <w:rFonts w:ascii="Times New Roman" w:hAnsi="Times New Roman" w:cs="Times New Roman"/>
          <w:sz w:val="28"/>
        </w:rPr>
        <w:t>упаковку лекарственного препарата наносится штриховой код.</w:t>
      </w:r>
    </w:p>
    <w:p w:rsidR="0068456A" w:rsidRDefault="0068456A" w:rsidP="00A6783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56A">
        <w:rPr>
          <w:rFonts w:ascii="Times New Roman" w:hAnsi="Times New Roman" w:cs="Times New Roman"/>
          <w:sz w:val="28"/>
        </w:rPr>
        <w:t xml:space="preserve">Правила хранения </w:t>
      </w:r>
      <w:proofErr w:type="spellStart"/>
      <w:r w:rsidRPr="0068456A">
        <w:rPr>
          <w:rFonts w:ascii="Times New Roman" w:hAnsi="Times New Roman" w:cs="Times New Roman"/>
          <w:sz w:val="28"/>
        </w:rPr>
        <w:t>ЛС</w:t>
      </w:r>
      <w:proofErr w:type="spellEnd"/>
      <w:r w:rsidRPr="0068456A">
        <w:rPr>
          <w:rFonts w:ascii="Times New Roman" w:hAnsi="Times New Roman" w:cs="Times New Roman"/>
          <w:sz w:val="28"/>
        </w:rPr>
        <w:t>, в соотв</w:t>
      </w:r>
      <w:r>
        <w:rPr>
          <w:rFonts w:ascii="Times New Roman" w:hAnsi="Times New Roman" w:cs="Times New Roman"/>
          <w:sz w:val="28"/>
        </w:rPr>
        <w:t xml:space="preserve">етствии с </w:t>
      </w:r>
      <w:r w:rsidR="00DD19FC">
        <w:rPr>
          <w:rFonts w:ascii="Times New Roman" w:hAnsi="Times New Roman" w:cs="Times New Roman"/>
          <w:sz w:val="28"/>
        </w:rPr>
        <w:t>требованиями приказов</w:t>
      </w:r>
      <w:r w:rsidRPr="006845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456A">
        <w:rPr>
          <w:rFonts w:ascii="Times New Roman" w:hAnsi="Times New Roman" w:cs="Times New Roman"/>
          <w:sz w:val="28"/>
        </w:rPr>
        <w:t>МЗ</w:t>
      </w:r>
      <w:proofErr w:type="spellEnd"/>
      <w:r w:rsidRPr="0068456A">
        <w:rPr>
          <w:rFonts w:ascii="Times New Roman" w:hAnsi="Times New Roman" w:cs="Times New Roman"/>
          <w:sz w:val="28"/>
        </w:rPr>
        <w:t xml:space="preserve"> РФ № 646н</w:t>
      </w:r>
      <w:r>
        <w:rPr>
          <w:rFonts w:ascii="Times New Roman" w:hAnsi="Times New Roman" w:cs="Times New Roman"/>
          <w:sz w:val="28"/>
        </w:rPr>
        <w:t xml:space="preserve"> «</w:t>
      </w:r>
      <w:r w:rsidRPr="0068456A">
        <w:rPr>
          <w:rFonts w:ascii="Times New Roman" w:hAnsi="Times New Roman" w:cs="Times New Roman"/>
          <w:sz w:val="28"/>
        </w:rPr>
        <w:t>Об утверждении Правил надлежащей практики хранения и перевозки лекарственных препара</w:t>
      </w:r>
      <w:r>
        <w:rPr>
          <w:rFonts w:ascii="Times New Roman" w:hAnsi="Times New Roman" w:cs="Times New Roman"/>
          <w:sz w:val="28"/>
        </w:rPr>
        <w:t>тов для медицинского применения»</w:t>
      </w:r>
      <w:r w:rsidR="00DD19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DD19FC">
        <w:rPr>
          <w:rFonts w:ascii="Times New Roman" w:hAnsi="Times New Roman" w:cs="Times New Roman"/>
          <w:sz w:val="28"/>
        </w:rPr>
        <w:t>МЗ</w:t>
      </w:r>
      <w:proofErr w:type="spellEnd"/>
      <w:r w:rsidR="00DD19FC">
        <w:rPr>
          <w:rFonts w:ascii="Times New Roman" w:hAnsi="Times New Roman" w:cs="Times New Roman"/>
          <w:sz w:val="28"/>
        </w:rPr>
        <w:t xml:space="preserve"> РФ</w:t>
      </w:r>
      <w:r w:rsidR="00DD19FC" w:rsidRPr="00DD19FC">
        <w:t xml:space="preserve"> </w:t>
      </w:r>
      <w:r w:rsidR="00DD19FC" w:rsidRPr="00DD19FC">
        <w:rPr>
          <w:rFonts w:ascii="Times New Roman" w:hAnsi="Times New Roman" w:cs="Times New Roman"/>
          <w:sz w:val="28"/>
        </w:rPr>
        <w:t xml:space="preserve">N 706н </w:t>
      </w:r>
      <w:r w:rsidR="00DD19FC">
        <w:rPr>
          <w:rFonts w:ascii="Times New Roman" w:hAnsi="Times New Roman" w:cs="Times New Roman"/>
          <w:sz w:val="28"/>
        </w:rPr>
        <w:t>«</w:t>
      </w:r>
      <w:r w:rsidR="00DD19FC" w:rsidRPr="00DD19FC">
        <w:rPr>
          <w:rFonts w:ascii="Times New Roman" w:hAnsi="Times New Roman" w:cs="Times New Roman"/>
          <w:sz w:val="28"/>
        </w:rPr>
        <w:t>Об утверждении Правил хранения лекарственных средств</w:t>
      </w:r>
      <w:r w:rsidR="00DD19FC">
        <w:rPr>
          <w:rFonts w:ascii="Times New Roman" w:hAnsi="Times New Roman" w:cs="Times New Roman"/>
          <w:sz w:val="28"/>
        </w:rPr>
        <w:t>»:</w:t>
      </w:r>
    </w:p>
    <w:p w:rsidR="0068456A" w:rsidRPr="0068456A" w:rsidRDefault="0068456A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56A">
        <w:rPr>
          <w:rFonts w:ascii="Times New Roman" w:hAnsi="Times New Roman" w:cs="Times New Roman"/>
          <w:sz w:val="28"/>
        </w:rPr>
        <w:t>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перевозке лекарственных препаратов</w:t>
      </w:r>
      <w:r>
        <w:rPr>
          <w:rFonts w:ascii="Times New Roman" w:hAnsi="Times New Roman" w:cs="Times New Roman"/>
          <w:sz w:val="28"/>
        </w:rPr>
        <w:t>.</w:t>
      </w:r>
    </w:p>
    <w:p w:rsidR="00F50AFA" w:rsidRDefault="0068456A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56A">
        <w:rPr>
          <w:rFonts w:ascii="Times New Roman" w:hAnsi="Times New Roman" w:cs="Times New Roman"/>
          <w:sz w:val="28"/>
        </w:rPr>
        <w:t>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зоны, а также оборудование для выполнения операций с лекарственными препаратами, обеспечивающие их хранение в соответствии с требованиями настоящих Правил.</w:t>
      </w:r>
    </w:p>
    <w:p w:rsidR="0068456A" w:rsidRDefault="0068456A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56A">
        <w:rPr>
          <w:rFonts w:ascii="Times New Roman" w:hAnsi="Times New Roman" w:cs="Times New Roman"/>
          <w:sz w:val="28"/>
        </w:rPr>
        <w:lastRenderedPageBreak/>
        <w:t>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препаратов.</w:t>
      </w:r>
    </w:p>
    <w:p w:rsidR="00FF24B6" w:rsidRDefault="0068456A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56A">
        <w:rPr>
          <w:rFonts w:ascii="Times New Roman" w:hAnsi="Times New Roman" w:cs="Times New Roman"/>
          <w:sz w:val="28"/>
        </w:rPr>
        <w:t>Площадь помещений, используемых субъектами обращения лекарственных препаратов, должна быть разделена на зоны, предназначенные дл</w:t>
      </w:r>
      <w:r w:rsidR="00FF24B6">
        <w:rPr>
          <w:rFonts w:ascii="Times New Roman" w:hAnsi="Times New Roman" w:cs="Times New Roman"/>
          <w:sz w:val="28"/>
        </w:rPr>
        <w:t>я выполнения следующих функций:</w:t>
      </w:r>
    </w:p>
    <w:p w:rsidR="00FF24B6" w:rsidRDefault="0068456A" w:rsidP="00A6783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приемки лекарств</w:t>
      </w:r>
      <w:r w:rsidR="00FF24B6">
        <w:rPr>
          <w:rFonts w:ascii="Times New Roman" w:hAnsi="Times New Roman" w:cs="Times New Roman"/>
          <w:sz w:val="28"/>
        </w:rPr>
        <w:t>енных препаратов</w:t>
      </w:r>
    </w:p>
    <w:p w:rsidR="00FF24B6" w:rsidRDefault="0068456A" w:rsidP="00A6783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хранения лекарственных препаратов</w:t>
      </w:r>
      <w:r w:rsidR="00FF24B6">
        <w:rPr>
          <w:rFonts w:ascii="Times New Roman" w:hAnsi="Times New Roman" w:cs="Times New Roman"/>
          <w:sz w:val="28"/>
        </w:rPr>
        <w:t>, требующих специальных условий</w:t>
      </w:r>
    </w:p>
    <w:p w:rsidR="00FF24B6" w:rsidRDefault="0068456A" w:rsidP="00A6783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хранения выявленных фальсифицированных, недоброкачественных, контрафактных лекарственных препаратов, а также лекарственных препар</w:t>
      </w:r>
      <w:r w:rsidR="00FF24B6">
        <w:rPr>
          <w:rFonts w:ascii="Times New Roman" w:hAnsi="Times New Roman" w:cs="Times New Roman"/>
          <w:sz w:val="28"/>
        </w:rPr>
        <w:t>атов с истекшим сроком годности</w:t>
      </w:r>
    </w:p>
    <w:p w:rsidR="0068456A" w:rsidRDefault="0068456A" w:rsidP="00A6783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карантинного хранения лекарственных препаратов.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Помещения для хранения лекарственных препаратов должны быть спроектированы и оснащены таким образом, чтобы обеспечить защиту от проникновения насекомых, грызунов или других животных.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Стеллажи, шкафы</w:t>
      </w:r>
      <w:r w:rsidRPr="00FF24B6">
        <w:rPr>
          <w:rFonts w:ascii="Times New Roman" w:hAnsi="Times New Roman" w:cs="Times New Roman"/>
          <w:sz w:val="28"/>
        </w:rPr>
        <w:t xml:space="preserve"> для хранения лекарственных препаратов должны быть маркированы, иметь стеллажные карты, находящиеся в видимой зоне, обеспечивать идентификацию лекарственных препаратов в соответствии с применяемой субъектом обращения лекарственных препаратов системой учета. Допускается применение электронной системы обработки данных вместо стеллажных карт.</w:t>
      </w:r>
    </w:p>
    <w:p w:rsidR="00DD19FC" w:rsidRDefault="00DD19FC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9FC">
        <w:rPr>
          <w:rFonts w:ascii="Times New Roman" w:hAnsi="Times New Roman" w:cs="Times New Roman"/>
          <w:sz w:val="28"/>
        </w:rPr>
        <w:t>В помещениях для хранения лекарственных средств должны поддерживаться определенные температура и влажность воздуха, позволяющие обеспечить хранение лекарственных средств в соответствии с указанными на первичной и вторичной упаковке требованиями производителей лекарственных средств.</w:t>
      </w:r>
    </w:p>
    <w:p w:rsidR="00FF24B6" w:rsidRPr="00FF24B6" w:rsidRDefault="00FF24B6" w:rsidP="00A67835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lastRenderedPageBreak/>
        <w:t>К оборудованию, используе</w:t>
      </w:r>
      <w:r>
        <w:rPr>
          <w:rFonts w:ascii="Times New Roman" w:hAnsi="Times New Roman" w:cs="Times New Roman"/>
          <w:sz w:val="28"/>
        </w:rPr>
        <w:t xml:space="preserve">мому в процессе хранения </w:t>
      </w:r>
      <w:r w:rsidRPr="00FF24B6">
        <w:rPr>
          <w:rFonts w:ascii="Times New Roman" w:hAnsi="Times New Roman" w:cs="Times New Roman"/>
          <w:sz w:val="28"/>
        </w:rPr>
        <w:t>лекарственных препаратов, относятся:</w:t>
      </w:r>
    </w:p>
    <w:p w:rsidR="00FF24B6" w:rsidRP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системы кондиционирования</w:t>
      </w:r>
    </w:p>
    <w:p w:rsidR="00FF24B6" w:rsidRP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 xml:space="preserve"> холодиль</w:t>
      </w:r>
      <w:r>
        <w:rPr>
          <w:rFonts w:ascii="Times New Roman" w:hAnsi="Times New Roman" w:cs="Times New Roman"/>
          <w:sz w:val="28"/>
        </w:rPr>
        <w:t>ные камеры и холодильники</w:t>
      </w:r>
    </w:p>
    <w:p w:rsidR="00FF24B6" w:rsidRP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хранная и пожарная сигнализация</w:t>
      </w:r>
    </w:p>
    <w:p w:rsidR="00FF24B6" w:rsidRP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системы контроля доступа</w:t>
      </w:r>
    </w:p>
    <w:p w:rsidR="00FF24B6" w:rsidRP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вентиляционная система</w:t>
      </w:r>
    </w:p>
    <w:p w:rsidR="00FF24B6" w:rsidRDefault="00FF24B6" w:rsidP="00A6783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психрометры </w:t>
      </w:r>
      <w:r w:rsidRPr="00FF24B6">
        <w:rPr>
          <w:rFonts w:ascii="Times New Roman" w:hAnsi="Times New Roman" w:cs="Times New Roman"/>
          <w:sz w:val="28"/>
        </w:rPr>
        <w:t>или иное оборудование, используемое для регистрации температуры и влажности.</w:t>
      </w:r>
      <w:r w:rsidR="00DD19FC">
        <w:rPr>
          <w:rFonts w:ascii="Times New Roman" w:hAnsi="Times New Roman" w:cs="Times New Roman"/>
          <w:sz w:val="28"/>
        </w:rPr>
        <w:t xml:space="preserve"> </w:t>
      </w:r>
      <w:r w:rsidR="00DD19FC" w:rsidRPr="00DD19FC">
        <w:rPr>
          <w:rFonts w:ascii="Times New Roman" w:hAnsi="Times New Roman" w:cs="Times New Roman"/>
          <w:sz w:val="28"/>
        </w:rPr>
        <w:t>Измерительные части этих приборов должны размещаться на расстоянии не менее 3 м от дверей, окон и отопительных приборов.</w:t>
      </w:r>
      <w:r w:rsidR="00DD19FC">
        <w:rPr>
          <w:rFonts w:ascii="Times New Roman" w:hAnsi="Times New Roman" w:cs="Times New Roman"/>
          <w:sz w:val="28"/>
        </w:rPr>
        <w:t xml:space="preserve"> Приборы или </w:t>
      </w:r>
      <w:r w:rsidR="00DD19FC" w:rsidRPr="00DD19FC">
        <w:rPr>
          <w:rFonts w:ascii="Times New Roman" w:hAnsi="Times New Roman" w:cs="Times New Roman"/>
          <w:sz w:val="28"/>
        </w:rPr>
        <w:t>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DD19FC" w:rsidRDefault="00DD19FC" w:rsidP="00A67835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</w:rPr>
      </w:pPr>
      <w:r w:rsidRPr="00DD19FC">
        <w:rPr>
          <w:rFonts w:ascii="Times New Roman" w:hAnsi="Times New Roman" w:cs="Times New Roman"/>
          <w:sz w:val="28"/>
        </w:rPr>
        <w:t>Показания этих приборов должны ежедневно регистрироваться в специальном журнале регистрации, который ведется ответственным лицом.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</w:t>
      </w:r>
      <w:r>
        <w:rPr>
          <w:rFonts w:ascii="Times New Roman" w:hAnsi="Times New Roman" w:cs="Times New Roman"/>
          <w:sz w:val="28"/>
        </w:rPr>
        <w:t>и, содержащейся на первичной или</w:t>
      </w:r>
      <w:r w:rsidRPr="00FF24B6">
        <w:rPr>
          <w:rFonts w:ascii="Times New Roman" w:hAnsi="Times New Roman" w:cs="Times New Roman"/>
          <w:sz w:val="28"/>
        </w:rPr>
        <w:t xml:space="preserve"> вторичной упаковке лекарственного препарата, транспортной таре, а также в соответствии с требованиями, установленными настоящими Правилами.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Лекарственные препараты должны размещ</w:t>
      </w:r>
      <w:r>
        <w:rPr>
          <w:rFonts w:ascii="Times New Roman" w:hAnsi="Times New Roman" w:cs="Times New Roman"/>
          <w:sz w:val="28"/>
        </w:rPr>
        <w:t>аться на стеллажах, в шкафах или на поддонах</w:t>
      </w:r>
      <w:r w:rsidRPr="00FF24B6">
        <w:rPr>
          <w:rFonts w:ascii="Times New Roman" w:hAnsi="Times New Roman" w:cs="Times New Roman"/>
          <w:sz w:val="28"/>
        </w:rPr>
        <w:t xml:space="preserve">. Не допускается размещение лекарственных препаратов на полу без поддона. Поддоны могут располагаться на полу в один ряд или на стеллажах в несколько ярусов в зависимости от высоты стеллажа. Не допускается </w:t>
      </w:r>
      <w:r w:rsidRPr="00FF24B6">
        <w:rPr>
          <w:rFonts w:ascii="Times New Roman" w:hAnsi="Times New Roman" w:cs="Times New Roman"/>
          <w:sz w:val="28"/>
        </w:rPr>
        <w:lastRenderedPageBreak/>
        <w:t>размещение поддонов с лекарственными препаратами в несколько рядов по высоте без использования стеллажей.</w:t>
      </w:r>
    </w:p>
    <w:p w:rsidR="00FF24B6" w:rsidRP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Лекарственные преп</w:t>
      </w:r>
      <w:r w:rsidR="00A67835">
        <w:rPr>
          <w:rFonts w:ascii="Times New Roman" w:hAnsi="Times New Roman" w:cs="Times New Roman"/>
          <w:sz w:val="28"/>
        </w:rPr>
        <w:t xml:space="preserve">араты размещают в помещениях или </w:t>
      </w:r>
      <w:r w:rsidRPr="00FF24B6">
        <w:rPr>
          <w:rFonts w:ascii="Times New Roman" w:hAnsi="Times New Roman" w:cs="Times New Roman"/>
          <w:sz w:val="28"/>
        </w:rPr>
        <w:t>зонах для хранения лекарственных препаратов в соответствии с требовани</w:t>
      </w:r>
      <w:r w:rsidR="00A67835">
        <w:rPr>
          <w:rFonts w:ascii="Times New Roman" w:hAnsi="Times New Roman" w:cs="Times New Roman"/>
          <w:sz w:val="28"/>
        </w:rPr>
        <w:t>ями нормативной документации или</w:t>
      </w:r>
      <w:r w:rsidRPr="00FF24B6">
        <w:rPr>
          <w:rFonts w:ascii="Times New Roman" w:hAnsi="Times New Roman" w:cs="Times New Roman"/>
          <w:sz w:val="28"/>
        </w:rPr>
        <w:t xml:space="preserve"> требованиями, указанными на упаковке лекарственного препарата, с учетом:</w:t>
      </w:r>
    </w:p>
    <w:p w:rsidR="00FF24B6" w:rsidRPr="00FF24B6" w:rsidRDefault="00FF24B6" w:rsidP="00A6783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физико-химических с</w:t>
      </w:r>
      <w:r>
        <w:rPr>
          <w:rFonts w:ascii="Times New Roman" w:hAnsi="Times New Roman" w:cs="Times New Roman"/>
          <w:sz w:val="28"/>
        </w:rPr>
        <w:t>войств лекарственных препаратов</w:t>
      </w:r>
    </w:p>
    <w:p w:rsidR="00FF24B6" w:rsidRPr="00FF24B6" w:rsidRDefault="00FF24B6" w:rsidP="00A6783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фармакологических групп</w:t>
      </w:r>
    </w:p>
    <w:p w:rsidR="00FF24B6" w:rsidRDefault="00FF24B6" w:rsidP="00A6783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способа вв</w:t>
      </w:r>
      <w:r w:rsidR="004A49EE">
        <w:rPr>
          <w:rFonts w:ascii="Times New Roman" w:hAnsi="Times New Roman" w:cs="Times New Roman"/>
          <w:sz w:val="28"/>
        </w:rPr>
        <w:t>едения лекарственных препаратов</w:t>
      </w:r>
    </w:p>
    <w:p w:rsidR="004A49EE" w:rsidRDefault="004A49EE" w:rsidP="00A6783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>агрегатного состояния фармацевтических субстанций</w:t>
      </w:r>
      <w:r>
        <w:rPr>
          <w:rFonts w:ascii="Times New Roman" w:hAnsi="Times New Roman" w:cs="Times New Roman"/>
          <w:sz w:val="28"/>
        </w:rPr>
        <w:t>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Хранение огнеопасных и взрывоопасных лекарственных препаратов осуществляется вдали от огня и отопительных приборов.</w:t>
      </w:r>
    </w:p>
    <w:p w:rsidR="00FF24B6" w:rsidRDefault="00FF24B6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4B6">
        <w:rPr>
          <w:rFonts w:ascii="Times New Roman" w:hAnsi="Times New Roman" w:cs="Times New Roman"/>
          <w:sz w:val="28"/>
        </w:rPr>
        <w:t>Лекарственные препараты, требующие защиты от воздействия света, должны храниться в помещениях или специально оборудованных зонах, обеспечивающих защиту от попадания на указанные лекарственные препараты прямых солнечных лучей.</w:t>
      </w:r>
    </w:p>
    <w:p w:rsidR="004A49EE" w:rsidRDefault="004A49EE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>Фармацевтические субстанции, требующие защиты от воздействия влаги, следует хранить в прохладном месте при температуре до +15 град.</w:t>
      </w:r>
    </w:p>
    <w:p w:rsidR="004A49EE" w:rsidRDefault="004A49EE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>Фармацевтические субстанции, требующие защиты от улетучивания и высыхания</w:t>
      </w:r>
      <w:r>
        <w:rPr>
          <w:rFonts w:ascii="Times New Roman" w:hAnsi="Times New Roman" w:cs="Times New Roman"/>
          <w:sz w:val="28"/>
        </w:rPr>
        <w:t xml:space="preserve"> </w:t>
      </w:r>
      <w:r w:rsidRPr="004A49EE">
        <w:rPr>
          <w:rFonts w:ascii="Times New Roman" w:hAnsi="Times New Roman" w:cs="Times New Roman"/>
          <w:sz w:val="28"/>
        </w:rPr>
        <w:t>сле</w:t>
      </w:r>
      <w:r>
        <w:rPr>
          <w:rFonts w:ascii="Times New Roman" w:hAnsi="Times New Roman" w:cs="Times New Roman"/>
          <w:sz w:val="28"/>
        </w:rPr>
        <w:t>дует хранить в прохладном месте.</w:t>
      </w:r>
    </w:p>
    <w:p w:rsidR="004A49EE" w:rsidRDefault="004A49EE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 xml:space="preserve">Хранение лекарственных средств, требующих защиты от воздействия повышенной </w:t>
      </w:r>
      <w:r>
        <w:rPr>
          <w:rFonts w:ascii="Times New Roman" w:hAnsi="Times New Roman" w:cs="Times New Roman"/>
          <w:sz w:val="28"/>
        </w:rPr>
        <w:t xml:space="preserve">и пониженной температуры </w:t>
      </w:r>
      <w:r w:rsidRPr="004A49EE">
        <w:rPr>
          <w:rFonts w:ascii="Times New Roman" w:hAnsi="Times New Roman" w:cs="Times New Roman"/>
          <w:sz w:val="28"/>
        </w:rPr>
        <w:t>должны осуществлять в соответствии с температурным режимом, указанным на первичной и вторичной упаковке лекарственного средства в соответствии с требованиями нормативной документации.</w:t>
      </w:r>
    </w:p>
    <w:p w:rsidR="00DD19FC" w:rsidRPr="00DD19FC" w:rsidRDefault="00DD19FC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9FC">
        <w:rPr>
          <w:rFonts w:ascii="Times New Roman" w:hAnsi="Times New Roman" w:cs="Times New Roman"/>
          <w:sz w:val="28"/>
        </w:rPr>
        <w:lastRenderedPageBreak/>
        <w:t>Лекарственные препараты, подлежащие предметно-количественному учету,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:rsidR="00DD19FC" w:rsidRPr="00DD19FC" w:rsidRDefault="00DD19FC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9FC">
        <w:rPr>
          <w:rFonts w:ascii="Times New Roman" w:hAnsi="Times New Roman" w:cs="Times New Roman"/>
          <w:sz w:val="28"/>
        </w:rPr>
        <w:t>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</w:t>
      </w:r>
    </w:p>
    <w:p w:rsidR="00DD19FC" w:rsidRDefault="00DD19FC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9FC">
        <w:rPr>
          <w:rFonts w:ascii="Times New Roman" w:hAnsi="Times New Roman" w:cs="Times New Roman"/>
          <w:sz w:val="28"/>
        </w:rPr>
        <w:t>Хранение лекарственных препаратов, содержащих сильнодействующие и ядовитые вещества, находящихся под контролем в соответствии международными правовыми нормами,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:rsidR="004A49EE" w:rsidRPr="004A49EE" w:rsidRDefault="004A49EE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>В организациях и у индивидуальных предпринимателей необходимо вести учет лекарственных средств с ограниченным сроком годности</w:t>
      </w:r>
      <w:r>
        <w:rPr>
          <w:rFonts w:ascii="Times New Roman" w:hAnsi="Times New Roman" w:cs="Times New Roman"/>
          <w:sz w:val="28"/>
        </w:rPr>
        <w:t>.</w:t>
      </w:r>
    </w:p>
    <w:p w:rsidR="00C976B5" w:rsidRPr="004A49EE" w:rsidRDefault="004A49EE" w:rsidP="00A6783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9EE">
        <w:rPr>
          <w:rFonts w:ascii="Times New Roman" w:hAnsi="Times New Roman" w:cs="Times New Roman"/>
          <w:sz w:val="28"/>
        </w:rPr>
        <w:t>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</w:t>
      </w:r>
      <w:r>
        <w:rPr>
          <w:rFonts w:ascii="Times New Roman" w:hAnsi="Times New Roman" w:cs="Times New Roman"/>
          <w:sz w:val="28"/>
        </w:rPr>
        <w:t>ной и обозначенной карантинной</w:t>
      </w:r>
      <w:r w:rsidRPr="004A49EE">
        <w:rPr>
          <w:rFonts w:ascii="Times New Roman" w:hAnsi="Times New Roman" w:cs="Times New Roman"/>
          <w:sz w:val="28"/>
        </w:rPr>
        <w:t xml:space="preserve"> зоне.</w:t>
      </w:r>
      <w:bookmarkStart w:id="0" w:name="_GoBack"/>
      <w:bookmarkEnd w:id="0"/>
    </w:p>
    <w:sectPr w:rsidR="00C976B5" w:rsidRPr="004A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A4E"/>
    <w:multiLevelType w:val="hybridMultilevel"/>
    <w:tmpl w:val="56A4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6B5F"/>
    <w:multiLevelType w:val="hybridMultilevel"/>
    <w:tmpl w:val="C1DCA5A2"/>
    <w:lvl w:ilvl="0" w:tplc="04190011">
      <w:start w:val="1"/>
      <w:numFmt w:val="decimal"/>
      <w:lvlText w:val="%1)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2037093F"/>
    <w:multiLevelType w:val="hybridMultilevel"/>
    <w:tmpl w:val="0590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4A7E"/>
    <w:multiLevelType w:val="hybridMultilevel"/>
    <w:tmpl w:val="05588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732E3"/>
    <w:multiLevelType w:val="hybridMultilevel"/>
    <w:tmpl w:val="E4B6A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9060A9"/>
    <w:multiLevelType w:val="hybridMultilevel"/>
    <w:tmpl w:val="D1CAB4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81F3F"/>
    <w:multiLevelType w:val="hybridMultilevel"/>
    <w:tmpl w:val="E8FCCD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EF302D3"/>
    <w:multiLevelType w:val="hybridMultilevel"/>
    <w:tmpl w:val="18D8666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3F3C8F"/>
    <w:multiLevelType w:val="hybridMultilevel"/>
    <w:tmpl w:val="5E3A53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8"/>
    <w:rsid w:val="000D7928"/>
    <w:rsid w:val="00263A8C"/>
    <w:rsid w:val="002E1240"/>
    <w:rsid w:val="00362BA4"/>
    <w:rsid w:val="00432BE3"/>
    <w:rsid w:val="004A49EE"/>
    <w:rsid w:val="004D7146"/>
    <w:rsid w:val="00515486"/>
    <w:rsid w:val="0055081F"/>
    <w:rsid w:val="0068456A"/>
    <w:rsid w:val="007B0908"/>
    <w:rsid w:val="00A67835"/>
    <w:rsid w:val="00AE677C"/>
    <w:rsid w:val="00BA66D1"/>
    <w:rsid w:val="00C955EF"/>
    <w:rsid w:val="00C976B5"/>
    <w:rsid w:val="00DD19FC"/>
    <w:rsid w:val="00F50AFA"/>
    <w:rsid w:val="00F61342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CCB9"/>
  <w15:chartTrackingRefBased/>
  <w15:docId w15:val="{FC3C8D14-E822-479C-A5B0-B88BA1B9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86"/>
    <w:pPr>
      <w:ind w:left="720"/>
      <w:contextualSpacing/>
    </w:pPr>
  </w:style>
  <w:style w:type="table" w:styleId="a4">
    <w:name w:val="Table Grid"/>
    <w:basedOn w:val="a1"/>
    <w:uiPriority w:val="39"/>
    <w:rsid w:val="004D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2020-05-19T04:32:00Z</dcterms:created>
  <dcterms:modified xsi:type="dcterms:W3CDTF">2020-05-20T08:21:00Z</dcterms:modified>
</cp:coreProperties>
</file>