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jpeg" ContentType="image/jpeg"/>
  <Default Extension="bin" ContentType="application/vnd.openxmlformats-officedocument.oleObject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witheffects.xml" ContentType="application/vnd.ms-word.stylesWithEffec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Федеральное государственное бюджетное образовательное учреждение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высшего образования «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Красноярский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государственный медицинский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университет имени профессора В.Ф.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Войно-Ясенецкого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»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Министерства здравоохранения Российской Федерации</w:t>
      </w:r>
    </w:p>
    <w:p>
      <w:pPr>
        <w:spacing w:after="0" w:line="360" w:lineRule="auto"/>
        <w:jc w:val="center"/>
        <w:rPr>
          <w:rFonts w:ascii="Times New Roman" w:cs="Times New Roman" w:eastAsia="Times New Roman" w:hAnsi="Times New Roman"/>
          <w:bCs/>
          <w:caps/>
          <w:color w:val="000000" w:themeColor="text1" w:themeShade="80"/>
          <w:sz w:val="28"/>
          <w:szCs w:val="28"/>
        </w:rPr>
      </w:pPr>
    </w:p>
    <w:p>
      <w:pPr>
        <w:keepNext w:val="on"/>
        <w:keepLines w:val="on"/>
        <w:spacing w:after="0" w:line="360" w:lineRule="auto"/>
        <w:jc w:val="center"/>
        <w:rPr>
          <w:rFonts w:ascii="Times New Roman" w:cs="Times New Roman" w:eastAsia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eastAsia="Times New Roman" w:hAnsi="Times New Roman"/>
          <w:color w:val="000000" w:themeColor="text1" w:themeShade="80"/>
          <w:sz w:val="28"/>
          <w:szCs w:val="28"/>
        </w:rPr>
        <w:t>Фармацевтический колледж</w:t>
      </w:r>
    </w:p>
    <w:p>
      <w:pPr>
        <w:pStyle w:val="Heading3"/>
        <w:rPr>
          <w:b w:val="off"/>
          <w:bCs w:val="off"/>
          <w:color w:val="000000" w:themeColor="text1" w:themeShade="80"/>
          <w:sz w:val="28"/>
          <w:szCs w:val="28"/>
        </w:rPr>
      </w:pPr>
    </w:p>
    <w:p>
      <w:pPr>
        <w:pStyle w:val="Heading3"/>
        <w:spacing w:line="360" w:lineRule="auto"/>
        <w:rPr>
          <w:b w:val="off"/>
          <w:bCs w:val="off"/>
          <w:color w:val="000000" w:themeColor="text1" w:themeShade="80"/>
          <w:sz w:val="28"/>
          <w:szCs w:val="28"/>
        </w:rPr>
      </w:pPr>
    </w:p>
    <w:p>
      <w:pPr>
        <w:rPr>
          <w:lang w:eastAsia="ru-RU"/>
        </w:rPr>
      </w:pPr>
    </w:p>
    <w:p>
      <w:pPr>
        <w:pStyle w:val="Heading3"/>
        <w:spacing w:line="360" w:lineRule="auto"/>
        <w:rPr>
          <w:color w:val="000000" w:themeColor="text1" w:themeShade="80"/>
          <w:sz w:val="28"/>
          <w:szCs w:val="28"/>
        </w:rPr>
      </w:pPr>
      <w:r>
        <w:rPr>
          <w:color w:val="000000" w:themeColor="text1" w:themeShade="80"/>
          <w:sz w:val="28"/>
          <w:szCs w:val="28"/>
        </w:rPr>
        <w:t>ДНЕВНИК УЧЕБНОЙ ПРАКТИКИ</w:t>
      </w:r>
    </w:p>
    <w:p>
      <w:pPr>
        <w:rPr>
          <w:lang w:eastAsia="ru-RU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«Теория и практика лабораторных общеклинических исследований» </w:t>
      </w:r>
    </w:p>
    <w:p>
      <w:pPr>
        <w:spacing w:after="0" w:line="24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Ковальчук Алена Владимировна</w:t>
      </w:r>
    </w:p>
    <w:p>
      <w:pPr>
        <w:spacing w:after="0" w:line="24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  <w:lang w:eastAsia="ru-RU"/>
        </w:rPr>
        <w:pict>
          <v:shape id="F6ECAC66-EA3F-C82C-5F5CB0C4A199" coordsize="21600,21600" style="position:absolute;width:432pt;height:0pt;mso-width-percent:0;mso-width-relative:margin;mso-height-percent:0;mso-height-relative:margin;margin-top:15pt;margin-left:21.45pt;mso-wrap-distance-left:9pt;mso-wrap-distance-right:9pt;mso-wrap-distance-top:0pt;mso-wrap-distance-bottom:0pt;rotation:0.000000;z-index:251660288;" o:spt="32" o:oned="t" path="m0,0 l21600,21600 e">
            <o:lock/>
          </v:shape>
        </w:pict>
      </w:r>
    </w:p>
    <w:p>
      <w:pPr>
        <w:spacing w:after="0" w:line="240" w:lineRule="auto"/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Ф.И.О</w:t>
      </w:r>
    </w:p>
    <w:p>
      <w:pPr>
        <w:tabs>
          <w:tab w:val="left" w:pos="3431"/>
        </w:tabs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ab/>
      </w:r>
    </w:p>
    <w:p>
      <w:pPr>
        <w:tabs>
          <w:tab w:val="left" w:pos="3431"/>
        </w:tabs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 xml:space="preserve">Место прохождения практики  </w:t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>КрасГМУ</w:t>
      </w:r>
    </w:p>
    <w:p>
      <w:pPr>
        <w:spacing w:after="0" w:line="36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 xml:space="preserve"> Фармацевтический колледж</w:t>
      </w:r>
    </w:p>
    <w:p>
      <w:pPr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с « 08 » июня  2019 г. по «14» июня 2019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г.</w:t>
      </w:r>
    </w:p>
    <w:p>
      <w:pPr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Руководитель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практики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: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Шаталова Наталья Юрьевна</w:t>
      </w:r>
    </w:p>
    <w:p>
      <w:pPr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tabs>
          <w:tab w:val="center" w:pos="4677"/>
          <w:tab w:val="left" w:pos="6169"/>
        </w:tabs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Красноярск 2019</w:t>
      </w:r>
    </w:p>
    <w:p>
      <w:pPr>
        <w:jc w:val="center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СОДЕРЖАНИЕ 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Цели и задачи практики………………………………………….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3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Знания, умения, практический опыт, которыми должен овладеть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студ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ент после прохождения практики………………………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….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4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Тематический план…………………………………………………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5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График прохождения практики…………………………………….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6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Тематические отчеты о пров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еденной работе………………………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..........7</w:t>
      </w:r>
    </w:p>
    <w:p>
      <w:pPr>
        <w:pStyle w:val="ListParagraph"/>
        <w:numPr>
          <w:ilvl w:val="0"/>
          <w:numId w:val="1"/>
        </w:numPr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Отчет по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практике (цифровой, текстовой)……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.............................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.........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.64</w:t>
      </w:r>
    </w:p>
    <w:p>
      <w:pPr>
        <w:ind w:left="360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tabs>
          <w:tab w:val="left" w:pos="3360"/>
        </w:tabs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tabs>
          <w:tab w:val="left" w:pos="3360"/>
        </w:tabs>
        <w:spacing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>ЦЕЛИ И ЗАДАЧИ ПРАКТИКИ</w:t>
      </w:r>
    </w:p>
    <w:p>
      <w:pPr>
        <w:spacing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>Цель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учебной практики «Теория и практика лабораторных общеклинических исследований»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льности медицинского технолога.</w:t>
      </w:r>
    </w:p>
    <w:p>
      <w:pPr>
        <w:tabs>
          <w:tab w:val="left" w:pos="2471"/>
        </w:tabs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Задачи: </w:t>
      </w: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ab/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знакомление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с инструкциями по ТБ при работе в клинической с электроприбора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ми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и нагревательными приборами;</w:t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рганизация рабочего места для проведения общеклинических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исследований безопасной работе;</w:t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ф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существление учета и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анализа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основных клинико-диагностических показателей;</w:t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бучение студ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ентов оформлению медицинской документации;</w:t>
      </w:r>
    </w:p>
    <w:p>
      <w:pPr>
        <w:pStyle w:val="ListParagraph"/>
        <w:numPr>
          <w:ilvl w:val="0"/>
          <w:numId w:val="2"/>
        </w:numPr>
        <w:spacing w:line="360" w:lineRule="auto"/>
        <w:ind w:left="340" w:hanging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тработка практических умений.</w:t>
      </w:r>
    </w:p>
    <w:p>
      <w:pPr>
        <w:pStyle w:val="ListParagraph"/>
        <w:ind w:left="340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tabs>
          <w:tab w:val="left" w:pos="1600"/>
        </w:tabs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tabs>
          <w:tab w:val="left" w:pos="1600"/>
        </w:tabs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bookmarkStart w:id="0" w:name="_GoBack"/>
      <w:bookmarkEnd w:id="0"/>
    </w:p>
    <w:p>
      <w:pPr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>ЗНАНИЯ, УМЕНИЯ, ПРАКТИЧЕСКИЙ ОПЫТ, КОТОРЫМИ ДОЛЖЕН ОВЛАДЕТЬ СТУДЕНТ ПОСЛЕ ПРОХОЖДЕНИЯ ПРАКТИКИ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>В результате учебн</w:t>
      </w: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>ой практики обучающийся должен п</w:t>
      </w: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риобрести практический опыт: </w:t>
      </w:r>
    </w:p>
    <w:p>
      <w:pPr>
        <w:pStyle w:val="ListParagraph"/>
        <w:numPr>
          <w:ilvl w:val="0"/>
          <w:numId w:val="7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определения физических и химических с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войств биологических жидкостей;</w:t>
      </w:r>
    </w:p>
    <w:p>
      <w:pPr>
        <w:pStyle w:val="ListParagraph"/>
        <w:numPr>
          <w:ilvl w:val="0"/>
          <w:numId w:val="7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микроскопического исследования биологических мат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ериалов: мочи, желудочного сока.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  <w:szCs w:val="28"/>
        </w:rPr>
        <w:t xml:space="preserve">Освоить умения: 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проводить все виды исследований с соблюдением принципов и правил безопасной работы;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проводить стерилизацию лабораторной посуды и инструментария; 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дезинфекцию биологического материала;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оказывать первую помощь при несчастных случаях;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готовить биологический материал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, реактивы, лабораторную посуду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оборудование;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проводить общий анализ мочи: определять ее физические и химические свойства, приготовить и исследовать под микроскопом осадок мочи; 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проводить функциональные пробы;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проводить дополнительные химические исследования мочи (определение желчных пигментов, кетонов и пр.); 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проводить количественную микроскопию осадка мочи;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работать на анализаторах мочи; </w:t>
      </w:r>
    </w:p>
    <w:p>
      <w:pPr>
        <w:pStyle w:val="ListParagraph"/>
        <w:numPr>
          <w:ilvl w:val="0"/>
          <w:numId w:val="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исследовать кислу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ю продукцию желудочного сока</w:t>
      </w:r>
      <w:r>
        <w:rPr>
          <w:rFonts w:ascii="Times New Roman" w:cs="Times New Roman" w:hAnsi="Times New Roman"/>
          <w:color w:val="000000" w:themeColor="text1" w:themeShade="80"/>
          <w:sz w:val="28"/>
          <w:szCs w:val="28"/>
        </w:rPr>
        <w:t>.</w:t>
      </w:r>
    </w:p>
    <w:p>
      <w:pPr>
        <w:pStyle w:val="ListParagraph"/>
        <w:spacing w:after="0" w:line="360" w:lineRule="auto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color w:val="000000" w:themeColor="text1" w:themeShade="80"/>
          <w:sz w:val="28"/>
          <w:szCs w:val="28"/>
        </w:rPr>
      </w:pPr>
    </w:p>
    <w:p/>
    <w:p>
      <w:pPr>
        <w:pStyle w:val="ListParagraph"/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ТЕМАТИЧЕСКИЙ ПЛАН УЧЕБНОЙ ПРАКТИКИ</w:t>
      </w:r>
    </w:p>
    <w:tbl>
      <w:tblPr>
        <w:tblW w:w="975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/>
      </w:tblPr>
      <w:tblGrid>
        <w:gridCol w:w="959"/>
        <w:gridCol w:w="6662"/>
        <w:gridCol w:w="992"/>
        <w:gridCol w:w="1134"/>
        <w:gridCol w:w="4536"/>
        <w:gridCol w:w="992"/>
        <w:gridCol w:w="1134"/>
      </w:tblGrid>
      <w:tr>
        <w:trPr>
          <w:trHeight w:val="255"/>
        </w:trPr>
        <w:tc>
          <w:tcPr>
            <w:cnfStyle w:val="101000000000"/>
            <w:tcW w:w="95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№</w:t>
            </w:r>
          </w:p>
        </w:tc>
        <w:tc>
          <w:tcPr>
            <w:cnfStyle w:val="100000000000"/>
            <w:tcW w:w="666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cnfStyle w:val="100000000000"/>
            <w:tcW w:w="212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Количество</w:t>
            </w:r>
          </w:p>
        </w:tc>
      </w:tr>
      <w:tr>
        <w:trPr>
          <w:trHeight w:val="285"/>
        </w:trPr>
        <w:tc>
          <w:tcPr>
            <w:cnfStyle w:val="001000100000"/>
            <w:tcW w:w="762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</w:p>
        </w:tc>
        <w:tc>
          <w:tcPr>
            <w:cnfStyle w:val="000000100000"/>
            <w:tcW w:w="66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</w:p>
        </w:tc>
        <w:tc>
          <w:tcPr>
            <w:cnfStyle w:val="000000100000"/>
            <w:tcW w:w="992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дней</w:t>
            </w:r>
          </w:p>
        </w:tc>
        <w:tc>
          <w:tcPr>
            <w:cnfStyle w:val="000000100000"/>
            <w:tcW w:w="1134" w:type="dxa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часов</w:t>
            </w:r>
          </w:p>
        </w:tc>
      </w:tr>
      <w:tr>
        <w:trPr>
          <w:trHeight w:val="3192"/>
        </w:trPr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Ознакомление с правилами работы в КДЛ:</w:t>
            </w:r>
          </w:p>
          <w:p>
            <w:pPr>
              <w:pStyle w:val="ListParagraph"/>
              <w:numPr>
                <w:ilvl w:val="0"/>
                <w:numId w:val="8"/>
              </w:numPr>
              <w:tabs>
                <w:tab w:val="left" w:pos="708"/>
              </w:tabs>
              <w:spacing w:after="0" w:line="240" w:lineRule="auto"/>
              <w:ind w:left="340" w:hanging="340"/>
              <w:contextualSpacing w:val="off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ТБ при работе в биохимической лаборатории;</w:t>
            </w:r>
          </w:p>
          <w:p>
            <w:pPr>
              <w:pStyle w:val="ListParagraph"/>
              <w:numPr>
                <w:ilvl w:val="0"/>
                <w:numId w:val="8"/>
              </w:numPr>
              <w:tabs>
                <w:tab w:val="left" w:pos="708"/>
              </w:tabs>
              <w:spacing w:after="0" w:line="240" w:lineRule="auto"/>
              <w:ind w:left="340" w:hanging="340"/>
              <w:contextualSpacing w:val="off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Правила безопасной работы с электроприборами и нагревательными приборами;</w:t>
            </w:r>
          </w:p>
          <w:p>
            <w:pPr>
              <w:pStyle w:val="ListParagraph"/>
              <w:numPr>
                <w:ilvl w:val="0"/>
                <w:numId w:val="8"/>
              </w:numPr>
              <w:tabs>
                <w:tab w:val="left" w:pos="708"/>
              </w:tabs>
              <w:spacing w:after="0" w:line="240" w:lineRule="auto"/>
              <w:ind w:left="340" w:hanging="340"/>
              <w:contextualSpacing w:val="off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оборудования;</w:t>
            </w:r>
          </w:p>
          <w:p>
            <w:pPr>
              <w:pStyle w:val="ListParagraph"/>
              <w:numPr>
                <w:ilvl w:val="0"/>
                <w:numId w:val="8"/>
              </w:numPr>
              <w:tabs>
                <w:tab w:val="left" w:pos="708"/>
              </w:tabs>
              <w:spacing w:after="0" w:line="240" w:lineRule="auto"/>
              <w:ind w:left="340" w:hanging="340"/>
              <w:contextualSpacing w:val="off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Организация рабочего места для проведения общеклинических исследований.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</w:tc>
      </w:tr>
      <w:tr>
        <w:trPr>
          <w:trHeight w:val="1979"/>
        </w:trPr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2</w:t>
            </w: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Работа с аппаратурой и приборами в КДЛ (термостат, центрифуга, ФЭК, сушильный шкаф).  Работа с мерной посудой.</w:t>
            </w:r>
          </w:p>
          <w:p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  <w:p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Исследование физических свойств мочи </w:t>
            </w:r>
          </w:p>
          <w:p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проба </w:t>
            </w: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Зимницкого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2</w:t>
            </w:r>
          </w:p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spacing w:after="0" w:line="240" w:lineRule="auto"/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</w:p>
          <w:p>
            <w:pPr>
              <w:spacing w:after="0" w:line="240" w:lineRule="auto"/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4</w:t>
            </w:r>
          </w:p>
        </w:tc>
      </w:tr>
      <w:tr>
        <w:trPr>
          <w:trHeight w:val="987"/>
        </w:trPr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3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Исследование химических свойств мочи </w:t>
            </w:r>
          </w:p>
          <w:p>
            <w:pPr>
              <w:spacing w:after="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Обязательные </w:t>
            </w:r>
          </w:p>
          <w:p>
            <w:pPr>
              <w:spacing w:after="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дополнительные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</w:tc>
      </w:tr>
      <w:tr>
        <w:trPr/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4</w:t>
            </w: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Микроскопия мочи</w:t>
            </w: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:</w:t>
            </w: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 </w:t>
            </w:r>
          </w:p>
          <w:p>
            <w:p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Ориентировочный метод </w:t>
            </w:r>
          </w:p>
          <w:p>
            <w:p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Количественный метод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</w:tc>
      </w:tr>
      <w:tr>
        <w:trPr/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5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BodyTextIndent"/>
              <w:ind w:left="0" w:firstLine="0"/>
              <w:rPr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color w:val="000000" w:themeColor="text1" w:themeShade="80"/>
                <w:sz w:val="28"/>
              </w:rPr>
              <w:t>Проведение общего анализа мочи на анализаторе мочи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</w:tc>
      </w:tr>
      <w:tr>
        <w:trPr>
          <w:trHeight w:val="1196"/>
        </w:trPr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Исследование кислой продукции желудка </w:t>
            </w:r>
          </w:p>
          <w:p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 xml:space="preserve">Исследование молочной кислоты в желудочном соке </w:t>
            </w:r>
          </w:p>
          <w:p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ind w:left="340" w:hanging="340"/>
              <w:jc w:val="both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</w:rPr>
              <w:t>Исследование ферментативной активности желудочного сока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1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line="240" w:lineRule="auto"/>
              <w:jc w:val="center"/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000000" w:themeColor="text1" w:themeShade="80"/>
                <w:sz w:val="28"/>
                <w:szCs w:val="28"/>
              </w:rPr>
              <w:t>6</w:t>
            </w:r>
          </w:p>
        </w:tc>
      </w:tr>
      <w:tr>
        <w:trPr/>
        <w:tc>
          <w:tcPr>
            <w:cnfStyle w:val="001000010000"/>
            <w:tcW w:w="762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Итого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6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bCs/>
                <w:color w:val="000000" w:themeColor="text1" w:themeShade="80"/>
                <w:sz w:val="28"/>
                <w:szCs w:val="28"/>
              </w:rPr>
              <w:t>36</w:t>
            </w:r>
          </w:p>
        </w:tc>
      </w:tr>
    </w:tbl>
    <w:p>
      <w:pPr>
        <w:pStyle w:val="ListParagraph"/>
        <w:rPr>
          <w:color w:val="000000" w:themeColor="text1" w:themeShade="80"/>
        </w:rPr>
      </w:pPr>
    </w:p>
    <w:p>
      <w:pPr>
        <w:pStyle w:val="ListParagraph"/>
        <w:rPr>
          <w:color w:val="000000" w:themeColor="text1" w:themeShade="80"/>
        </w:rPr>
      </w:pPr>
    </w:p>
    <w:p>
      <w:pPr>
        <w:pStyle w:val="ListParagraph"/>
        <w:rPr>
          <w:color w:val="000000" w:themeColor="text1" w:themeShade="80"/>
        </w:rPr>
      </w:pPr>
    </w:p>
    <w:p>
      <w:pPr>
        <w:pStyle w:val="ListParagraph"/>
        <w:rPr>
          <w:color w:val="000000" w:themeColor="text1" w:themeShade="80"/>
        </w:rPr>
      </w:pPr>
    </w:p>
    <w:p>
      <w:pPr>
        <w:pStyle w:val="ListParagraph"/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rPr>
          <w:color w:val="000000" w:themeColor="text1" w:themeShade="80"/>
        </w:rPr>
      </w:pPr>
    </w:p>
    <w:p>
      <w:pPr>
        <w:pStyle w:val="ListParagraph"/>
        <w:rPr/>
      </w:pPr>
      <w:r>
        <w:rPr/>
        <w:drawing>
          <wp:inline>
            <wp:extent cx="5940425" cy="79203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rPr/>
      </w:pPr>
    </w:p>
    <w:p>
      <w:pPr>
        <w:pStyle w:val="ListParagraph"/>
        <w:rPr/>
      </w:pPr>
    </w:p>
    <w:p>
      <w:pPr>
        <w:spacing w:after="0" w:line="360" w:lineRule="auto"/>
        <w:rPr>
          <w:rFonts w:ascii="Times New Roman" w:cs="Times New Roman" w:hAnsi="Times New Roman"/>
          <w:b/>
          <w:color w:val="000000" w:themeColor="text1" w:themeShade="80"/>
          <w:sz w:val="28"/>
        </w:rPr>
      </w:pPr>
    </w:p>
    <w:p>
      <w:pPr>
        <w:pStyle w:val="ListParagraph"/>
        <w:spacing w:after="0" w:line="360" w:lineRule="auto"/>
        <w:ind w:left="0" w:firstLine="709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</w:p>
    <w:p>
      <w:pPr>
        <w:pStyle w:val="ListParagraph"/>
        <w:spacing w:after="0" w:line="360" w:lineRule="auto"/>
        <w:ind w:left="0" w:firstLine="709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День 1 (08.06.19)</w:t>
      </w:r>
    </w:p>
    <w:p>
      <w:pPr>
        <w:pStyle w:val="ListParagraph"/>
        <w:spacing w:after="0" w:line="360" w:lineRule="auto"/>
        <w:ind w:left="0" w:firstLine="709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ТЕХНИКА БЕЗОПАСНОСТИ ПРИ РАБОТЕ В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 xml:space="preserve"> КДЛ</w:t>
      </w:r>
    </w:p>
    <w:p>
      <w:pPr>
        <w:pStyle w:val="ListParagraph"/>
        <w:spacing w:after="0" w:line="360" w:lineRule="auto"/>
        <w:ind w:left="0" w:firstLine="709"/>
        <w:jc w:val="center"/>
        <w:rPr>
          <w:rFonts w:ascii="Times New Roman" w:cs="Times New Roman" w:hAnsi="Times New Roman"/>
          <w:color w:val="000000" w:themeColor="text1" w:themeShade="80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Изучение основн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ых приказов и инструкций по ТБ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>:</w:t>
      </w:r>
    </w:p>
    <w:p>
      <w:pPr>
        <w:pStyle w:val="ListParagraph"/>
        <w:numPr>
          <w:ilvl w:val="0"/>
          <w:numId w:val="4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Приказ № 380 от 25.12.97 МЗ РФ «О состоянии и мерах по совершенствованию лабораторного обеспечения, диагностики и лечения пациентов в учреждениях здравоохранения Российской Федерации»</w:t>
      </w:r>
      <w:r>
        <w:rPr>
          <w:rFonts w:ascii="Times New Roman" w:cs="Times New Roman" w:hAnsi="Times New Roman"/>
          <w:color w:val="000000" w:themeColor="text1" w:themeShade="80"/>
          <w:sz w:val="28"/>
        </w:rPr>
        <w:t>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В целях совершенствования деятельности службы клинической лабораторной диагностики, повышения качества работы и обеспечения единства подходов по ее организации приказываю:</w:t>
      </w:r>
    </w:p>
    <w:p>
      <w:pPr>
        <w:pStyle w:val="ListParagraph"/>
        <w:numPr>
          <w:ilvl w:val="1"/>
          <w:numId w:val="7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 xml:space="preserve">уководителям органов управления здравоохранением субъектов Российской 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Федерации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: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о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рганизовать работу клинико-диагностических лабораторий и их персонала;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44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ринять неотложные меры по развитию и укреплению материально-технической базы клинико-диагностических лабораторий;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52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о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беспечить своевременное, в полном объеме проведение клинических лабораторных исследований в лечебно-профилактических учреждениях;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52"/>
        </w:rPr>
      </w:pPr>
      <w:r>
        <w:rPr>
          <w:color w:val="1a1a1a" w:themeColor="background1" w:themeShade="1a"/>
          <w:shd w:val="clear" w:color="auto" w:fill="ffffff"/>
        </w:rPr>
        <w:t> 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овысить уровень руководства подведомственной лабораторной службой;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72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ри планировании мероприятий по организации и повышению эффективности функционирования лабораторной диагностики и ее подразделений предусмотреть:</w:t>
      </w:r>
    </w:p>
    <w:p>
      <w:pPr>
        <w:pStyle w:val="ListParagraph"/>
        <w:numPr>
          <w:ilvl w:val="2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м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 xml:space="preserve">аксимальную интеграцию диагностических возможностей различных 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субдисциплин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 xml:space="preserve"> лабораторной медицины (гематологические, цитологические, биохимические, иммунологические и др. исследования) в составе единой специальности "Клиническая лабораторная диагностика";</w:t>
      </w:r>
    </w:p>
    <w:p>
      <w:pPr>
        <w:pStyle w:val="ListParagraph"/>
        <w:numPr>
          <w:ilvl w:val="2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44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м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еханизацию и автоматизацию проб подготовительных и аналитических процедур в интересах экономии труда и времени;</w:t>
      </w:r>
    </w:p>
    <w:p>
      <w:pPr>
        <w:pStyle w:val="ListParagraph"/>
        <w:numPr>
          <w:ilvl w:val="2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52"/>
        </w:rPr>
      </w:pPr>
      <w:r>
        <w:rPr>
          <w:color w:val="1a1a1a" w:themeColor="background1" w:themeShade="1a"/>
          <w:shd w:val="clear" w:color="auto" w:fill="ffffff"/>
        </w:rPr>
        <w:t> 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в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недрение лабораторных технологий на основе аналитической надежности и клинической целесообразности;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 п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ривести наименования должностей медицинского персонала клинико-диагностических лабораторий;</w:t>
      </w:r>
    </w:p>
    <w:p>
      <w:pPr>
        <w:pStyle w:val="ListParagraph"/>
        <w:numPr>
          <w:ilvl w:val="0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у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правлению научных и образовательных медицинских учреждений: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44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асширить подготовку медицинских технологов в соответствии с потребностями учреждений здравоохранения в данных специалистах;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52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азработать программы подготовки студентов медицинских институтов по специальности "Клинич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еская лабораторная диагностика";</w:t>
      </w:r>
    </w:p>
    <w:p>
      <w:pPr>
        <w:pStyle w:val="ListParagraph"/>
        <w:numPr>
          <w:ilvl w:val="0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у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правлению организации медицинской помощи населению, научно-методическому центру по клинической лабораторной диагностики Минздрава России: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36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о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казывать организационно-методическую помощь органам управления здравоохранением субъектов Российской Федерации по организации и функционированию службы клинической лабораторной диагностики;</w:t>
      </w:r>
    </w:p>
    <w:p>
      <w:pPr>
        <w:pStyle w:val="ListParagraph"/>
        <w:numPr>
          <w:ilvl w:val="1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44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р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азработать с учетом законодательных и нормативных актов в области стандартизации:</w:t>
      </w:r>
    </w:p>
    <w:p>
      <w:pPr>
        <w:pStyle w:val="ListParagraph"/>
        <w:numPr>
          <w:ilvl w:val="2"/>
          <w:numId w:val="33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52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  <w:shd w:val="clear" w:color="auto" w:fill="ffffff"/>
        </w:rPr>
        <w:t>еречень лабораторных исследований для клинических подразделений различного профиля лечебно-профилактических учреждений с учетом утвержденных Минздравом России отраслевых стандартов медицинской помощи.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sz w:val="28"/>
        </w:rPr>
      </w:pPr>
    </w:p>
    <w:p>
      <w:pPr>
        <w:pStyle w:val="ListParagraph"/>
        <w:spacing w:after="0" w:line="360" w:lineRule="auto"/>
        <w:ind w:left="0"/>
        <w:jc w:val="both"/>
        <w:rPr>
          <w:rFonts w:ascii="Times New Roman" w:cs="Times New Roman" w:hAnsi="Times New Roman"/>
          <w:sz w:val="28"/>
        </w:rPr>
      </w:pPr>
    </w:p>
    <w:p>
      <w:pPr>
        <w:pStyle w:val="ListParagraph"/>
        <w:spacing w:after="0" w:line="360" w:lineRule="auto"/>
        <w:ind w:left="0"/>
        <w:jc w:val="both"/>
        <w:rPr>
          <w:rFonts w:ascii="Times New Roman" w:cs="Times New Roman" w:hAnsi="Times New Roman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</w:p>
    <w:p>
      <w:pPr>
        <w:pStyle w:val="ListParagraph"/>
        <w:numPr>
          <w:ilvl w:val="0"/>
          <w:numId w:val="45"/>
        </w:numPr>
        <w:spacing w:after="0" w:line="360" w:lineRule="auto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Приказ № 118 Минздрава РФ «О введение в действие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санитарно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– эпидемиологических правил и нормат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ивов – СанПиН» от 03.06.2003г.: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1.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Требования к персональным электронно-вычислительным машинам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(ПЭВМ):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1.1.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ПЭВМ должны соответствовать требованиям настоящих санитарных правил, и каждый их тип подлежит санитарно-эпидемиологической экспертизе с оценкой в испытательных лабораториях;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1.2.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д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опустимые уровни звукового давления и уровней звука, создаваемого ПЭВМ, не должны превышать установленных значений;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1.3.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</w:r>
      <w:r>
        <w:rPr>
          <w:rFonts w:ascii="Times New Roman" w:cs="Times New Roman" w:hAnsi="Times New Roman"/>
          <w:color w:val="000000" w:themeColor="text1" w:themeShade="80"/>
          <w:sz w:val="28"/>
        </w:rPr>
        <w:t>онцентрация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вредных веществ, выделяемых ПЭВМ в воздух помещений, не должны превышать предельно допустимых концентраций (ПДК), установ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ленных для атмосферного воздуха;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2. 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ребования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к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помещения для работы с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2.1.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п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омещения для эксплуатации ПЭВМ должны иметь естественное и искусственное освещение;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2.2.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п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омещения, где размещаются рабочие места с ПЭВМ, должны быть оборудованы защитным заземлением (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занулением</w:t>
      </w:r>
      <w:r>
        <w:rPr>
          <w:rFonts w:ascii="Times New Roman" w:cs="Times New Roman" w:hAnsi="Times New Roman"/>
          <w:color w:val="000000" w:themeColor="text1" w:themeShade="80"/>
          <w:sz w:val="28"/>
        </w:rPr>
        <w:t>) в соответствии с технически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ми требованиями по эксплуатации;</w:t>
      </w:r>
    </w:p>
    <w:p>
      <w:pPr>
        <w:spacing w:after="0" w:line="360" w:lineRule="auto"/>
        <w:ind w:firstLine="709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3. 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ребования к микроклимату, содержанию аэроионов и вредных химических веществ в воздухе на рабочем местах, оборудованных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3.1.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в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помещениях, оборудованных ПЭВМ, проводится ежедневная влажная уборка и систематическое проветривание после каждого часа работы на ПЭВМ;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3.2.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у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ровни положительных и отрицательных аэроионов в воздухе помещений, где расположены ПЭВМ, должны соответствовать действующим санитарно</w:t>
      </w:r>
      <w:r>
        <w:rPr>
          <w:rFonts w:ascii="Times New Roman" w:cs="Times New Roman" w:hAnsi="Times New Roman"/>
          <w:color w:val="000000" w:themeColor="text1" w:themeShade="80"/>
          <w:sz w:val="28"/>
        </w:rPr>
        <w:t>-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эпидемиологическим нормативам;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3.3.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с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одержа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ние вредных химических веще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ств в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пр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оизводственных помещениях, в которых работа с использованием ПЭВМ является основной, не должно превышать предельно допустимых концентраций загрязняющих веществ в атмосферном воздухе населенных мест в соответствии с действую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щими гигиеническими нормативами;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4. 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ребования к уровням шума и вибрации на рабочих местах, оборудованных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4.1.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в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производственных помещениях при выполнении основных или вспомогательных работ с использованием ПЭВМ уровни шума на рабочих местах не должны превышать предельно допустимых значений, установленных для данных видов работ в соответствии с действующими санитарно-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эпидемиологическими нормативами;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5.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ребования к освещению на рабочих местах, оборудованных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5.1.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р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абочие столы следует размещать таким образом, чтобы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видеодисплейные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терминалы были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ориентированны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боковой стороной к световым проемам, чтобы естественный свет падал преимущественно слева;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5.2.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с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ледует ограничивать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отраженную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блесткость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на рабочих поверхностях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(экран, стол, клавиатура и др.);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6.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о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бщие требования к организации рабочих мест пользователей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6.1.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п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ри размещении рабочих мест с ПЭВМ расстояние между рабочими столами с видеомониторами должно быть не менее 2,0 м, а расстояние между боковыми поверхностями видеомониторов не менее 1,2 м;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6.2.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э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кран видеомонитора должен находиться от глаз пользователя на расстоянии 600- 700 мм, но не ближе 500 мм с учетом размеров алфавитно-цифровых знаков и символов;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6.3.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р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абочий стул (кресло)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должен быть подъемно-поворотным;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</w:t>
      </w:r>
      <w:r>
        <w:rPr>
          <w:rFonts w:ascii="Times New Roman" w:cs="Times New Roman" w:hAnsi="Times New Roman"/>
          <w:color w:val="000000" w:themeColor="text1" w:themeShade="80"/>
          <w:sz w:val="28"/>
        </w:rPr>
        <w:t>7.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т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ребования к организации медицинского обслуживания пользователей ПЭВМ: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7.1.</w:t>
      </w:r>
      <w:r>
        <w:rPr>
          <w:rFonts w:ascii="Times New Roman" w:cs="Times New Roman" w:hAnsi="Times New Roman"/>
          <w:color w:val="000000" w:themeColor="text1" w:themeShade="80"/>
          <w:sz w:val="28"/>
        </w:rPr>
        <w:tab/>
        <w:t>л</w:t>
      </w:r>
      <w:r>
        <w:rPr>
          <w:rFonts w:ascii="Times New Roman" w:cs="Times New Roman" w:hAnsi="Times New Roman"/>
          <w:color w:val="000000" w:themeColor="text1" w:themeShade="80"/>
          <w:sz w:val="28"/>
        </w:rPr>
        <w:t>ица, работающие с ПЭВМ более 50 % рабочего времени, должны проходить обязательные предварительные при поступлении на работу и периодические медицинские о</w:t>
      </w:r>
      <w:r>
        <w:rPr>
          <w:rFonts w:ascii="Times New Roman" w:cs="Times New Roman" w:hAnsi="Times New Roman"/>
          <w:color w:val="000000" w:themeColor="text1" w:themeShade="80"/>
          <w:sz w:val="28"/>
        </w:rPr>
        <w:t>смотры в установленном порядке.</w:t>
      </w:r>
    </w:p>
    <w:p>
      <w:pPr>
        <w:pStyle w:val="ListParagraph"/>
        <w:numPr>
          <w:ilvl w:val="0"/>
          <w:numId w:val="45"/>
        </w:numPr>
        <w:spacing w:after="0" w:line="360" w:lineRule="auto"/>
        <w:jc w:val="both"/>
        <w:rPr>
          <w:rFonts w:ascii="Times New Roman" w:cs="Times New Roman" w:hAnsi="Times New Roman"/>
          <w:color w:val="000000" w:themeColor="text1" w:themeShade="80"/>
          <w:sz w:val="28"/>
        </w:rPr>
      </w:pPr>
      <w:r>
        <w:rPr>
          <w:rFonts w:ascii="Times New Roman" w:cs="Times New Roman" w:hAnsi="Times New Roman"/>
          <w:color w:val="000000" w:themeColor="text1" w:themeShade="80"/>
          <w:sz w:val="28"/>
        </w:rPr>
        <w:t>СанПин</w:t>
      </w:r>
      <w:r>
        <w:rPr>
          <w:rFonts w:ascii="Times New Roman" w:cs="Times New Roman" w:hAnsi="Times New Roman"/>
          <w:color w:val="000000" w:themeColor="text1" w:themeShade="80"/>
          <w:sz w:val="28"/>
        </w:rPr>
        <w:t xml:space="preserve"> 2.1.7.728-99 «Правила сбора</w:t>
      </w:r>
      <w:r>
        <w:rPr>
          <w:rFonts w:ascii="Times New Roman" w:cs="Times New Roman" w:hAnsi="Times New Roman"/>
          <w:color w:val="000000" w:themeColor="text1" w:themeShade="80"/>
          <w:sz w:val="28"/>
        </w:rPr>
        <w:t>, хранения и удаления отходов»:</w:t>
      </w:r>
    </w:p>
    <w:p>
      <w:pPr>
        <w:pStyle w:val="ListParagraph"/>
        <w:tabs>
          <w:tab w:val="left" w:pos="1813"/>
          <w:tab w:val="center" w:pos="4677"/>
        </w:tabs>
        <w:spacing w:after="0" w:line="360" w:lineRule="auto"/>
        <w:ind w:left="0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</w:rPr>
        <w:tab/>
        <w:t xml:space="preserve">Таблица 1 -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Классификация отходов ЛПУ</w:t>
      </w:r>
    </w:p>
    <w:tbl>
      <w:tblPr>
        <w:tblStyle w:val="Сеткатаблицы1"/>
        <w:tblW w:w="0" w:type="auto"/>
        <w:tblLook w:val="04A0"/>
      </w:tblPr>
      <w:tblGrid>
        <w:gridCol w:w="3369"/>
        <w:gridCol w:w="6202"/>
      </w:tblGrid>
      <w:tr>
        <w:trPr>
          <w:trHeight w:val="299"/>
        </w:trPr>
        <w:tc>
          <w:tcPr>
            <w:cnfStyle w:val="101000000000"/>
            <w:tcW w:w="3369" w:type="dxa"/>
            <w:vAlign w:val="center"/>
          </w:tcPr>
          <w:p>
            <w:pPr>
              <w:tabs>
                <w:tab w:val="right" w:pos="3153"/>
              </w:tabs>
              <w:spacing w:after="200" w:line="276" w:lineRule="auto"/>
              <w:contextualSpacing w:val="on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Категория опасности</w:t>
            </w:r>
          </w:p>
        </w:tc>
        <w:tc>
          <w:tcPr>
            <w:cnfStyle w:val="100000000000"/>
            <w:tcW w:w="6202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Характеристика морфологического состава</w:t>
            </w:r>
          </w:p>
        </w:tc>
      </w:tr>
      <w:tr>
        <w:trPr>
          <w:trHeight w:val="3022"/>
        </w:trPr>
        <w:tc>
          <w:tcPr>
            <w:cnfStyle w:val="001000100000"/>
            <w:tcW w:w="3369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КЛАСС А 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br w:type="textWrapping"/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Неопасные</w:t>
            </w:r>
          </w:p>
        </w:tc>
        <w:tc>
          <w:tcPr>
            <w:cnfStyle w:val="000000100000"/>
            <w:tcW w:w="6202" w:type="dxa"/>
          </w:tcPr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Отходы, не имеющие контакта с биологическими жидкостями пациентов, инфекционными больницами, нетоксичные отходы. Пищевые отходы всех подразделений ЛПУ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кроме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 инфекционных (в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т.ч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. кожно-венерологических), фтизиатрических. Мебель, инвентарь, неисправное диагностическое оборудование, не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содержащие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 токсичных элементов. Неинфицированная бумага, смет, строительный мусор и т.д.</w:t>
            </w:r>
          </w:p>
        </w:tc>
      </w:tr>
      <w:tr>
        <w:trPr>
          <w:trHeight w:val="3022"/>
        </w:trPr>
        <w:tc>
          <w:tcPr>
            <w:cnfStyle w:val="001000010000"/>
            <w:tcW w:w="3369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КЛАСС Б 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br w:type="textWrapping"/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Опасные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 (Рискованные)</w:t>
            </w:r>
          </w:p>
        </w:tc>
        <w:tc>
          <w:tcPr>
            <w:cnfStyle w:val="000000010000"/>
            <w:tcW w:w="6202" w:type="dxa"/>
          </w:tcPr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Потенциально инфицированные отходы. Материалы и инструменты, загрязненные выделениями, в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т.ч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. кровью. Выделения пациентов. Патологоанатомические отходы. Органические операционные отходы (органы, ткани и т.п.). Все отходы из инфекционных отделений (в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т.ч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. пищевые). Отходы из микробиологических лабораторий, работающих с микроорганизмами 3-4 групп патогенности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vertAlign w:val="superscript"/>
                <w:lang w:eastAsia="ru-RU"/>
              </w:rPr>
              <w:t>1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. Биологические отходы вивариев.</w:t>
            </w:r>
          </w:p>
        </w:tc>
      </w:tr>
      <w:tr>
        <w:trPr>
          <w:trHeight w:val="1810"/>
        </w:trPr>
        <w:tc>
          <w:tcPr>
            <w:cnfStyle w:val="001000100000"/>
            <w:tcW w:w="3369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КЛАСС В 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br w:type="textWrapping"/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Чрезвычайно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опасные</w:t>
            </w:r>
          </w:p>
        </w:tc>
        <w:tc>
          <w:tcPr>
            <w:cnfStyle w:val="000000100000"/>
            <w:tcW w:w="6202" w:type="dxa"/>
          </w:tcPr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Материалы, контактирующие с больными особо опасными инфекциями. Отходы из лабораторий, работающих с микроорганизмами 1-4 групп патогенности. Отходы фтизиатрических, микологических больниц. Отходы от пациентов с анаэробной инфекцией.</w:t>
            </w:r>
          </w:p>
        </w:tc>
      </w:tr>
      <w:tr>
        <w:trPr>
          <w:trHeight w:val="983"/>
        </w:trPr>
        <w:tc>
          <w:tcPr>
            <w:cnfStyle w:val="001000010000"/>
            <w:tcW w:w="3369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КЛАСС Г 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br w:type="textWrapping"/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Отходы, по составу близкие к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промышленным</w:t>
            </w:r>
          </w:p>
          <w:p>
            <w:pPr>
              <w:spacing w:after="200" w:line="276" w:lineRule="auto"/>
              <w:contextualSpacing w:val="on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</w:p>
          <w:p>
            <w:pPr>
              <w:spacing w:after="200" w:line="276" w:lineRule="auto"/>
              <w:contextualSpacing w:val="on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</w:p>
          <w:p>
            <w:pPr>
              <w:spacing w:after="200" w:line="276" w:lineRule="auto"/>
              <w:contextualSpacing w:val="on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6202" w:type="dxa"/>
          </w:tcPr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Просроченные лекарственные средства, отходы от лекарственных и диагностических препаратов,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дезсредства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, не подлежащие использованию, с истекшим сроком годности.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Цитостатики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 и другие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химпрепараты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 xml:space="preserve">. </w:t>
            </w:r>
          </w:p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Ртутьсодержащие предметы, приборы и оборудование.</w:t>
            </w:r>
          </w:p>
        </w:tc>
      </w:tr>
      <w:tr>
        <w:trPr>
          <w:trHeight w:val="862"/>
        </w:trPr>
        <w:tc>
          <w:tcPr>
            <w:cnfStyle w:val="001000100000"/>
            <w:tcW w:w="3369" w:type="dxa"/>
            <w:vAlign w:val="center"/>
          </w:tcPr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КЛАСС Д</w:t>
            </w:r>
          </w:p>
          <w:p>
            <w:pPr>
              <w:spacing w:after="200" w:line="276" w:lineRule="auto"/>
              <w:contextualSpacing w:val="on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Радиоактивные отходы</w:t>
            </w:r>
          </w:p>
        </w:tc>
        <w:tc>
          <w:tcPr>
            <w:cnfStyle w:val="000000100000"/>
            <w:tcW w:w="6202" w:type="dxa"/>
          </w:tcPr>
          <w:p>
            <w:pPr>
              <w:spacing w:after="200" w:line="276" w:lineRule="auto"/>
              <w:contextualSpacing w:val="on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Все виды отходов, содержащие радиоактивные компоненты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0"/>
                <w:lang w:eastAsia="ru-RU"/>
              </w:rPr>
              <w:t>.</w:t>
            </w:r>
          </w:p>
        </w:tc>
      </w:tr>
    </w:tbl>
    <w:p>
      <w:pPr>
        <w:pStyle w:val="ListParagraph"/>
        <w:spacing w:after="0" w:line="360" w:lineRule="auto"/>
        <w:ind w:left="709"/>
        <w:jc w:val="both"/>
        <w:rPr>
          <w:rFonts w:ascii="Times New Roman" w:cs="Times New Roman" w:hAnsi="Times New Roman"/>
          <w:b/>
          <w:color w:val="000000" w:themeColor="text1" w:themeShade="80"/>
          <w:sz w:val="28"/>
        </w:rPr>
      </w:pPr>
    </w:p>
    <w:p>
      <w:pPr>
        <w:pStyle w:val="ListParagraph"/>
        <w:spacing w:after="0" w:line="360" w:lineRule="auto"/>
        <w:ind w:left="709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 xml:space="preserve">ТБ при 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работе с химическими реактивами</w:t>
      </w:r>
    </w:p>
    <w:p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1.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Перед работой проверяется исправность оборудования, рубильников, наличие заземления;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2. При определении запаха химических веществ, следует нюхать осторожно, направляя к себе пары или газы движением руки;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3. Нагревание посуды из обычного стекла на  открытом огне без 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асбестированной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сетки запрещено;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4. При нагревании жидкости в пробирке держат ее отверстием в сторону от себя и других;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5. Работа с едкими и ядовитыми веществами, а также с органическими растворителями проводится только в вытяжных шкафах;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6. Работу с ядовитыми веществами проводят в резиновых перчатках и защитных очках;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7. Щелочи следует брать из банки щипцами;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8. Смешивание или разбрызгивание хим. реактивов, сопровожда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ющихся</w:t>
      </w: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 xml:space="preserve"> выделением тепла, следует проводить в термостойкой или фарфоровой посуде;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  <w:t>9. Нагревание ядовитых веществ, проводится в круглодонных колбах.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d1b11" w:themeColor="background2" w:themeShade="1a"/>
          <w:sz w:val="28"/>
          <w:szCs w:val="28"/>
        </w:rPr>
      </w:pPr>
    </w:p>
    <w:p>
      <w:pPr>
        <w:pStyle w:val="ListParagraph"/>
        <w:spacing w:after="0" w:line="360" w:lineRule="auto"/>
        <w:ind w:left="709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ТБ при раб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>оте с биологическим материалом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1.Работать с биологическим материалом необходимо в спецодежде (мед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.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 xml:space="preserve"> 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х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алат, шапочка, сменная обувь), при угрозе разбрызгивании крови – в маске, защитных очках, клеенчатом фартуке.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2. Все повреждение на кожи рук должны быть заклеены лейкопластырем, необходимо избегать порезов и уколов.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3. Запрещается пипетирова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н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ие крови ртом, необходимо использовать резиновые груши или автоматические дозаторы.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4. По окончании работы проводят дезинфекцию рабочей поверхности стола.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При попадании биологических жидкостей:</w:t>
      </w:r>
    </w:p>
    <w:p>
      <w:pPr>
        <w:pStyle w:val="BodyText3"/>
        <w:numPr>
          <w:ilvl w:val="0"/>
          <w:numId w:val="32"/>
        </w:numPr>
        <w:spacing w:after="0" w:line="360" w:lineRule="auto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на незащищенную кожу - обработать кожу 70% спиртом, вымыть руки дважды с мылом под теплой проточной водой, повторно обработать 70% спиртом;</w:t>
      </w:r>
    </w:p>
    <w:p>
      <w:pPr>
        <w:pStyle w:val="BodyText3"/>
        <w:numPr>
          <w:ilvl w:val="0"/>
          <w:numId w:val="32"/>
        </w:numPr>
        <w:spacing w:after="0" w:line="360" w:lineRule="auto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в  глаза – промыть струей воды и закапать 1% водный борной кислоты или 1% раствор азотнокислого серебра или промыть 0,05% раствором марганцовки;</w:t>
      </w:r>
    </w:p>
    <w:p>
      <w:pPr>
        <w:pStyle w:val="BodyText3"/>
        <w:numPr>
          <w:ilvl w:val="0"/>
          <w:numId w:val="32"/>
        </w:numPr>
        <w:spacing w:after="0" w:line="360" w:lineRule="auto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 xml:space="preserve">в  нос – промыть струей воды и закапать 1% раствора 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проторгола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;</w:t>
      </w:r>
    </w:p>
    <w:p>
      <w:pPr>
        <w:pStyle w:val="BodyText3"/>
        <w:numPr>
          <w:ilvl w:val="0"/>
          <w:numId w:val="32"/>
        </w:numPr>
        <w:spacing w:after="0" w:line="360" w:lineRule="auto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в рот – прополоскать водой, а затем 1% водным раствором борной кислоты или 70% этиловым спиртом.</w:t>
      </w:r>
    </w:p>
    <w:p>
      <w:pPr>
        <w:pStyle w:val="BodyText3"/>
        <w:spacing w:after="0" w:line="360" w:lineRule="auto"/>
        <w:ind w:left="720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</w:p>
    <w:p>
      <w:pPr>
        <w:spacing w:after="0" w:line="360" w:lineRule="auto"/>
        <w:ind w:left="360" w:firstLine="34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Составление задач с эталонами ответов по ТБ: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Нарушение ТБ при работе с хим. реактивами, с биологическими ж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идкостями, с электроприборами.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Задача №1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При проведении гематологических исследований произошло попадание крови на поверхность рабочего стола, на халат, кожу рук,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конъюнктиву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глаз и слизистую оболочку ротовой полости медицинского лабораторного технолога.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1.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Что нарушил технолог?</w:t>
      </w:r>
    </w:p>
    <w:p>
      <w:pPr>
        <w:pStyle w:val="ListParagrap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2.Как это исправить?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Ответ: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п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ри поп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 xml:space="preserve">адании биологических 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жидкостей: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на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 xml:space="preserve"> незащищенную кожу - обработать кожу 70% спиртом, вымыть руки дважды с мылом под теплой проточной водой, повторно обработать 70% спиртом;</w:t>
      </w:r>
    </w:p>
    <w:p>
      <w:pPr>
        <w:pStyle w:val="BodyText3"/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в  глаза – промыть струей воды и закапать 1% водный борной кислоты или 1% раствор азотнокислого серебра или промыть 0,05% раствором марганцовки;</w:t>
      </w:r>
    </w:p>
    <w:p>
      <w:pPr>
        <w:pStyle w:val="BodyText3"/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 xml:space="preserve">в  нос – промыть струей воды и закапать 1% раствора 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проторгола</w:t>
      </w: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;</w:t>
      </w:r>
    </w:p>
    <w:p>
      <w:pPr>
        <w:pStyle w:val="BodyText3"/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</w:pPr>
      <w:r>
        <w:rPr>
          <w:rFonts w:ascii="Times New Roman" w:eastAsiaTheme="minorEastAsia" w:hAnsi="Times New Roman"/>
          <w:color w:val="1d1b11" w:themeColor="background2" w:themeShade="1a"/>
          <w:sz w:val="28"/>
          <w:szCs w:val="28"/>
        </w:rPr>
        <w:t>в рот – прополоскать водой, а затем 1% водным раствором борной кислоты или 70% этиловым спиртом.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Задача №2.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При работе на центрифуге произошло поражение мед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.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л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абораторного техника электрическим током.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1.Указать причины несчастного случая;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2.Составить алгоритм оказания первой медицинской помощи.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Ответ: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причины несчастного случая: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наличие поврежденной изоляции шнура питания и корпуса вилки;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использование удлинителей и переходников при подключении прибора в сеть;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контакт с поврежденным электрическим кабелем;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выдергивание вилки из розетки за шнур;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работа с приборами в сырых помещениях;</w:t>
      </w:r>
    </w:p>
    <w:p>
      <w:pPr>
        <w:pStyle w:val="ListParagraph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самостоятельное устранение неисправности.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при поражении электрическим током необходимо:</w:t>
      </w:r>
    </w:p>
    <w:p>
      <w:pPr>
        <w:pStyle w:val="ListParagraph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выключить прибор рубильником;</w:t>
      </w:r>
    </w:p>
    <w:p>
      <w:pPr>
        <w:pStyle w:val="ListParagraph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отделить пострадавшего от токоведущих путей, которых он касается;</w:t>
      </w:r>
    </w:p>
    <w:p>
      <w:pPr>
        <w:pStyle w:val="ListParagraph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провести искусственное дыхание и непрямой массаж сердца;</w:t>
      </w:r>
    </w:p>
    <w:p>
      <w:pPr>
        <w:pStyle w:val="ListParagraph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вызвать скорую помощь;</w:t>
      </w:r>
    </w:p>
    <w:p>
      <w:pPr>
        <w:pStyle w:val="ListParagraph"/>
        <w:numPr>
          <w:ilvl w:val="0"/>
          <w:numId w:val="35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сообщить заведующей лабораторией.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Задача №3.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при раб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оте с кислотой произошло разбрызгивание ее в глаз лаборанта.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1.Какие правила ТБ нарушила лаборант?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2.Алгоритм действ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ий лаборанта при этой ситуации.</w:t>
      </w:r>
    </w:p>
    <w:p>
      <w:pPr>
        <w:pStyle w:val="Normal(Web)"/>
        <w:shd w:val="clear" w:color="auto" w:fill="ffffff"/>
        <w:spacing w:before="0" w:after="0" w:line="360" w:lineRule="auto"/>
        <w:ind w:firstLine="709"/>
        <w:jc w:val="both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>Ответ:</w:t>
      </w:r>
      <w:r>
        <w:rPr>
          <w:b/>
          <w:color w:val="1a1a1a" w:themeColor="background1" w:themeShade="1a"/>
          <w:sz w:val="28"/>
          <w:szCs w:val="28"/>
        </w:rPr>
        <w:t xml:space="preserve"> </w:t>
      </w:r>
    </w:p>
    <w:p>
      <w:pPr>
        <w:pStyle w:val="Normal(Web)"/>
        <w:numPr>
          <w:ilvl w:val="0"/>
          <w:numId w:val="35"/>
        </w:numPr>
        <w:shd w:val="clear" w:color="auto" w:fill="ffffff"/>
        <w:spacing w:before="0" w:after="0" w:line="360" w:lineRule="auto"/>
        <w:ind w:left="0"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все работы с кислотами и щелочами нужно проводить в защитных очках;</w:t>
      </w:r>
    </w:p>
    <w:p>
      <w:pPr>
        <w:pStyle w:val="Normal(Web)"/>
        <w:numPr>
          <w:ilvl w:val="0"/>
          <w:numId w:val="35"/>
        </w:numPr>
        <w:shd w:val="clear" w:color="auto" w:fill="ffffff"/>
        <w:spacing w:before="0" w:after="0" w:line="360" w:lineRule="auto"/>
        <w:ind w:left="0"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концентрированную соляную и азотную кислоты можно переливать только в вытяжном шкафу.</w:t>
      </w:r>
    </w:p>
    <w:p>
      <w:pPr>
        <w:pStyle w:val="Normal(Web)"/>
        <w:shd w:val="clear" w:color="auto" w:fill="ffffff"/>
        <w:spacing w:before="0" w:after="0" w:line="360" w:lineRule="auto"/>
        <w:ind w:left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При попадании кислоты на слизистые оболочки необходимо:</w:t>
      </w:r>
    </w:p>
    <w:p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Cs/>
          <w:color w:val="1a1a1a" w:themeColor="background1" w:themeShade="1a"/>
          <w:sz w:val="28"/>
          <w:szCs w:val="28"/>
          <w:bdr w:val="none" w:sz="4" w:space="0"/>
          <w:lang w:eastAsia="ru-RU"/>
        </w:rPr>
        <w:t>немедленно начать его промывание под проточной водой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 (над фонтанчиком, под краном, из чайника или из чашки и т. п.). При этом </w:t>
      </w:r>
      <w:r>
        <w:rPr>
          <w:rFonts w:ascii="Times New Roman" w:cs="Times New Roman" w:eastAsia="Times New Roman" w:hAnsi="Times New Roman"/>
          <w:bCs/>
          <w:color w:val="1a1a1a" w:themeColor="background1" w:themeShade="1a"/>
          <w:sz w:val="28"/>
          <w:szCs w:val="28"/>
          <w:bdr w:val="none" w:sz="4" w:space="0"/>
          <w:lang w:eastAsia="ru-RU"/>
        </w:rPr>
        <w:t>веки должны быть максимально открыты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Общее время промывания должно составлять </w:t>
      </w:r>
      <w:r>
        <w:rPr>
          <w:rFonts w:ascii="Times New Roman" w:cs="Times New Roman" w:eastAsia="Times New Roman" w:hAnsi="Times New Roman"/>
          <w:bCs/>
          <w:color w:val="1a1a1a" w:themeColor="background1" w:themeShade="1a"/>
          <w:sz w:val="28"/>
          <w:szCs w:val="28"/>
          <w:bdr w:val="none" w:sz="4" w:space="0"/>
          <w:lang w:eastAsia="ru-RU"/>
        </w:rPr>
        <w:t>30 минут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;</w:t>
      </w:r>
    </w:p>
    <w:p>
      <w:pPr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сли у вас под рукой оказалась аптечка, то лучше </w:t>
      </w:r>
      <w:r>
        <w:rPr>
          <w:rFonts w:ascii="Times New Roman" w:cs="Times New Roman" w:eastAsia="Times New Roman" w:hAnsi="Times New Roman"/>
          <w:bCs/>
          <w:color w:val="1a1a1a" w:themeColor="background1" w:themeShade="1a"/>
          <w:sz w:val="28"/>
          <w:szCs w:val="28"/>
          <w:bdr w:val="none" w:sz="4" w:space="0"/>
          <w:lang w:eastAsia="ru-RU"/>
        </w:rPr>
        <w:t>промывать глаз специально приготовленным раствором.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 Для нейтрализации кислот это 2% раствор соды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;</w:t>
      </w:r>
    </w:p>
    <w:p>
      <w:pPr>
        <w:pStyle w:val="ListParagraph"/>
        <w:numPr>
          <w:ilvl w:val="0"/>
          <w:numId w:val="35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осле промывания</w:t>
      </w:r>
      <w:r>
        <w:rPr>
          <w:rFonts w:ascii="Times New Roman" w:cs="Times New Roman" w:eastAsia="Times New Roman" w:hAnsi="Times New Roman"/>
          <w:bCs/>
          <w:color w:val="1a1a1a" w:themeColor="background1" w:themeShade="1a"/>
          <w:sz w:val="28"/>
          <w:szCs w:val="28"/>
          <w:bdr w:val="none" w:sz="4" w:space="0"/>
          <w:lang w:eastAsia="ru-RU"/>
        </w:rPr>
        <w:t> обязательно обратитесь к врачу или в травматологический пункт!</w:t>
      </w:r>
    </w:p>
    <w:p>
      <w:pPr>
        <w:pStyle w:val="ListParagraph"/>
        <w:tabs>
          <w:tab w:val="left" w:pos="1390"/>
        </w:tabs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rPr>
          <w:rFonts w:ascii="Times New Roman" w:cs="Times New Roman" w:hAnsi="Times New Roman"/>
          <w:sz w:val="28"/>
          <w:szCs w:val="28"/>
        </w:rPr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pStyle w:val="ListParagraph"/>
        <w:rPr/>
      </w:pPr>
    </w:p>
    <w:p>
      <w:pPr>
        <w:spacing w:line="360" w:lineRule="auto"/>
        <w:rPr>
          <w:rFonts w:ascii="Times New Roman" w:cs="Times New Roman" w:hAnsi="Times New Roman"/>
          <w:b/>
          <w:color w:val="000000" w:themeColor="text1" w:themeShade="80"/>
          <w:sz w:val="28"/>
        </w:rPr>
      </w:pPr>
    </w:p>
    <w:p>
      <w:pPr>
        <w:pStyle w:val="ListParagraph"/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День 2 (10.06.19)</w:t>
      </w:r>
    </w:p>
    <w:p>
      <w:pPr>
        <w:pStyle w:val="ListParagraph"/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РАБОТА</w:t>
      </w:r>
      <w:r>
        <w:rPr>
          <w:rFonts w:ascii="Times New Roman" w:cs="Times New Roman" w:hAnsi="Times New Roman"/>
          <w:b/>
          <w:color w:val="000000" w:themeColor="text1" w:themeShade="80"/>
          <w:sz w:val="28"/>
        </w:rPr>
        <w:t xml:space="preserve"> С АППАРАТУРОЙ И ПРИБОРАМИ КДЛ</w:t>
      </w:r>
    </w:p>
    <w:p>
      <w:pPr>
        <w:pStyle w:val="ListParagraph"/>
        <w:spacing w:line="360" w:lineRule="auto"/>
        <w:jc w:val="center"/>
        <w:rPr>
          <w:rFonts w:ascii="Times New Roman" w:cs="Times New Roman" w:hAnsi="Times New Roman"/>
          <w:b/>
          <w:color w:val="000000" w:themeColor="text1" w:themeShade="80"/>
          <w:sz w:val="28"/>
        </w:rPr>
      </w:pPr>
      <w:r>
        <w:rPr>
          <w:rFonts w:ascii="Times New Roman" w:cs="Times New Roman" w:hAnsi="Times New Roman"/>
          <w:b/>
          <w:color w:val="000000" w:themeColor="text1" w:themeShade="80"/>
          <w:sz w:val="28"/>
        </w:rPr>
        <w:t>ИССЛЕДОВАНИЕ ФИЗИЧЕСКИХ СВОЙСТВ МОЧИ</w:t>
      </w:r>
    </w:p>
    <w:p>
      <w:pPr>
        <w:pStyle w:val="ListParagraph"/>
        <w:spacing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pStyle w:val="ListParagraph"/>
        <w:numPr>
          <w:ilvl w:val="1"/>
          <w:numId w:val="7"/>
        </w:num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Заполнить таблицу:</w:t>
      </w:r>
    </w:p>
    <w:p>
      <w:pPr>
        <w:pStyle w:val="ListParagraph"/>
        <w:spacing w:line="360" w:lineRule="auto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Таблица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2 -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Назначение приборов КДЛ</w:t>
      </w:r>
    </w:p>
    <w:tbl>
      <w:tblPr>
        <w:tblStyle w:val="TableGrid"/>
        <w:tblW w:w="0" w:type="auto"/>
        <w:tblInd w:w="250" w:type="dxa"/>
        <w:tblLook w:val="04A0"/>
      </w:tblPr>
      <w:tblGrid>
        <w:gridCol w:w="3260"/>
        <w:gridCol w:w="3119"/>
        <w:gridCol w:w="2942"/>
      </w:tblGrid>
      <w:tr>
        <w:trPr/>
        <w:tc>
          <w:tcPr>
            <w:cnfStyle w:val="101000000000"/>
            <w:tcW w:w="3260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Прибор</w:t>
            </w:r>
          </w:p>
        </w:tc>
        <w:tc>
          <w:tcPr>
            <w:cnfStyle w:val="100000000000"/>
            <w:tcW w:w="3119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Назначение</w:t>
            </w:r>
          </w:p>
        </w:tc>
        <w:tc>
          <w:tcPr>
            <w:cnfStyle w:val="100000000000"/>
            <w:tcW w:w="2942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Режим работы</w:t>
            </w:r>
          </w:p>
        </w:tc>
      </w:tr>
      <w:tr>
        <w:trPr/>
        <w:tc>
          <w:tcPr>
            <w:cnfStyle w:val="001000100000"/>
            <w:tcW w:w="3260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ФЭК</w:t>
            </w:r>
          </w:p>
        </w:tc>
        <w:tc>
          <w:tcPr>
            <w:cnfStyle w:val="000000100000"/>
            <w:tcW w:w="3119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Измерение концентрации веществ в окрашенных  растворах по их оптической плотности светопропускания</w:t>
            </w:r>
          </w:p>
        </w:tc>
        <w:tc>
          <w:tcPr>
            <w:cnfStyle w:val="000000100000"/>
            <w:tcW w:w="2942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Спектральный диапазон в пределах от 315 до 980 </w:t>
            </w: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нм</w:t>
            </w:r>
          </w:p>
        </w:tc>
      </w:tr>
      <w:tr>
        <w:trPr/>
        <w:tc>
          <w:tcPr>
            <w:cnfStyle w:val="001000010000"/>
            <w:tcW w:w="3260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Микроскоп</w:t>
            </w:r>
          </w:p>
        </w:tc>
        <w:tc>
          <w:tcPr>
            <w:cnfStyle w:val="000000010000"/>
            <w:tcW w:w="3119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Для изучения микроструктуры объектов невидимых глазом, для измерения малых размеров и для индикации при измерениях</w:t>
            </w:r>
          </w:p>
        </w:tc>
        <w:tc>
          <w:tcPr>
            <w:cnfStyle w:val="000000010000"/>
            <w:tcW w:w="2942" w:type="dxa"/>
            <w:vAlign w:val="center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______</w:t>
            </w:r>
          </w:p>
        </w:tc>
      </w:tr>
      <w:tr>
        <w:trPr/>
        <w:tc>
          <w:tcPr>
            <w:cnfStyle w:val="001000100000"/>
            <w:tcW w:w="3260" w:type="dxa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Центрифуга</w:t>
            </w:r>
          </w:p>
        </w:tc>
        <w:tc>
          <w:tcPr>
            <w:cnfStyle w:val="000000100000"/>
            <w:tcW w:w="3119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Отделение осадка от </w:t>
            </w: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надосадочной</w:t>
            </w: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жидкости</w:t>
            </w:r>
          </w:p>
        </w:tc>
        <w:tc>
          <w:tcPr>
            <w:cnfStyle w:val="000000100000"/>
            <w:tcW w:w="2942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Скорость от 200 об/мин до </w:t>
            </w: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3000</w:t>
            </w: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об/мин</w:t>
            </w:r>
          </w:p>
        </w:tc>
      </w:tr>
      <w:tr>
        <w:trPr/>
        <w:tc>
          <w:tcPr>
            <w:cnfStyle w:val="001000010000"/>
            <w:tcW w:w="3260" w:type="dxa"/>
            <w:vAlign w:val="center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Дозатор автоматический</w:t>
            </w:r>
          </w:p>
        </w:tc>
        <w:tc>
          <w:tcPr>
            <w:cnfStyle w:val="000000010000"/>
            <w:tcW w:w="3119" w:type="dxa"/>
            <w:vAlign w:val="center"/>
          </w:tcPr>
          <w:p>
            <w:pPr>
              <w:pStyle w:val="ListParagraph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Автоматическое отмеривание и выдача заданного количества вещества в виде порции</w:t>
            </w:r>
          </w:p>
        </w:tc>
        <w:tc>
          <w:tcPr>
            <w:cnfStyle w:val="000000010000"/>
            <w:tcW w:w="2942" w:type="dxa"/>
            <w:vAlign w:val="center"/>
          </w:tcPr>
          <w:p>
            <w:pPr>
              <w:pStyle w:val="ListParagraph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______</w: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2.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Записать правила и последовательность работы на приборах: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КФЭК-3,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центрифуга, микроскоп, дозатор автоматический.</w:t>
      </w: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2880"/>
        </w:tabs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 xml:space="preserve">Правила и последовательность работы с </w:t>
      </w: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КФЭК-3</w:t>
      </w: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1.  Присоединить колориметр к сети;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  Включить тумблер «Сеть»;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3. Открыть крышку кюветного отделения;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4. Выдержать колориметр во включенном состоянии 15 мин;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5. Нажать клавишу «Ш» (0), измерить нулевой отсчет;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6. Установить в кюветное отделение кюветы с контрольным раствором (в дальнее гнездо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) и исследуемый раствор (в ближнее гнездо);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7. Установить необходимый светофильтр и соответствующий фотоприемник;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8. Ручку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установить в левое положение;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9. Закрыть крышку кюветного отделения, нажать клавишу «К» (1);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10. Ручку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установить в правое положение;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11. Нажать клавишу «Д» (5). Отсчет на цифровом табло справа от мигающей запятой соответствует оптической плотности исследуемого раствора.</w:t>
      </w: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Правила и последовательность работы с центрифугой</w:t>
      </w: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Алгоритм работы: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1. включить в сеть;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 нажать кнопку «Сеть», отрыть крышку;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3. составить пробирки, в соответствии с правилом;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4. закрыть крышку;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5. задать время и скорость вращения ротора (скорость от 200 об/мин до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3000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об/мин);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6. нажать кнопку «Старт»;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7. открыть крышку можно после полной остановки.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Правила работы:</w:t>
      </w:r>
    </w:p>
    <w:p>
      <w:pPr>
        <w:pStyle w:val="BodyText3"/>
        <w:spacing w:after="0" w:line="360" w:lineRule="auto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1. центрифуга должна стоять на устойчивом, тяжелом столе;</w:t>
      </w:r>
    </w:p>
    <w:p>
      <w:pPr>
        <w:pStyle w:val="BodyText3"/>
        <w:spacing w:after="0" w:line="360" w:lineRule="auto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 во время центрифугирования крышка центрифуги должна быть плотно закрыта;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3. центрифугировать можно только четное число пробирок, с равным количеством по весу вещества, поставленных одни против другой (если число пробирок нечетное, ставят одну пробирку с дистиллированной водой);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4.</w:t>
      </w: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после выключения центрифуги нужно подождать, пока не закончится вращение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, а затем уже открывать крышку.</w:t>
      </w: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BodyText3"/>
        <w:spacing w:after="0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Записать правила работы  с автоматическими дозаторами</w:t>
      </w:r>
    </w:p>
    <w:p>
      <w:pPr>
        <w:pStyle w:val="BodyText3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1. Установить требуемый объем жидкости с помощь операционной кнопки.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 Надеть наконечник и смочить его перед дозированием 3-5 раз жидкостью, которую будут отбирать.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3. Нажать большим пальцем на  кнопку до первой остановки.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4. Опустить наконечник дозатора в раствор и медленно освободить кнопку.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5. Вытолкнуть раствор из наконечника дозатора в пробирку путем нажатия операционной кнопки до упора большим пальцем.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6. Снять наконечник нажатием большого пальца на 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удалитель</w:t>
      </w: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наконечника.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7. По окончанию работы дозатор установить в штатив.</w:t>
      </w: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hd w:val="clear" w:color="auto" w:fill="ffffff"/>
        <w:spacing w:after="60" w:line="270" w:lineRule="atLeast"/>
        <w:ind w:left="1230" w:right="795"/>
        <w:jc w:val="center"/>
        <w:rPr>
          <w:rFonts w:ascii="Times New Roman" w:cs="Times New Roman" w:eastAsia="Times New Roman" w:hAnsi="Times New Roman"/>
          <w:color w:val="1a1a1a" w:themeColor="background1" w:themeShade="1a"/>
          <w:sz w:val="24"/>
          <w:szCs w:val="24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Правила работы с микроскопом</w:t>
      </w:r>
    </w:p>
    <w:p>
      <w:pPr>
        <w:shd w:val="clear" w:color="auto" w:fill="ffffff"/>
        <w:tabs>
          <w:tab w:val="left" w:pos="4338"/>
        </w:tabs>
        <w:spacing w:after="0" w:line="360" w:lineRule="auto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1. Работать с микроскопом следует сидя;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2. Микроскоп осмотреть, вытереть от пыли мягкой салфеткой объективы,   окуляр, зеркало;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3. Микроскоп установить перед собой, немного слева на 2-3 см от края стола. Во время работы его не сдвигать;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4. Открыть полностью диафрагму, поднять конденсор в крайнее верхнее положение;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5. Работу с микроскопом всегда начинать с малого увеличения;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6. Опустить объектив 8 х в рабочее положение, т. е. на расстояние 1 см от предметного стекла;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7. Глядя одним глазом в окуляр и пользуясь зеркалом с вогнутой стороной, направить свет от окна в объектив, а затем максимально и равномерно осветить поле зрения;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8. Положить микропрепарат на предметный столик так, чтобы изучаемый объект находился под объективом. Глядя сбоку, опускать объектив при помощи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макровинта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до тех пор, пока расстояние между нижней линзой объектива и микропрепаратом не станет 4-5 мм;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9. Смотреть одним глазом в окуляр и вращать винт грубой наводки на себя, плавно поднимая объектив до положения, при котором хорошо будет видно изображение объекта. Нельзя смотреть в окуляр и опускать объектив. Фронтальная линза может раздавить покровное стекло, и на ней появятся царапины;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10. Передвигая препарат рукой, найти нужное место, расположить его в центре поля зрения микроскопа;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11. Если изображение не появилось, то надо повторить все операции пунктов 6, 7, 8, 9;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br w:type="textWrapping"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12. Для изучения объекта при большом увеличении сначала нужно поставить выбранный участок в центр поля зрения микроскопа при малом увеличении. Затем поменять объектив на 40 х, поворачивая револьвер, так чтобы он занял рабочее положение. При помощи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микрометренного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винта добиться хорошего изображения объекта. </w:t>
      </w:r>
    </w:p>
    <w:p>
      <w:pPr>
        <w:shd w:val="clear" w:color="auto" w:fill="ffffff"/>
        <w:spacing w:after="0" w:line="360" w:lineRule="auto"/>
        <w:ind w:firstLine="709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13. По окончании работы с большим увеличением, установить малое увеличение, поднять объектив, снять с рабочего столика препарат, протереть чистой салфеткой все части микроскопа, накрыть его полиэтилено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вым пакетом и поставить в шкаф.</w:t>
      </w: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3.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овать физические свойства мочи:</w:t>
      </w:r>
    </w:p>
    <w:p>
      <w:pPr>
        <w:pStyle w:val="ListParagraph"/>
        <w:numPr>
          <w:ilvl w:val="0"/>
          <w:numId w:val="16"/>
        </w:numPr>
        <w:spacing w:after="0" w:line="360" w:lineRule="auto"/>
        <w:ind w:left="357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Записать методику, принцип мето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да, реактивы и ход определения </w:t>
      </w:r>
    </w:p>
    <w:p>
      <w:pPr>
        <w:pStyle w:val="ListParagraph"/>
        <w:tabs>
          <w:tab w:val="left" w:pos="2169"/>
        </w:tabs>
        <w:spacing w:after="0" w:line="360" w:lineRule="auto"/>
        <w:ind w:left="357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Цвет мочи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В норме моча имеет соломенно-желтый цвет разной интенсивности. Характерный цвет придают содержащиеся в ней пигменты: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урохромы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и В,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уроэритрин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стеркобилиноген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(уробилин).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Методика определения: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определяют в проходящем свете, приподняв ци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softHyphen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линдр на уровень глаз на фоне листа белой бумаги.</w:t>
      </w:r>
    </w:p>
    <w:p>
      <w:pPr>
        <w:tabs>
          <w:tab w:val="left" w:pos="3868"/>
        </w:tabs>
        <w:spacing w:after="0" w:line="360" w:lineRule="auto"/>
        <w:ind w:left="714" w:hanging="357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Прозрачность мочи</w:t>
      </w:r>
    </w:p>
    <w:p>
      <w:pPr>
        <w:tabs>
          <w:tab w:val="left" w:pos="3868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В норме свежевыжатая моча прозрачна. При стоянии она мутнеет из-за выпадения солей и клеточных элементов и т.д.</w:t>
      </w:r>
    </w:p>
    <w:p>
      <w:pPr>
        <w:tabs>
          <w:tab w:val="left" w:pos="3868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Методика определения: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определяют, смещая цилиндр, находящийся на уровне глаз, по отношению к какому-либо предмету на чер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softHyphen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ном фоне и оценивают как: прозрачная, мутноватая, мутная.</w:t>
      </w:r>
    </w:p>
    <w:p>
      <w:pPr>
        <w:tabs>
          <w:tab w:val="left" w:pos="3868"/>
        </w:tabs>
        <w:spacing w:after="0" w:line="360" w:lineRule="auto"/>
        <w:ind w:firstLine="357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Запах мочи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В норме имеет нерезкий специфический запах. На характер за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softHyphen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паха влияет пища, например, употребление чеснока, хрена, кофе. При длительном стоянии появляется запах аммиака. Запах амми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softHyphen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ака отмечается при циститах, пиелитах, пиелонефритах. При сахарном диабете у мочи запах ацетона (прелых фруктов) из-за наличия в ней ацетоновых тел.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Методика определения: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определяется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органолеп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тически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.</w:t>
      </w:r>
    </w:p>
    <w:p>
      <w:pPr>
        <w:spacing w:after="0" w:line="360" w:lineRule="auto"/>
        <w:ind w:left="714" w:hanging="357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Реакция мочи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В норме слабокислая или нейтральная реакция (</w:t>
      </w:r>
      <w:r>
        <w:rPr>
          <w:rFonts w:ascii="Times New Roman" w:cs="Times New Roman" w:hAnsi="Times New Roman"/>
          <w:color w:val="1a1a1a" w:themeColor="background1" w:themeShade="1a"/>
          <w:sz w:val="28"/>
          <w:lang w:val="en-US"/>
        </w:rPr>
        <w:t>pH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=5,0-7,0). У здоровых людей реакция зависит в основном от принимаемой пищи. От употребления мясной пищи она сдвигается в кислую сторону, а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от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растительной - в щелочную.</w:t>
      </w:r>
    </w:p>
    <w:p>
      <w:pPr>
        <w:pStyle w:val="Normal(Web)"/>
        <w:spacing w:before="0" w:after="0" w:line="360" w:lineRule="auto"/>
        <w:jc w:val="both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>Методы определения реакции мочи: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1. </w:t>
      </w:r>
      <w:r>
        <w:rPr>
          <w:color w:val="1a1a1a" w:themeColor="background1" w:themeShade="1a"/>
          <w:sz w:val="28"/>
          <w:szCs w:val="28"/>
        </w:rPr>
        <w:t xml:space="preserve">с </w:t>
      </w:r>
      <w:r>
        <w:rPr>
          <w:color w:val="1a1a1a" w:themeColor="background1" w:themeShade="1a"/>
          <w:sz w:val="28"/>
          <w:szCs w:val="28"/>
        </w:rPr>
        <w:t>помощью индикаторной бумаги (универсальная индикаторная бумага с диапазоном рН 1,0-10,0; специальная индикаторная бумага для определения рН мочи с диапазоном 5,0-8,0, комби</w:t>
      </w:r>
      <w:r>
        <w:rPr>
          <w:color w:val="1a1a1a" w:themeColor="background1" w:themeShade="1a"/>
          <w:sz w:val="28"/>
          <w:szCs w:val="28"/>
        </w:rPr>
        <w:t xml:space="preserve">нированные </w:t>
      </w:r>
      <w:r>
        <w:rPr>
          <w:color w:val="1a1a1a" w:themeColor="background1" w:themeShade="1a"/>
          <w:sz w:val="28"/>
          <w:szCs w:val="28"/>
        </w:rPr>
        <w:t>тест-полоски</w:t>
      </w:r>
      <w:r>
        <w:rPr>
          <w:color w:val="1a1a1a" w:themeColor="background1" w:themeShade="1a"/>
          <w:sz w:val="28"/>
          <w:szCs w:val="28"/>
        </w:rPr>
        <w:t>);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2. у</w:t>
      </w:r>
      <w:r>
        <w:rPr>
          <w:color w:val="1a1a1a" w:themeColor="background1" w:themeShade="1a"/>
          <w:sz w:val="28"/>
          <w:szCs w:val="28"/>
        </w:rPr>
        <w:t xml:space="preserve">нифицированный метод с жидким индикатором </w:t>
      </w:r>
      <w:r>
        <w:rPr>
          <w:color w:val="1a1a1a" w:themeColor="background1" w:themeShade="1a"/>
          <w:sz w:val="28"/>
          <w:szCs w:val="28"/>
        </w:rPr>
        <w:t>бромтимоловым</w:t>
      </w:r>
      <w:r>
        <w:rPr>
          <w:color w:val="1a1a1a" w:themeColor="background1" w:themeShade="1a"/>
          <w:sz w:val="28"/>
          <w:szCs w:val="28"/>
        </w:rPr>
        <w:t xml:space="preserve"> синим (диапазон определения рН 6,0-7,6) по Андрееву.</w:t>
      </w: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 xml:space="preserve">Определение реакции мочи с индикатором </w:t>
      </w:r>
      <w:r>
        <w:rPr>
          <w:b/>
          <w:color w:val="1a1a1a" w:themeColor="background1" w:themeShade="1a"/>
          <w:sz w:val="28"/>
          <w:szCs w:val="28"/>
        </w:rPr>
        <w:t>бр</w:t>
      </w:r>
      <w:r>
        <w:rPr>
          <w:b/>
          <w:color w:val="1a1a1a" w:themeColor="background1" w:themeShade="1a"/>
          <w:sz w:val="28"/>
          <w:szCs w:val="28"/>
        </w:rPr>
        <w:t>омтимоловым</w:t>
      </w:r>
      <w:r>
        <w:rPr>
          <w:b/>
          <w:color w:val="1a1a1a" w:themeColor="background1" w:themeShade="1a"/>
          <w:sz w:val="28"/>
          <w:szCs w:val="28"/>
        </w:rPr>
        <w:t xml:space="preserve"> синим (по Андрееву)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Реактив</w:t>
      </w:r>
      <w:r>
        <w:rPr>
          <w:color w:val="1a1a1a" w:themeColor="background1" w:themeShade="1a"/>
          <w:sz w:val="28"/>
          <w:szCs w:val="28"/>
        </w:rPr>
        <w:t xml:space="preserve">: 0,1% раствор индикатора </w:t>
      </w:r>
      <w:r>
        <w:rPr>
          <w:color w:val="1a1a1a" w:themeColor="background1" w:themeShade="1a"/>
          <w:sz w:val="28"/>
          <w:szCs w:val="28"/>
        </w:rPr>
        <w:t>бромтимолового</w:t>
      </w:r>
      <w:r>
        <w:rPr>
          <w:color w:val="1a1a1a" w:themeColor="background1" w:themeShade="1a"/>
          <w:sz w:val="28"/>
          <w:szCs w:val="28"/>
        </w:rPr>
        <w:t xml:space="preserve"> синего.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Ход исследования:</w:t>
      </w:r>
      <w:r>
        <w:rPr>
          <w:color w:val="1a1a1a" w:themeColor="background1" w:themeShade="1a"/>
          <w:sz w:val="28"/>
          <w:szCs w:val="28"/>
        </w:rPr>
        <w:t xml:space="preserve"> К 2-3 мл мочи добавляют 1-2 капли индикатора. По цвету раствора судят о реакции мочи: желтый цвет соответствует кислой реакции, бурый цвет – слабокислой, травянистый цвет – нейтральной реакции, буро-зеленый цвет – слабощелочной реакции, сине-зеленый цвет – щелочной реакции.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Эта проба очень проста, но дает только ориентировочное представление о реакции мочи. Отличить мочу с </w:t>
      </w:r>
      <w:r>
        <w:rPr>
          <w:color w:val="1a1a1a" w:themeColor="background1" w:themeShade="1a"/>
          <w:sz w:val="28"/>
          <w:szCs w:val="28"/>
        </w:rPr>
        <w:t>нормальной</w:t>
      </w:r>
      <w:r>
        <w:rPr>
          <w:color w:val="1a1a1a" w:themeColor="background1" w:themeShade="1a"/>
          <w:sz w:val="28"/>
          <w:szCs w:val="28"/>
        </w:rPr>
        <w:t xml:space="preserve"> рН от патологически кислой этим методом невозможно.</w:t>
      </w: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Осадки мочи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Образуются при длительном стоянии или при охлаждении мочи до 0˚С. Осадки могут состоять из солей и клеточных элементов.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Макроскопически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(то есть на глаз) осадки описывают по трем признакам: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- цвету (белые, розовые, кирпично-красные и др.);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- характеру (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аморфные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 кристаллические);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- выраженности (обильные, незначительные).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Мочевая кислота образует кристаллический осадок кирпично-красного цвета;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ураты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(соли мочевой кислоты) образуют аморфный осадок розового цвета; фосфаты (соли фосфорной кислоты) дают плотный белый осадок. Клеточные элементы образуют осадки аморфного характера: лейкоциты – беловато-зеленоватого, эритроциты – красного или бурого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left="714" w:hanging="357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Относительная плотность мочи</w:t>
      </w:r>
    </w:p>
    <w:p>
      <w:pPr>
        <w:pStyle w:val="Normal(Web)"/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Относительная плотность (удельный вес) мочи пропорциональна концентрации растворенных в ней веществ: мочевины, мочевой кислоты, </w:t>
      </w:r>
      <w:r>
        <w:rPr>
          <w:color w:val="1a1a1a" w:themeColor="background1" w:themeShade="1a"/>
          <w:sz w:val="28"/>
          <w:szCs w:val="28"/>
        </w:rPr>
        <w:t>креатинина</w:t>
      </w:r>
      <w:r>
        <w:rPr>
          <w:color w:val="1a1a1a" w:themeColor="background1" w:themeShade="1a"/>
          <w:sz w:val="28"/>
          <w:szCs w:val="28"/>
        </w:rPr>
        <w:t>, солей.</w:t>
      </w:r>
    </w:p>
    <w:p>
      <w:pPr>
        <w:pStyle w:val="Normal(Web)"/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У здоровых людей относительная плотность мочи колеблется в течение суток от 1,005 до 1,030. В утренней, наиболее концентрированной порции мочи она составляет 1,020-1,026.</w:t>
      </w:r>
    </w:p>
    <w:p>
      <w:pPr>
        <w:spacing w:after="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Относительная плотность мочи определяется с помощью урометра - специального ареометра со шкалой от 1,000 до 1,050.</w:t>
      </w:r>
    </w:p>
    <w:p>
      <w:pPr>
        <w:pStyle w:val="Normal(Web)"/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Методика определения: Исследуемую мочу наливают в ци</w:t>
      </w:r>
      <w:r>
        <w:rPr>
          <w:color w:val="1a1a1a" w:themeColor="background1" w:themeShade="1a"/>
          <w:sz w:val="28"/>
          <w:szCs w:val="28"/>
        </w:rPr>
        <w:softHyphen/>
      </w:r>
      <w:r>
        <w:rPr>
          <w:color w:val="1a1a1a" w:themeColor="background1" w:themeShade="1a"/>
          <w:sz w:val="28"/>
          <w:szCs w:val="28"/>
        </w:rPr>
        <w:t>линдр. Диаметр цилиндра должен быть на 1—2 см больше диа</w:t>
      </w:r>
      <w:r>
        <w:rPr>
          <w:color w:val="1a1a1a" w:themeColor="background1" w:themeShade="1a"/>
          <w:sz w:val="28"/>
          <w:szCs w:val="28"/>
        </w:rPr>
        <w:softHyphen/>
      </w:r>
      <w:r>
        <w:rPr>
          <w:color w:val="1a1a1a" w:themeColor="background1" w:themeShade="1a"/>
          <w:sz w:val="28"/>
          <w:szCs w:val="28"/>
        </w:rPr>
        <w:t>метра урометра. Мочу осторожно приливают по стенке цилиндра так, чтобы не образовывалась пена. Су</w:t>
      </w:r>
      <w:r>
        <w:rPr>
          <w:color w:val="1a1a1a" w:themeColor="background1" w:themeShade="1a"/>
          <w:sz w:val="28"/>
          <w:szCs w:val="28"/>
        </w:rPr>
        <w:softHyphen/>
      </w:r>
      <w:r>
        <w:rPr>
          <w:color w:val="1a1a1a" w:themeColor="background1" w:themeShade="1a"/>
          <w:sz w:val="28"/>
          <w:szCs w:val="28"/>
        </w:rPr>
        <w:t>хой урометр медленно погружают и отмечают показания по нижнему мениску после прекращения колебаний урометра.</w:t>
      </w: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4.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Провести исследования проб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Зимницкого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;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</w:p>
    <w:p>
      <w:pPr>
        <w:spacing w:after="0" w:line="360" w:lineRule="auto"/>
        <w:ind w:left="714" w:hanging="357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5. Офо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рмить результаты в виде бланка:</w:t>
      </w:r>
    </w:p>
    <w:tbl>
      <w:tblPr>
        <w:tblStyle w:val="TableGrid"/>
        <w:tblW w:w="0" w:type="auto"/>
        <w:tblLook w:val="04A0"/>
      </w:tblPr>
      <w:tblGrid>
        <w:gridCol w:w="4644"/>
        <w:gridCol w:w="4678"/>
      </w:tblGrid>
      <w:tr>
        <w:trPr/>
        <w:tc>
          <w:tcPr>
            <w:cnfStyle w:val="10100000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Физические свойства:</w:t>
            </w:r>
          </w:p>
        </w:tc>
        <w:tc>
          <w:tcPr>
            <w:cnfStyle w:val="10000000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Анализ мочи</w:t>
            </w:r>
          </w:p>
        </w:tc>
      </w:tr>
      <w:tr>
        <w:trPr/>
        <w:tc>
          <w:tcPr>
            <w:cnfStyle w:val="00100010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количество</w:t>
            </w:r>
          </w:p>
        </w:tc>
        <w:tc>
          <w:tcPr>
            <w:cnfStyle w:val="00000010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245мл</w:t>
            </w:r>
          </w:p>
        </w:tc>
      </w:tr>
      <w:tr>
        <w:trPr/>
        <w:tc>
          <w:tcPr>
            <w:cnfStyle w:val="00100001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цвет</w:t>
            </w:r>
          </w:p>
        </w:tc>
        <w:tc>
          <w:tcPr>
            <w:cnfStyle w:val="00000001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цвет «пива»</w:t>
            </w:r>
          </w:p>
        </w:tc>
      </w:tr>
      <w:tr>
        <w:trPr/>
        <w:tc>
          <w:tcPr>
            <w:cnfStyle w:val="00100010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прозрачность</w:t>
            </w:r>
          </w:p>
        </w:tc>
        <w:tc>
          <w:tcPr>
            <w:cnfStyle w:val="00000010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прозрачная</w:t>
            </w:r>
          </w:p>
        </w:tc>
      </w:tr>
      <w:tr>
        <w:trPr/>
        <w:tc>
          <w:tcPr>
            <w:cnfStyle w:val="00100001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осадок</w:t>
            </w:r>
          </w:p>
        </w:tc>
        <w:tc>
          <w:tcPr>
            <w:cnfStyle w:val="00000001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отсутствует</w:t>
            </w:r>
          </w:p>
        </w:tc>
      </w:tr>
      <w:tr>
        <w:trPr/>
        <w:tc>
          <w:tcPr>
            <w:cnfStyle w:val="00100010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реакция</w:t>
            </w:r>
          </w:p>
        </w:tc>
        <w:tc>
          <w:tcPr>
            <w:cnfStyle w:val="00000010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кислая</w:t>
            </w:r>
          </w:p>
        </w:tc>
      </w:tr>
      <w:tr>
        <w:trPr/>
        <w:tc>
          <w:tcPr>
            <w:cnfStyle w:val="001000010000"/>
            <w:tcW w:w="4644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относительная плотность</w:t>
            </w:r>
          </w:p>
        </w:tc>
        <w:tc>
          <w:tcPr>
            <w:cnfStyle w:val="000000010000"/>
            <w:tcW w:w="4678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1,018</w:t>
            </w:r>
          </w:p>
        </w:tc>
      </w:tr>
    </w:tbl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Вывод: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исследовали пробу мочи на физические свойства (кол-во,  цвет, прозрачность, осадок,  реакция, относительная плотность).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Исследования показали,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что,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цвет не соответствует норме (в норме-соломенно-желтый), реакция (в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норме-слабокислая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).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Цвет «пива» свидетельствует о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паренхиматозной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или механической желтухе. Кислая реакция возможно из-за большого употребления мясной пищи. Остальные показатели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в норме.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6. Решите задачи: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  <w:t>Задача № 1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Клинико-диагностическая лаборатория городской больницы № 1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Красноярска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АНАЛИЗ МОЧИ ПО ЗИМНИЦКОМУ № 1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«26» октября 2011г. отделение урологическое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Семенов Я. Я.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240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1,006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130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1,008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1,007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1,007</w:t>
            </w:r>
          </w:p>
        </w:tc>
      </w:tr>
    </w:tbl>
    <w:p>
      <w:pPr>
        <w:spacing w:before="24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Количество выпитой жидкости - 1,8л в сутки. </w:t>
      </w:r>
    </w:p>
    <w:tbl>
      <w:tblPr>
        <w:tblStyle w:val="TableGrid"/>
        <w:tblW w:w="0" w:type="auto"/>
        <w:tblLook w:val="04A0"/>
      </w:tblPr>
      <w:tblGrid>
        <w:gridCol w:w="4785"/>
        <w:gridCol w:w="4786"/>
      </w:tblGrid>
      <w:tr>
        <w:trPr/>
        <w:tc>
          <w:tcPr>
            <w:cnfStyle w:val="1010000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cnfStyle w:val="1000000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Проба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Зимницкого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невной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665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очной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405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Дневной:ночной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1,64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Суточный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1070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 плотность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плотность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1,004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Изостенурия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0C2D301A-F8B3-2C95-504C591C501B" coordsize="21600,21600" style="position:absolute;width:59.4pt;height:0pt;mso-width-percent:0;mso-width-relative:margin;mso-height-percent:0;mso-height-relative:margin;margin-top:20.1pt;margin-left:86.4pt;mso-wrap-distance-left:9pt;mso-wrap-distance-right:9pt;mso-wrap-distance-top:0pt;mso-wrap-distance-bottom:0pt;rotation:0.000000;z-index:251805696;" o:spt="32" o:oned="t" path="m0,0 l21600,21600 e">
                  <o:lock/>
                </v:shape>
              </w:pic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   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Гипостенурия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преобладает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Никтурия</w:t>
            </w:r>
          </w:p>
        </w:tc>
        <w:tc>
          <w:tcPr>
            <w:cnfStyle w:val="000000010000"/>
            <w:tcW w:w="4786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8CA28D26-5019-7253-E32EC0F65332" coordsize="21600,21600" style="position:absolute;width:59.4499pt;height:0pt;margin-top:20.35pt;margin-left:87.25pt;mso-wrap-distance-left:9pt;mso-wrap-distance-right:9pt;mso-wrap-distance-top:0pt;mso-wrap-distance-bottom:0pt;rotation:0.000000;z-index:251807744;" o:spt="32" o:oned="t" path="m0,0 l21600,21600 e">
                  <o:lock/>
                </v:shape>
              </w:pict>
            </w:r>
          </w:p>
        </w:tc>
      </w:tr>
    </w:tbl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Вывод: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при исследовании анализа мочи №1 у больного наблюдается синдром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гипостенурии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(относительная плотность  ниже 1,010-1,011)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 признак нарушения концентрационной способности почек.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  <w:t>Задача № 2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Клинико-диагностическая лаборатория городской больницы № 1 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г. Красноярска</w:t>
            </w:r>
          </w:p>
        </w:tc>
      </w:tr>
      <w:tr>
        <w:trPr/>
        <w:tc>
          <w:tcPr>
            <w:cnfStyle w:val="001000100000"/>
            <w:tcW w:w="9571" w:type="dxa"/>
            <w:gridSpan w:val="6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АНАЛИЗ МОЧИ ПО ЗИМНИЦКОМУ № 2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«22» апреля 2013г. Отделение урологическое</w:t>
            </w:r>
          </w:p>
        </w:tc>
      </w:tr>
      <w:tr>
        <w:trPr/>
        <w:tc>
          <w:tcPr>
            <w:cnfStyle w:val="001000010000"/>
            <w:tcW w:w="9571" w:type="dxa"/>
            <w:gridSpan w:val="6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Иванов И.Г.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260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1,013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1,019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300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1,016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1,021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310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1,026</w: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Количество 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ыпитой за сутки жидкости 2,9 л.</w:t>
      </w:r>
    </w:p>
    <w:tbl>
      <w:tblPr>
        <w:tblStyle w:val="TableGrid"/>
        <w:tblW w:w="0" w:type="auto"/>
        <w:tblLook w:val="04A0"/>
      </w:tblPr>
      <w:tblGrid>
        <w:gridCol w:w="4785"/>
        <w:gridCol w:w="4786"/>
      </w:tblGrid>
      <w:tr>
        <w:trPr/>
        <w:tc>
          <w:tcPr>
            <w:cnfStyle w:val="1010000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cnfStyle w:val="100000000000"/>
            <w:tcW w:w="4786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Проба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Зимницкого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Дневной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1120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Ночной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225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Дневной: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ночной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4,9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Суточный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1345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 плотность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1,026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плотность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1,016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Изостенурия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tabs>
                <w:tab w:val="left" w:pos="1691"/>
              </w:tabs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13731D2E-B9DC-410E-A8EE0866B6BA" coordsize="21600,21600" style="position:absolute;width:59.4pt;height:0pt;mso-width-percent:0;mso-width-relative:margin;mso-height-percent:0;mso-height-relative:margin;margin-top:15.8pt;margin-left:87.45pt;mso-wrap-distance-left:9pt;mso-wrap-distance-right:9pt;mso-wrap-distance-top:0pt;mso-wrap-distance-bottom:0pt;rotation:0.000000;z-index:251820032;" o:spt="32" o:oned="t" path="m0,0 l21600,21600 e">
                  <o:lock/>
                </v:shape>
              </w:pic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Гипостенурия</w:t>
            </w:r>
          </w:p>
        </w:tc>
        <w:tc>
          <w:tcPr>
            <w:cnfStyle w:val="000000100000"/>
            <w:tcW w:w="4786" w:type="dxa"/>
          </w:tcPr>
          <w:p>
            <w:pPr>
              <w:tabs>
                <w:tab w:val="left" w:pos="1758"/>
              </w:tabs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8830F3AC-03DD-6B1A-8E919DC6F6D3" coordsize="21600,21600" style="position:absolute;width:59.4pt;height:0pt;margin-top:19.95pt;margin-left:87.65pt;mso-wrap-distance-left:9pt;mso-wrap-distance-right:9pt;mso-wrap-distance-top:0pt;mso-wrap-distance-bottom:0pt;rotation:0.000000;z-index:251812864;" o:spt="32" o:oned="t" path="m0,0 l21600,21600 e">
                  <o:lock/>
                </v:shape>
              </w:pic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ab/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  </w:t>
            </w:r>
          </w:p>
        </w:tc>
      </w:tr>
      <w:tr>
        <w:trPr>
          <w:trHeight w:val="194"/>
        </w:trPr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Никтурия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78EF88F9-CD2C-DA45-4FB2C40D054A" coordsize="21600,21600" style="position:absolute;width:50.4499pt;height:0pt;mso-width-percent:0;mso-width-relative:margin;mso-height-percent:0;mso-height-relative:margin;margin-top:21.1pt;margin-left:101.75pt;mso-wrap-distance-left:9pt;mso-wrap-distance-right:9pt;mso-wrap-distance-top:0pt;mso-wrap-distance-bottom:0pt;rotation:0.000000;z-index:251810816;" o:spt="32" o:oned="t" path="m0,0 l21600,21600 e">
                  <o:lock/>
                </v:shape>
              </w:pict>
            </w:r>
          </w:p>
        </w:tc>
      </w:tr>
    </w:tbl>
    <w:p>
      <w:pPr>
        <w:spacing w:before="24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Style w:val="Заголовок1Знак"/>
          <w:color w:val="0d0d0d" w:themeColor="text1" w:themeTint="f2"/>
        </w:rPr>
        <w:t>Вывод</w:t>
      </w:r>
      <w:r>
        <w:rPr>
          <w:rFonts w:ascii="Times New Roman" w:cs="Times New Roman" w:hAnsi="Times New Roman"/>
          <w:color w:val="0d0d0d" w:themeColor="text1" w:themeTint="f2"/>
          <w:sz w:val="28"/>
          <w:szCs w:val="28"/>
        </w:rPr>
        <w:t>: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при исследовании анализа мочи №2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патологических симптомов не выявлено.</w:t>
      </w:r>
    </w:p>
    <w:p>
      <w:pPr>
        <w:spacing w:after="0" w:line="360" w:lineRule="auto"/>
        <w:jc w:val="center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  <w:t>Задача № 3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Клинико-диагностическая лаборатория городской больницы № 1 г. Красноярска</w:t>
            </w:r>
          </w:p>
        </w:tc>
      </w:tr>
      <w:tr>
        <w:trPr/>
        <w:tc>
          <w:tcPr>
            <w:cnfStyle w:val="001000100000"/>
            <w:tcW w:w="9571" w:type="dxa"/>
            <w:gridSpan w:val="6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АНАЛИЗ МОЧИ ПО ЗИМНИЦКОМУ № 3 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 25 » января 2023г. отделение урологическое</w:t>
            </w:r>
          </w:p>
        </w:tc>
      </w:tr>
      <w:tr>
        <w:trPr/>
        <w:tc>
          <w:tcPr>
            <w:cnfStyle w:val="001000010000"/>
            <w:tcW w:w="9571" w:type="dxa"/>
            <w:gridSpan w:val="6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Шухов В.Г.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u w:val="single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</w:tr>
      <w:tr>
        <w:trPr/>
        <w:tc>
          <w:tcPr>
            <w:cnfStyle w:val="001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280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1,017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175</w:t>
            </w:r>
          </w:p>
        </w:tc>
        <w:tc>
          <w:tcPr>
            <w:cnfStyle w:val="000000010000"/>
            <w:tcW w:w="1596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1,017</w:t>
            </w:r>
          </w:p>
        </w:tc>
      </w:tr>
      <w:tr>
        <w:trPr/>
        <w:tc>
          <w:tcPr>
            <w:cnfStyle w:val="001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9-12час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275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220</w:t>
            </w:r>
          </w:p>
        </w:tc>
        <w:tc>
          <w:tcPr>
            <w:cnfStyle w:val="000000100000"/>
            <w:tcW w:w="1596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1,011</w:t>
            </w:r>
          </w:p>
        </w:tc>
      </w:tr>
      <w:tr>
        <w:trPr/>
        <w:tc>
          <w:tcPr>
            <w:cnfStyle w:val="001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210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1,016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270</w:t>
            </w:r>
          </w:p>
        </w:tc>
        <w:tc>
          <w:tcPr>
            <w:cnfStyle w:val="000000010000"/>
            <w:tcW w:w="1596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</w:tr>
      <w:tr>
        <w:trPr/>
        <w:tc>
          <w:tcPr>
            <w:cnfStyle w:val="001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1,013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</w:p>
        </w:tc>
        <w:tc>
          <w:tcPr>
            <w:cnfStyle w:val="000000100000"/>
            <w:tcW w:w="1595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200</w:t>
            </w:r>
          </w:p>
        </w:tc>
        <w:tc>
          <w:tcPr>
            <w:cnfStyle w:val="000000100000"/>
            <w:tcW w:w="1596" w:type="dxa"/>
          </w:tcPr>
          <w:p>
            <w:pPr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1,019</w:t>
            </w:r>
          </w:p>
        </w:tc>
      </w:tr>
    </w:tbl>
    <w:p>
      <w:pPr>
        <w:spacing w:before="240" w:line="24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4785"/>
        <w:gridCol w:w="4786"/>
      </w:tblGrid>
      <w:tr>
        <w:trPr/>
        <w:tc>
          <w:tcPr>
            <w:cnfStyle w:val="1010000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cnfStyle w:val="1000000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Проба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Зимницкого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Дневной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865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Ночной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865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Дневной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:н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очной диурез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Суточный диурез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1730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 плотность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плотность</w:t>
            </w:r>
          </w:p>
        </w:tc>
        <w:tc>
          <w:tcPr>
            <w:cnfStyle w:val="00000001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Мах-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</w:p>
        </w:tc>
        <w:tc>
          <w:tcPr>
            <w:cnfStyle w:val="000000100000"/>
            <w:tcW w:w="4786" w:type="dxa"/>
            <w:vAlign w:val="center"/>
          </w:tcPr>
          <w:p>
            <w:pPr>
              <w:spacing w:before="24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Изостенурия</w:t>
            </w:r>
          </w:p>
        </w:tc>
        <w:tc>
          <w:tcPr>
            <w:cnfStyle w:val="000000010000"/>
            <w:tcW w:w="4786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4CFB0ABE-C006-B310-487BE2F7FA38" coordsize="21600,21600" style="position:absolute;width:59.45pt;height:0pt;margin-top:19.75pt;margin-left:54.1pt;mso-wrap-distance-left:9pt;mso-wrap-distance-right:9pt;mso-wrap-distance-top:0pt;mso-wrap-distance-bottom:0pt;rotation:0.000000;z-index:251814912;" strokecolor="#2c2c2c" o:spt="32" o:oned="t" path="m0,0 l21600,21600 e">
                  <o:lock/>
                </v:shape>
              </w:pic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Гипостенурия</w:t>
            </w:r>
          </w:p>
        </w:tc>
        <w:tc>
          <w:tcPr>
            <w:cnfStyle w:val="000000100000"/>
            <w:tcW w:w="4786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E660C099-E0EA-E64E-7DBCEEB958A7" coordsize="21600,21600" style="position:absolute;width:59.45pt;height:0pt;margin-top:20.1499pt;margin-left:54.4pt;mso-wrap-distance-left:9pt;mso-wrap-distance-right:9pt;mso-wrap-distance-top:0pt;mso-wrap-distance-bottom:0pt;rotation:0.000000;z-index:251817984;" strokecolor="#2c2c2c" o:spt="32" o:oned="t" path="m0,0 l21600,21600 e">
                  <o:lock/>
                </v:shape>
              </w:pic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Никтурия</w:t>
            </w:r>
          </w:p>
        </w:tc>
        <w:tc>
          <w:tcPr>
            <w:cnfStyle w:val="000000010000"/>
            <w:tcW w:w="4786" w:type="dxa"/>
          </w:tcPr>
          <w:p>
            <w:pPr>
              <w:spacing w:before="24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pict>
                <v:shape id="7BE28D7D-C9DB-90AD-7D34975AF148" coordsize="21600,21600" style="position:absolute;width:59.45pt;height:0pt;margin-top:20.35pt;margin-left:54.4pt;mso-wrap-distance-left:9pt;mso-wrap-distance-right:9pt;mso-wrap-distance-top:0pt;mso-wrap-distance-bottom:0pt;rotation:0.000000;z-index:251815936;" strokecolor="#2c2c2c" o:spt="32" o:oned="t" path="m0,0 l21600,21600 e">
                  <o:lock/>
                </v:shape>
              </w:pic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Вывод: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при исследовании анализа мочи №3 патоло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гических синдромов не выявлено.</w:t>
      </w: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numPr>
          <w:ilvl w:val="0"/>
          <w:numId w:val="2"/>
        </w:numPr>
        <w:spacing w:after="0" w:line="360" w:lineRule="auto"/>
        <w:ind w:left="714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Состави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ть задачи на следующие синдромы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:</w:t>
      </w:r>
    </w:p>
    <w:p>
      <w:pPr>
        <w:pStyle w:val="ListParagraph"/>
        <w:numPr>
          <w:ilvl w:val="0"/>
          <w:numId w:val="17"/>
        </w:numPr>
        <w:spacing w:after="0" w:line="360" w:lineRule="auto"/>
        <w:ind w:left="357" w:hanging="357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Никтурия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Поликлиника №3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Красноярска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АНАЛИЗ МОЧИ ПО ЗИМНИЦКОМУ 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«02» октября 2019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г. отделение урологическое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Деревяшко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 xml:space="preserve"> Ю.Д.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140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1,006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1,008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1,007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1,007</w:t>
            </w:r>
          </w:p>
        </w:tc>
      </w:tr>
    </w:tbl>
    <w:p>
      <w:pPr>
        <w:pStyle w:val="ListParagraph"/>
        <w:spacing w:after="0" w:line="360" w:lineRule="auto"/>
        <w:ind w:left="357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numPr>
          <w:ilvl w:val="0"/>
          <w:numId w:val="17"/>
        </w:numPr>
        <w:spacing w:after="0" w:line="360" w:lineRule="auto"/>
        <w:ind w:left="357" w:hanging="357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Гипостенурия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Поликлиника № 1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Красноярска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АНАЛИЗ МОЧИ ПО ЗИМНИЦКОМУ 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«16» октября 2012г. отделение гинекологическое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Шишкин Г.О.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240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1,004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1,004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130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1,008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1,007</w: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numPr>
          <w:ilvl w:val="0"/>
          <w:numId w:val="17"/>
        </w:numPr>
        <w:spacing w:after="0" w:line="360" w:lineRule="auto"/>
        <w:ind w:left="357" w:hanging="357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Изостенурия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Клинико-диагностическая лаборатория городской больницы № 67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Омска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АНАЛИЗ МОЧИ ПО ЗИМНИЦКОМУ 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«17» октября 2017г. отделение хирургическое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Иванова Ф.Е.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240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1,011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175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130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1,010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09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1,009</w: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numPr>
          <w:ilvl w:val="0"/>
          <w:numId w:val="17"/>
        </w:numPr>
        <w:spacing w:after="0" w:line="360" w:lineRule="auto"/>
        <w:ind w:left="357" w:hanging="357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Олигоурия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Клинико-диагностическая лаборатория городской больницы № 10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Кемерово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АНАЛИЗ МОЧИ ПО ЗИМНИЦКОМУ № 1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«26» октября 2019г. отделение урологическое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Горячкин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 xml:space="preserve"> И.Е.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40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8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1,005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55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1,020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55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50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</w:t>
            </w:r>
          </w:p>
        </w:tc>
      </w:tr>
    </w:tbl>
    <w:p>
      <w:pPr>
        <w:spacing w:after="0" w:line="360" w:lineRule="auto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numPr>
          <w:ilvl w:val="0"/>
          <w:numId w:val="17"/>
        </w:numPr>
        <w:spacing w:after="0" w:line="360" w:lineRule="auto"/>
        <w:ind w:left="357" w:hanging="357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Анурия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</w:p>
    <w:tbl>
      <w:tblPr>
        <w:tblStyle w:val="TableGrid"/>
        <w:tblW w:w="0" w:type="auto"/>
        <w:tblLook w:val="04A0"/>
      </w:tblPr>
      <w:tblGrid>
        <w:gridCol w:w="1595"/>
        <w:gridCol w:w="1595"/>
        <w:gridCol w:w="1595"/>
        <w:gridCol w:w="1595"/>
        <w:gridCol w:w="1595"/>
        <w:gridCol w:w="1596"/>
      </w:tblGrid>
      <w:tr>
        <w:trPr/>
        <w:tc>
          <w:tcPr>
            <w:cnfStyle w:val="101000000000"/>
            <w:tcW w:w="9571" w:type="dxa"/>
            <w:gridSpan w:val="6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Клинико-диагностическая лаборатория городской больницы № 13</w:t>
            </w:r>
          </w:p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г. Красноярска</w:t>
            </w:r>
          </w:p>
        </w:tc>
      </w:tr>
      <w:tr>
        <w:trPr>
          <w:trHeight w:val="555"/>
        </w:trPr>
        <w:tc>
          <w:tcPr>
            <w:cnfStyle w:val="001000100000"/>
            <w:tcW w:w="9571" w:type="dxa"/>
            <w:gridSpan w:val="6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АНАЛИЗ МОЧИ ПО ЗИМНИЦКОМУ </w:t>
            </w:r>
          </w:p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«08» октября 2010г. отделение урологическое</w:t>
            </w:r>
          </w:p>
        </w:tc>
      </w:tr>
      <w:tr>
        <w:trPr>
          <w:trHeight w:val="555"/>
        </w:trPr>
        <w:tc>
          <w:tcPr>
            <w:cnfStyle w:val="001000010000"/>
            <w:tcW w:w="9571" w:type="dxa"/>
            <w:gridSpan w:val="6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Ф. И.О. больного 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>Канарейкина</w:t>
            </w:r>
            <w:r>
              <w:rPr>
                <w:rFonts w:ascii="Times New Roman" w:cs="Times New Roman" w:hAnsi="Times New Roman"/>
                <w:i/>
                <w:color w:val="1a1a1a" w:themeColor="background1" w:themeShade="1a"/>
                <w:sz w:val="28"/>
                <w:szCs w:val="28"/>
              </w:rPr>
              <w:t xml:space="preserve"> Я.Ф.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лотность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Время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Кол-во мочи, мл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Относит. Плотность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6-9час.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1,014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18-21 час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1,021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9-12 час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1,016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21-24 часа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7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1,029</w:t>
            </w:r>
          </w:p>
        </w:tc>
      </w:tr>
      <w:tr>
        <w:trPr/>
        <w:tc>
          <w:tcPr>
            <w:cnfStyle w:val="001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12-15 час.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1,015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0-3 часа</w:t>
            </w:r>
          </w:p>
        </w:tc>
        <w:tc>
          <w:tcPr>
            <w:cnfStyle w:val="00000001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01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1,018</w:t>
            </w:r>
          </w:p>
        </w:tc>
      </w:tr>
      <w:tr>
        <w:trPr/>
        <w:tc>
          <w:tcPr>
            <w:cnfStyle w:val="001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15-18 час.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1,027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3-6 час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 .</w:t>
            </w:r>
          </w:p>
        </w:tc>
        <w:tc>
          <w:tcPr>
            <w:cnfStyle w:val="000000100000"/>
            <w:tcW w:w="1595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000000100000"/>
            <w:tcW w:w="159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1,027</w:t>
            </w:r>
          </w:p>
        </w:tc>
      </w:tr>
    </w:tbl>
    <w:p>
      <w:pPr>
        <w:pStyle w:val="ListParagraph"/>
        <w:spacing w:after="0" w:line="360" w:lineRule="auto"/>
        <w:ind w:left="340" w:hanging="340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День 3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(11.06.19)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ИССЛЕДОВАНИЕ ХИМИЧЕСКИХ СВОЙСТВ МОЧИ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Записать методику, принцип мето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да, реактивы и ход определения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Определения белка в моче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В норме белка в моче практически нет. Наличие белка в моче называется </w:t>
      </w:r>
      <w:r>
        <w:rPr>
          <w:b/>
          <w:color w:val="1a1a1a" w:themeColor="background1" w:themeShade="1a"/>
          <w:sz w:val="28"/>
          <w:szCs w:val="28"/>
        </w:rPr>
        <w:t>протеинурия</w:t>
      </w:r>
      <w:r>
        <w:rPr>
          <w:color w:val="1a1a1a" w:themeColor="background1" w:themeShade="1a"/>
          <w:sz w:val="28"/>
          <w:szCs w:val="28"/>
        </w:rPr>
        <w:t xml:space="preserve"> [от лат. </w:t>
      </w:r>
      <w:r>
        <w:rPr>
          <w:color w:val="1a1a1a" w:themeColor="background1" w:themeShade="1a"/>
          <w:sz w:val="28"/>
          <w:szCs w:val="28"/>
        </w:rPr>
        <w:t>protein</w:t>
      </w:r>
      <w:r>
        <w:rPr>
          <w:color w:val="1a1a1a" w:themeColor="background1" w:themeShade="1a"/>
          <w:sz w:val="28"/>
          <w:szCs w:val="28"/>
        </w:rPr>
        <w:t xml:space="preserve"> белок + </w:t>
      </w:r>
      <w:r>
        <w:rPr>
          <w:color w:val="1a1a1a" w:themeColor="background1" w:themeShade="1a"/>
          <w:sz w:val="28"/>
          <w:szCs w:val="28"/>
        </w:rPr>
        <w:t>urina</w:t>
      </w:r>
      <w:r>
        <w:rPr>
          <w:color w:val="1a1a1a" w:themeColor="background1" w:themeShade="1a"/>
          <w:sz w:val="28"/>
          <w:szCs w:val="28"/>
        </w:rPr>
        <w:t xml:space="preserve"> моча]. Определение белка входит в общий анализ мочи, являясь его обязательным компонентом. Вначале проводят качественное определение белка с помощью: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- унифицированной пробы с 20% раствором сульфосалициловой кислоты;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- </w:t>
      </w:r>
      <w:r>
        <w:rPr>
          <w:color w:val="1a1a1a" w:themeColor="background1" w:themeShade="1a"/>
          <w:sz w:val="28"/>
          <w:szCs w:val="28"/>
        </w:rPr>
        <w:t>экспресс-тестов</w:t>
      </w:r>
      <w:r>
        <w:rPr>
          <w:color w:val="1a1a1a" w:themeColor="background1" w:themeShade="1a"/>
          <w:sz w:val="28"/>
          <w:szCs w:val="28"/>
        </w:rPr>
        <w:t xml:space="preserve"> типа «</w:t>
      </w:r>
      <w:r>
        <w:rPr>
          <w:color w:val="1a1a1a" w:themeColor="background1" w:themeShade="1a"/>
          <w:sz w:val="28"/>
          <w:szCs w:val="28"/>
        </w:rPr>
        <w:t>Альбуфан</w:t>
      </w:r>
      <w:r>
        <w:rPr>
          <w:color w:val="1a1a1a" w:themeColor="background1" w:themeShade="1a"/>
          <w:sz w:val="28"/>
          <w:szCs w:val="28"/>
        </w:rPr>
        <w:t>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В норме эти пробы отрицательны. Если же они дают положительный результат, то есть если в моче обнаружен белок, то определяют его количество. Для количественного определения белка в моче используются унифицированные методы: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- </w:t>
      </w:r>
      <w:r>
        <w:rPr>
          <w:color w:val="1a1a1a" w:themeColor="background1" w:themeShade="1a"/>
          <w:sz w:val="28"/>
          <w:szCs w:val="28"/>
        </w:rPr>
        <w:t>турбидиметрический</w:t>
      </w:r>
      <w:r>
        <w:rPr>
          <w:color w:val="1a1a1a" w:themeColor="background1" w:themeShade="1a"/>
          <w:sz w:val="28"/>
          <w:szCs w:val="28"/>
        </w:rPr>
        <w:t xml:space="preserve"> с 3% раствором сульфосалициловой кислоты;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- </w:t>
      </w:r>
      <w:r>
        <w:rPr>
          <w:color w:val="1a1a1a" w:themeColor="background1" w:themeShade="1a"/>
          <w:sz w:val="28"/>
          <w:szCs w:val="28"/>
        </w:rPr>
        <w:t>Брандберга</w:t>
      </w:r>
      <w:r>
        <w:rPr>
          <w:color w:val="1a1a1a" w:themeColor="background1" w:themeShade="1a"/>
          <w:sz w:val="28"/>
          <w:szCs w:val="28"/>
        </w:rPr>
        <w:t>-Робертса-</w:t>
      </w:r>
      <w:r>
        <w:rPr>
          <w:color w:val="1a1a1a" w:themeColor="background1" w:themeShade="1a"/>
          <w:sz w:val="28"/>
          <w:szCs w:val="28"/>
        </w:rPr>
        <w:t>Стольникова</w:t>
      </w:r>
      <w:r>
        <w:rPr>
          <w:color w:val="1a1a1a" w:themeColor="background1" w:themeShade="1a"/>
          <w:sz w:val="28"/>
          <w:szCs w:val="28"/>
        </w:rPr>
        <w:t>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- </w:t>
      </w:r>
      <w:r>
        <w:rPr>
          <w:color w:val="1a1a1a" w:themeColor="background1" w:themeShade="1a"/>
          <w:sz w:val="28"/>
          <w:szCs w:val="28"/>
        </w:rPr>
        <w:t>биуретовый</w:t>
      </w:r>
      <w:r>
        <w:rPr>
          <w:color w:val="1a1a1a" w:themeColor="background1" w:themeShade="1a"/>
          <w:sz w:val="28"/>
          <w:szCs w:val="28"/>
        </w:rPr>
        <w:t>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- с </w:t>
      </w:r>
      <w:r>
        <w:rPr>
          <w:color w:val="1a1a1a" w:themeColor="background1" w:themeShade="1a"/>
          <w:sz w:val="28"/>
          <w:szCs w:val="28"/>
        </w:rPr>
        <w:t>пирогаллоловым</w:t>
      </w:r>
      <w:r>
        <w:rPr>
          <w:color w:val="1a1a1a" w:themeColor="background1" w:themeShade="1a"/>
          <w:sz w:val="28"/>
          <w:szCs w:val="28"/>
        </w:rPr>
        <w:t xml:space="preserve"> красным.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Количество белка в моче выражают в </w:t>
      </w:r>
      <w:r>
        <w:rPr>
          <w:color w:val="1a1a1a" w:themeColor="background1" w:themeShade="1a"/>
          <w:sz w:val="28"/>
          <w:szCs w:val="28"/>
        </w:rPr>
        <w:t>г</w:t>
      </w:r>
      <w:r>
        <w:rPr>
          <w:color w:val="1a1a1a" w:themeColor="background1" w:themeShade="1a"/>
          <w:sz w:val="28"/>
          <w:szCs w:val="28"/>
        </w:rPr>
        <w:t>/л. В норме количество белка в моче не превышает 0,033г/л</w:t>
      </w:r>
      <w:r>
        <w:rPr>
          <w:color w:val="1a1a1a" w:themeColor="background1" w:themeShade="1a"/>
          <w:sz w:val="28"/>
          <w:szCs w:val="28"/>
        </w:rPr>
        <w:t>.</w:t>
      </w: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>Качественное определение белка пробой с сульфосалициловой кислотой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Принцип: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б</w:t>
      </w:r>
      <w:r>
        <w:rPr>
          <w:color w:val="1a1a1a" w:themeColor="background1" w:themeShade="1a"/>
          <w:sz w:val="28"/>
          <w:szCs w:val="28"/>
        </w:rPr>
        <w:t>елки, содержащиеся в моче, под действием сульфосалициловой кислоты свертываются (денатурируются), в результате чего происходит помутнение раствора или выпадение в осадок хлопьев.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Реактив:</w:t>
      </w:r>
      <w:r>
        <w:rPr>
          <w:color w:val="1a1a1a" w:themeColor="background1" w:themeShade="1a"/>
          <w:sz w:val="28"/>
          <w:szCs w:val="28"/>
        </w:rPr>
        <w:t xml:space="preserve"> 20% раствор сульфосалициловой кислоты (ССК).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Подготовительная работа. Мутную мочу фильтруют (центрифугируют). Мочу щелочной реакции подкисляют несколькими каплями 10% уксусной кислоты до слабокислой реакции под контролем индикаторной бумаги.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Ход исследования</w:t>
      </w:r>
      <w:r>
        <w:rPr>
          <w:color w:val="1a1a1a" w:themeColor="background1" w:themeShade="1a"/>
          <w:sz w:val="28"/>
          <w:szCs w:val="28"/>
        </w:rPr>
        <w:t>:</w:t>
      </w:r>
      <w:r>
        <w:rPr>
          <w:color w:val="1a1a1a" w:themeColor="background1" w:themeShade="1a"/>
          <w:sz w:val="28"/>
          <w:szCs w:val="28"/>
        </w:rPr>
        <w:t xml:space="preserve"> в</w:t>
      </w:r>
      <w:r>
        <w:rPr>
          <w:color w:val="1a1a1a" w:themeColor="background1" w:themeShade="1a"/>
          <w:sz w:val="28"/>
          <w:szCs w:val="28"/>
        </w:rPr>
        <w:t xml:space="preserve"> 2 химические пробирки одинакового диаметра (опыт и контроль) наливают по 2-3мл подготовленной мочи. В опытную пробирку добавляют 3-4 капли 20% ССК и перемешивают содержимое. Результаты пробы оценивают, сравнивая прозрачность опытной и контрольной пробы на черном фоне в проходящем свете. Появление помутнения в опытной пробирке указывает на наличие белка в моче (положительная проба).</w:t>
      </w: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 xml:space="preserve">Определение количества белка методом </w:t>
      </w:r>
      <w:r>
        <w:rPr>
          <w:b/>
          <w:color w:val="1a1a1a" w:themeColor="background1" w:themeShade="1a"/>
          <w:sz w:val="28"/>
          <w:szCs w:val="28"/>
        </w:rPr>
        <w:t>Брандберга</w:t>
      </w:r>
      <w:r>
        <w:rPr>
          <w:b/>
          <w:color w:val="1a1a1a" w:themeColor="background1" w:themeShade="1a"/>
          <w:sz w:val="28"/>
          <w:szCs w:val="28"/>
        </w:rPr>
        <w:t>-Робертса-</w:t>
      </w:r>
      <w:r>
        <w:rPr>
          <w:b/>
          <w:color w:val="1a1a1a" w:themeColor="background1" w:themeShade="1a"/>
          <w:sz w:val="28"/>
          <w:szCs w:val="28"/>
        </w:rPr>
        <w:t>Стольникова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Принцип:</w:t>
      </w:r>
      <w:r>
        <w:rPr>
          <w:color w:val="1a1a1a" w:themeColor="background1" w:themeShade="1a"/>
          <w:sz w:val="28"/>
          <w:szCs w:val="28"/>
        </w:rPr>
        <w:t xml:space="preserve"> п</w:t>
      </w:r>
      <w:r>
        <w:rPr>
          <w:color w:val="1a1a1a" w:themeColor="background1" w:themeShade="1a"/>
          <w:sz w:val="28"/>
          <w:szCs w:val="28"/>
        </w:rPr>
        <w:t>ри наслоении мочи на раствор азотной кислоты на границе жидкостей образуется кольцо из денатурированного белка. Чем больше белка, тем быстрее образуется кольцо и тем оно ярче выражено.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Реактивы:</w:t>
      </w:r>
      <w:r>
        <w:rPr>
          <w:color w:val="1a1a1a" w:themeColor="background1" w:themeShade="1a"/>
          <w:sz w:val="28"/>
          <w:szCs w:val="28"/>
        </w:rPr>
        <w:t xml:space="preserve"> 50% раствор азотной кислоты или реактив Ларионовой (1% раствор азотной кислоты в насыщенном растворе хлорида натрия).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Ход исследования</w:t>
      </w:r>
      <w:r>
        <w:rPr>
          <w:color w:val="1a1a1a" w:themeColor="background1" w:themeShade="1a"/>
          <w:sz w:val="28"/>
          <w:szCs w:val="28"/>
        </w:rPr>
        <w:t xml:space="preserve">: </w:t>
      </w:r>
      <w:r>
        <w:rPr>
          <w:color w:val="1a1a1a" w:themeColor="background1" w:themeShade="1a"/>
          <w:sz w:val="28"/>
          <w:szCs w:val="28"/>
        </w:rPr>
        <w:t xml:space="preserve"> в</w:t>
      </w:r>
      <w:r>
        <w:rPr>
          <w:color w:val="1a1a1a" w:themeColor="background1" w:themeShade="1a"/>
          <w:sz w:val="28"/>
          <w:szCs w:val="28"/>
        </w:rPr>
        <w:t xml:space="preserve"> пробирку наливают 1мл реактива Ларионовой и осторожно, по стенке наслаивают такое же количество профильтрованной мочи. В течение 4-х минут следят за появлением кольца на границе жидкостей (на черном фоне в проходящем свете). Отмечают время появления кольца и его характер. Если нитевидное колечко появилось между второй и четвертой минутами, то определение считают законченным и рассчитывают количество белка по формуле. Если кольцо появляется сразу после наслоения (на первой минуте), то необходимо развести мочу и затем повторить наслоение с разведенной мочой. Степень разведения подбирают в зависимости от вида кольца. При нитевидном кольце, появившемся ранее 1 минуты, мочу разводят в 2 раза. Если появилось широкое, рыхлое кольцо, необходимо разбавить мочу в 4 раза. При образовании компактного кольца мочу разводят в 8 раз. 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Разведение подбирают таким образом, чтобы нитевидное колечко появилось между второй и четвертой минутами. Каждое последующее разведение готовят из предыдущего.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Расчет количества белка в моче ведут по формуле:</w:t>
      </w:r>
    </w:p>
    <w:p>
      <w:pPr>
        <w:pStyle w:val="Normal(Web)"/>
        <w:tabs>
          <w:tab w:val="center" w:pos="5032"/>
          <w:tab w:val="right" w:pos="9355"/>
        </w:tabs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 xml:space="preserve">0,033г/л × разведение × </w:t>
      </w:r>
      <w:r>
        <w:rPr>
          <w:color w:val="1a1a1a" w:themeColor="background1" w:themeShade="1a"/>
          <w:sz w:val="28"/>
          <w:szCs w:val="28"/>
        </w:rPr>
        <w:t xml:space="preserve"> поправка</w:t>
      </w:r>
      <w:r>
        <w:rPr>
          <w:color w:val="1a1a1a" w:themeColor="background1" w:themeShade="1a"/>
          <w:sz w:val="28"/>
          <w:szCs w:val="28"/>
        </w:rPr>
        <w:tab/>
        <w:t>(1)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Поправку находят по таблице в зависимости от времени появления кольца.</w:t>
      </w:r>
    </w:p>
    <w:p>
      <w:pPr>
        <w:pStyle w:val="Normal(Web)"/>
        <w:spacing w:before="0" w:after="0" w:line="360" w:lineRule="auto"/>
        <w:ind w:firstLine="709"/>
        <w:jc w:val="center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Таблица 3 - </w:t>
      </w:r>
      <w:r>
        <w:rPr>
          <w:color w:val="1a1a1a" w:themeColor="background1" w:themeShade="1a"/>
          <w:sz w:val="28"/>
          <w:szCs w:val="28"/>
        </w:rPr>
        <w:t>Поправки для расчета количества белка в моче</w:t>
      </w:r>
    </w:p>
    <w:tbl>
      <w:tblPr>
        <w:tblW w:w="0" w:type="auto"/>
        <w:tblInd w:w="46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/>
      </w:tblPr>
      <w:tblGrid>
        <w:gridCol w:w="4885"/>
        <w:gridCol w:w="3969"/>
      </w:tblGrid>
      <w:tr>
        <w:trPr/>
        <w:tc>
          <w:tcPr>
            <w:cnfStyle w:val="00001010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Время образования кольца, минуты</w:t>
            </w:r>
          </w:p>
        </w:tc>
        <w:tc>
          <w:tcPr>
            <w:cnfStyle w:val="00000110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Поправка</w:t>
            </w:r>
          </w:p>
        </w:tc>
      </w:tr>
      <w:tr>
        <w:trPr/>
        <w:tc>
          <w:tcPr>
            <w:cnfStyle w:val="00001001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 мин. – 1мин.15 сек.</w:t>
            </w:r>
          </w:p>
        </w:tc>
        <w:tc>
          <w:tcPr>
            <w:cnfStyle w:val="00000101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1,375</w:t>
            </w:r>
          </w:p>
        </w:tc>
      </w:tr>
      <w:tr>
        <w:trPr/>
        <w:tc>
          <w:tcPr>
            <w:cnfStyle w:val="00001010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 мин. 15 сек. – 1 мин. 30 сек.</w:t>
            </w:r>
          </w:p>
        </w:tc>
        <w:tc>
          <w:tcPr>
            <w:cnfStyle w:val="00000110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1,25</w:t>
            </w:r>
          </w:p>
        </w:tc>
      </w:tr>
      <w:tr>
        <w:trPr/>
        <w:tc>
          <w:tcPr>
            <w:cnfStyle w:val="00001001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1 мин. 30 сек. – 1 мин. 45 сек. </w:t>
            </w:r>
          </w:p>
        </w:tc>
        <w:tc>
          <w:tcPr>
            <w:cnfStyle w:val="00000101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1,187</w:t>
            </w:r>
          </w:p>
        </w:tc>
      </w:tr>
      <w:tr>
        <w:trPr/>
        <w:tc>
          <w:tcPr>
            <w:cnfStyle w:val="00001010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 мин. 45 сек. – 2 мин.</w:t>
            </w:r>
          </w:p>
        </w:tc>
        <w:tc>
          <w:tcPr>
            <w:cnfStyle w:val="00000110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1,125</w:t>
            </w:r>
          </w:p>
        </w:tc>
      </w:tr>
      <w:tr>
        <w:trPr/>
        <w:tc>
          <w:tcPr>
            <w:cnfStyle w:val="00001001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 мин. – 2 мин. 30 сек.</w:t>
            </w:r>
          </w:p>
        </w:tc>
        <w:tc>
          <w:tcPr>
            <w:cnfStyle w:val="00000101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1,062</w:t>
            </w:r>
          </w:p>
        </w:tc>
      </w:tr>
      <w:tr>
        <w:trPr/>
        <w:tc>
          <w:tcPr>
            <w:cnfStyle w:val="00001010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 xml:space="preserve">2 мин. 30 сек. – 3 мин. </w:t>
            </w:r>
          </w:p>
        </w:tc>
        <w:tc>
          <w:tcPr>
            <w:cnfStyle w:val="00000110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</w:t>
            </w:r>
          </w:p>
        </w:tc>
      </w:tr>
      <w:tr>
        <w:trPr/>
        <w:tc>
          <w:tcPr>
            <w:cnfStyle w:val="00001001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 мин. – 3 мин. 30 сек.</w:t>
            </w:r>
          </w:p>
        </w:tc>
        <w:tc>
          <w:tcPr>
            <w:cnfStyle w:val="00000101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0,937</w:t>
            </w:r>
          </w:p>
        </w:tc>
      </w:tr>
      <w:tr>
        <w:trPr/>
        <w:tc>
          <w:tcPr>
            <w:cnfStyle w:val="000010100000"/>
            <w:tcW w:w="48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 мин. 30 сек. – 4 мин.</w:t>
            </w:r>
          </w:p>
        </w:tc>
        <w:tc>
          <w:tcPr>
            <w:cnfStyle w:val="000001100000"/>
            <w:tcW w:w="39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0,875</w:t>
            </w:r>
          </w:p>
        </w:tc>
      </w:tr>
    </w:tbl>
    <w:p>
      <w:pPr>
        <w:pStyle w:val="Normal(Web)"/>
        <w:spacing w:before="0"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Метод </w:t>
      </w:r>
      <w:r>
        <w:rPr>
          <w:color w:val="1a1a1a" w:themeColor="background1" w:themeShade="1a"/>
          <w:sz w:val="28"/>
          <w:szCs w:val="28"/>
        </w:rPr>
        <w:t>Брандберга</w:t>
      </w:r>
      <w:r>
        <w:rPr>
          <w:color w:val="1a1a1a" w:themeColor="background1" w:themeShade="1a"/>
          <w:sz w:val="28"/>
          <w:szCs w:val="28"/>
        </w:rPr>
        <w:t>-Робертса-</w:t>
      </w:r>
      <w:r>
        <w:rPr>
          <w:color w:val="1a1a1a" w:themeColor="background1" w:themeShade="1a"/>
          <w:sz w:val="28"/>
          <w:szCs w:val="28"/>
        </w:rPr>
        <w:t>Стольникова</w:t>
      </w:r>
      <w:r>
        <w:rPr>
          <w:color w:val="1a1a1a" w:themeColor="background1" w:themeShade="1a"/>
          <w:sz w:val="28"/>
          <w:szCs w:val="28"/>
        </w:rPr>
        <w:t xml:space="preserve"> обладает рядом недостатков: он субъективен, трудоемок, точность определения концентрации белка снижается по мере разведения мочи.</w:t>
      </w: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>Определение количества белка турбидиметрическим методом с сульфосалициловой кислотой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Принцип</w:t>
      </w:r>
      <w:r>
        <w:rPr>
          <w:color w:val="1a1a1a" w:themeColor="background1" w:themeShade="1a"/>
          <w:sz w:val="28"/>
          <w:szCs w:val="28"/>
        </w:rPr>
        <w:t xml:space="preserve">: </w:t>
      </w:r>
      <w:r>
        <w:rPr>
          <w:color w:val="1a1a1a" w:themeColor="background1" w:themeShade="1a"/>
          <w:sz w:val="28"/>
          <w:szCs w:val="28"/>
        </w:rPr>
        <w:t>с</w:t>
      </w:r>
      <w:r>
        <w:rPr>
          <w:color w:val="1a1a1a" w:themeColor="background1" w:themeShade="1a"/>
          <w:sz w:val="28"/>
          <w:szCs w:val="28"/>
        </w:rPr>
        <w:t>ульфосалициловая кислота вызывает денатурацию белка с появлением мутности, интенсивность которой пропорциональна количеству белка.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Реактивы: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1. 3% раствор </w:t>
      </w:r>
      <w:r>
        <w:rPr>
          <w:color w:val="1a1a1a" w:themeColor="background1" w:themeShade="1a"/>
          <w:sz w:val="28"/>
          <w:szCs w:val="28"/>
        </w:rPr>
        <w:t>сульфосалициловой кислоты (ССК);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2. 0,9% раствор хлорида натрия;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3. с</w:t>
      </w:r>
      <w:r>
        <w:rPr>
          <w:color w:val="1a1a1a" w:themeColor="background1" w:themeShade="1a"/>
          <w:sz w:val="28"/>
          <w:szCs w:val="28"/>
        </w:rPr>
        <w:t>тандартный 1% раствор альбумина.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Специальное оборудование: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фотоэлектроколориметр</w:t>
      </w:r>
      <w:r>
        <w:rPr>
          <w:color w:val="1a1a1a" w:themeColor="background1" w:themeShade="1a"/>
          <w:sz w:val="28"/>
          <w:szCs w:val="28"/>
        </w:rPr>
        <w:t xml:space="preserve"> (ФЭК).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Ход исследования</w:t>
      </w:r>
      <w:r>
        <w:rPr>
          <w:color w:val="1a1a1a" w:themeColor="background1" w:themeShade="1a"/>
          <w:sz w:val="28"/>
          <w:szCs w:val="28"/>
        </w:rPr>
        <w:t>:</w:t>
      </w:r>
      <w:r>
        <w:rPr>
          <w:color w:val="1a1a1a" w:themeColor="background1" w:themeShade="1a"/>
          <w:sz w:val="28"/>
          <w:szCs w:val="28"/>
        </w:rPr>
        <w:t xml:space="preserve"> в</w:t>
      </w:r>
      <w:r>
        <w:rPr>
          <w:color w:val="1a1a1a" w:themeColor="background1" w:themeShade="1a"/>
          <w:sz w:val="28"/>
          <w:szCs w:val="28"/>
        </w:rPr>
        <w:t xml:space="preserve"> 2 пробирки (опыт и контроль) наливают по 1,25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мл профильтрованной мочи. В опытную пробирку добавляют 3,75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 xml:space="preserve">мл 3% раствора ССК, а в контрольную – 3,75 мл 0,9% раствора хлорида натрия и перемешивают содержимое пробирок. Через 5 минут измеряют оптическую плотность опытной пробы на </w:t>
      </w:r>
      <w:r>
        <w:rPr>
          <w:color w:val="1a1a1a" w:themeColor="background1" w:themeShade="1a"/>
          <w:sz w:val="28"/>
          <w:szCs w:val="28"/>
        </w:rPr>
        <w:t>ФЭКе</w:t>
      </w:r>
      <w:r>
        <w:rPr>
          <w:color w:val="1a1a1a" w:themeColor="background1" w:themeShade="1a"/>
          <w:sz w:val="28"/>
          <w:szCs w:val="28"/>
        </w:rPr>
        <w:t xml:space="preserve"> при длине волны 590-650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нм</w:t>
      </w:r>
      <w:r>
        <w:rPr>
          <w:color w:val="1a1a1a" w:themeColor="background1" w:themeShade="1a"/>
          <w:sz w:val="28"/>
          <w:szCs w:val="28"/>
        </w:rPr>
        <w:t xml:space="preserve"> (светофильтр оранжевый или красный), в кювете на 5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мм, против контрольной пробы.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Концентрацию белка определяют по калибровочному графику. Для построения калибровочного графика из стандартного 1% раствора альбумина готовят разведения в</w:t>
      </w:r>
      <w:r>
        <w:rPr>
          <w:color w:val="1a1a1a" w:themeColor="background1" w:themeShade="1a"/>
          <w:sz w:val="28"/>
          <w:szCs w:val="28"/>
        </w:rPr>
        <w:t xml:space="preserve"> соответствии с таблицей 2</w:t>
      </w:r>
      <w:r>
        <w:rPr>
          <w:color w:val="1a1a1a" w:themeColor="background1" w:themeShade="1a"/>
          <w:sz w:val="28"/>
          <w:szCs w:val="28"/>
        </w:rPr>
        <w:t>. Из каждого полученного разведения берут 1,25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мл и обрабатывают как опытные образцы.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Прямолинейная зависимость при построении калибровочного графика сохраняется до 1г/л. При более высокой концентрации белка мочу следует развести и учитывать разведение при расчетах.</w:t>
      </w:r>
    </w:p>
    <w:p>
      <w:pPr>
        <w:pStyle w:val="Normal(Web)"/>
        <w:spacing w:before="0" w:after="0" w:line="360" w:lineRule="auto"/>
        <w:ind w:firstLine="709"/>
        <w:jc w:val="center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Таблица </w:t>
      </w:r>
      <w:r>
        <w:rPr>
          <w:color w:val="1a1a1a" w:themeColor="background1" w:themeShade="1a"/>
          <w:sz w:val="28"/>
          <w:szCs w:val="28"/>
        </w:rPr>
        <w:t>4 -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Приготовление разведений для построения калибровочного графика</w:t>
      </w:r>
    </w:p>
    <w:tbl>
      <w:tblPr>
        <w:tblW w:w="0" w:type="auto"/>
        <w:tblInd w:w="3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/>
      </w:tblPr>
      <w:tblGrid>
        <w:gridCol w:w="1417"/>
        <w:gridCol w:w="2315"/>
        <w:gridCol w:w="2315"/>
        <w:gridCol w:w="2883"/>
      </w:tblGrid>
      <w:tr>
        <w:trPr/>
        <w:tc>
          <w:tcPr>
            <w:cnfStyle w:val="00001010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№№</w:t>
            </w:r>
          </w:p>
        </w:tc>
        <w:tc>
          <w:tcPr>
            <w:cnfStyle w:val="000001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1%  раствор альбумина, мл</w:t>
            </w:r>
          </w:p>
        </w:tc>
        <w:tc>
          <w:tcPr>
            <w:cnfStyle w:val="000010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 xml:space="preserve">0,9% раствор </w:t>
            </w: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  <w:lang w:val="en-US"/>
              </w:rPr>
              <w:t>NaCl</w:t>
            </w: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, мл</w:t>
            </w:r>
          </w:p>
        </w:tc>
        <w:tc>
          <w:tcPr>
            <w:cnfStyle w:val="00000110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Концентрация</w:t>
            </w:r>
          </w:p>
          <w:p>
            <w:pPr>
              <w:pStyle w:val="BodyText"/>
              <w:jc w:val="center"/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 xml:space="preserve">белка, </w:t>
            </w: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г</w:t>
            </w:r>
            <w:r>
              <w:rPr>
                <w:rFonts w:ascii="Times New Roman" w:cs="Times New Roman" w:hAnsi="Times New Roman"/>
                <w:b/>
                <w:color w:val="1a1a1a" w:themeColor="background1" w:themeShade="1a"/>
                <w:sz w:val="28"/>
                <w:szCs w:val="28"/>
              </w:rPr>
              <w:t>/л</w:t>
            </w:r>
          </w:p>
        </w:tc>
      </w:tr>
      <w:tr>
        <w:trPr/>
        <w:tc>
          <w:tcPr>
            <w:cnfStyle w:val="00001001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cnfStyle w:val="000001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0,05</w:t>
            </w:r>
          </w:p>
        </w:tc>
        <w:tc>
          <w:tcPr>
            <w:cnfStyle w:val="000010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9,95</w:t>
            </w:r>
          </w:p>
        </w:tc>
        <w:tc>
          <w:tcPr>
            <w:cnfStyle w:val="00000101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0,05</w:t>
            </w:r>
          </w:p>
        </w:tc>
      </w:tr>
      <w:tr>
        <w:trPr/>
        <w:tc>
          <w:tcPr>
            <w:cnfStyle w:val="00001010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2</w:t>
            </w:r>
          </w:p>
        </w:tc>
        <w:tc>
          <w:tcPr>
            <w:cnfStyle w:val="000001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0,1</w:t>
            </w:r>
          </w:p>
        </w:tc>
        <w:tc>
          <w:tcPr>
            <w:cnfStyle w:val="000010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9,9</w:t>
            </w:r>
          </w:p>
        </w:tc>
        <w:tc>
          <w:tcPr>
            <w:cnfStyle w:val="00000110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0,1</w:t>
            </w:r>
          </w:p>
        </w:tc>
      </w:tr>
      <w:tr>
        <w:trPr/>
        <w:tc>
          <w:tcPr>
            <w:cnfStyle w:val="00001001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3</w:t>
            </w:r>
          </w:p>
        </w:tc>
        <w:tc>
          <w:tcPr>
            <w:cnfStyle w:val="000001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000010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9,8</w:t>
            </w:r>
          </w:p>
        </w:tc>
        <w:tc>
          <w:tcPr>
            <w:cnfStyle w:val="00000101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</w:tr>
      <w:tr>
        <w:trPr/>
        <w:tc>
          <w:tcPr>
            <w:cnfStyle w:val="00001010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4</w:t>
            </w:r>
          </w:p>
        </w:tc>
        <w:tc>
          <w:tcPr>
            <w:cnfStyle w:val="000001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0,5</w:t>
            </w:r>
          </w:p>
        </w:tc>
        <w:tc>
          <w:tcPr>
            <w:cnfStyle w:val="00001010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9,5</w:t>
            </w:r>
          </w:p>
        </w:tc>
        <w:tc>
          <w:tcPr>
            <w:cnfStyle w:val="00000110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0,5</w:t>
            </w:r>
          </w:p>
        </w:tc>
      </w:tr>
      <w:tr>
        <w:trPr/>
        <w:tc>
          <w:tcPr>
            <w:cnfStyle w:val="000010010000"/>
            <w:tcW w:w="14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000001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</w:t>
            </w:r>
          </w:p>
        </w:tc>
        <w:tc>
          <w:tcPr>
            <w:cnfStyle w:val="000010010000"/>
            <w:tcW w:w="23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9,0</w:t>
            </w:r>
          </w:p>
        </w:tc>
        <w:tc>
          <w:tcPr>
            <w:cnfStyle w:val="000001010000"/>
            <w:tcW w:w="28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  <w:t>1,0</w:t>
            </w:r>
          </w:p>
        </w:tc>
      </w:tr>
    </w:tbl>
    <w:p>
      <w:pPr>
        <w:pStyle w:val="Normal(Web)"/>
        <w:spacing w:before="0"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center"/>
        <w:rPr>
          <w:b/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 xml:space="preserve">Определение концентрации белка в моче с </w:t>
      </w:r>
      <w:r>
        <w:rPr>
          <w:b/>
          <w:color w:val="1a1a1a" w:themeColor="background1" w:themeShade="1a"/>
          <w:sz w:val="28"/>
          <w:szCs w:val="28"/>
        </w:rPr>
        <w:t>пирогаллоловым</w:t>
      </w:r>
      <w:r>
        <w:rPr>
          <w:b/>
          <w:color w:val="1a1a1a" w:themeColor="background1" w:themeShade="1a"/>
          <w:sz w:val="28"/>
          <w:szCs w:val="28"/>
        </w:rPr>
        <w:t xml:space="preserve"> красным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Принцип:</w:t>
      </w:r>
      <w:r>
        <w:rPr>
          <w:color w:val="1a1a1a" w:themeColor="background1" w:themeShade="1a"/>
          <w:sz w:val="28"/>
          <w:szCs w:val="28"/>
        </w:rPr>
        <w:t xml:space="preserve"> п</w:t>
      </w:r>
      <w:r>
        <w:rPr>
          <w:color w:val="1a1a1a" w:themeColor="background1" w:themeShade="1a"/>
          <w:sz w:val="28"/>
          <w:szCs w:val="28"/>
        </w:rPr>
        <w:t xml:space="preserve">ри взаимодействии белка с красителем </w:t>
      </w:r>
      <w:r>
        <w:rPr>
          <w:color w:val="1a1a1a" w:themeColor="background1" w:themeShade="1a"/>
          <w:sz w:val="28"/>
          <w:szCs w:val="28"/>
        </w:rPr>
        <w:t>пирогаллоловым</w:t>
      </w:r>
      <w:r>
        <w:rPr>
          <w:color w:val="1a1a1a" w:themeColor="background1" w:themeShade="1a"/>
          <w:sz w:val="28"/>
          <w:szCs w:val="28"/>
        </w:rPr>
        <w:t xml:space="preserve"> красным образуется окрашенный комплекс, интенсивность поглощения которого на длине волны 600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нм</w:t>
      </w:r>
      <w:r>
        <w:rPr>
          <w:color w:val="1a1a1a" w:themeColor="background1" w:themeShade="1a"/>
          <w:sz w:val="28"/>
          <w:szCs w:val="28"/>
        </w:rPr>
        <w:t xml:space="preserve"> увеличивается с ростом концентрации белка в пробе.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Реактивы</w:t>
      </w:r>
      <w:r>
        <w:rPr>
          <w:color w:val="1a1a1a" w:themeColor="background1" w:themeShade="1a"/>
          <w:sz w:val="28"/>
          <w:szCs w:val="28"/>
        </w:rPr>
        <w:t xml:space="preserve">: раствор </w:t>
      </w:r>
      <w:r>
        <w:rPr>
          <w:color w:val="1a1a1a" w:themeColor="background1" w:themeShade="1a"/>
          <w:sz w:val="28"/>
          <w:szCs w:val="28"/>
        </w:rPr>
        <w:t>пирогаллолового</w:t>
      </w:r>
      <w:r>
        <w:rPr>
          <w:color w:val="1a1a1a" w:themeColor="background1" w:themeShade="1a"/>
          <w:sz w:val="28"/>
          <w:szCs w:val="28"/>
        </w:rPr>
        <w:t xml:space="preserve"> красного и </w:t>
      </w:r>
      <w:r>
        <w:rPr>
          <w:color w:val="1a1a1a" w:themeColor="background1" w:themeShade="1a"/>
          <w:sz w:val="28"/>
          <w:szCs w:val="28"/>
        </w:rPr>
        <w:t>молибдата</w:t>
      </w:r>
      <w:r>
        <w:rPr>
          <w:color w:val="1a1a1a" w:themeColor="background1" w:themeShade="1a"/>
          <w:sz w:val="28"/>
          <w:szCs w:val="28"/>
        </w:rPr>
        <w:t xml:space="preserve"> натрия в </w:t>
      </w:r>
      <w:r>
        <w:rPr>
          <w:color w:val="1a1a1a" w:themeColor="background1" w:themeShade="1a"/>
          <w:sz w:val="28"/>
          <w:szCs w:val="28"/>
        </w:rPr>
        <w:t>сукцинатном</w:t>
      </w:r>
      <w:r>
        <w:rPr>
          <w:color w:val="1a1a1a" w:themeColor="background1" w:themeShade="1a"/>
          <w:sz w:val="28"/>
          <w:szCs w:val="28"/>
        </w:rPr>
        <w:t xml:space="preserve"> буфере, калибровочные растворы белка 1г/л и 0,2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г/л.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Специальное оборудование: </w:t>
      </w:r>
      <w:r>
        <w:rPr>
          <w:color w:val="1a1a1a" w:themeColor="background1" w:themeShade="1a"/>
          <w:sz w:val="28"/>
          <w:szCs w:val="28"/>
        </w:rPr>
        <w:t>фотоэлектроколориметр</w:t>
      </w:r>
      <w:r>
        <w:rPr>
          <w:color w:val="1a1a1a" w:themeColor="background1" w:themeShade="1a"/>
          <w:sz w:val="28"/>
          <w:szCs w:val="28"/>
        </w:rPr>
        <w:t xml:space="preserve"> или специальный фотометр МИКРОЛАБ-600 для определения концентрации белка.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  <w:u w:val="single"/>
        </w:rPr>
        <w:t>Ход исследования:</w:t>
      </w:r>
      <w:r>
        <w:rPr>
          <w:color w:val="1a1a1a" w:themeColor="background1" w:themeShade="1a"/>
          <w:sz w:val="28"/>
          <w:szCs w:val="28"/>
        </w:rPr>
        <w:t xml:space="preserve"> п</w:t>
      </w:r>
      <w:r>
        <w:rPr>
          <w:color w:val="1a1a1a" w:themeColor="background1" w:themeShade="1a"/>
          <w:sz w:val="28"/>
          <w:szCs w:val="28"/>
        </w:rPr>
        <w:t>риготовить пробы смешением компонентов в к</w:t>
      </w:r>
      <w:r>
        <w:rPr>
          <w:color w:val="1a1a1a" w:themeColor="background1" w:themeShade="1a"/>
          <w:sz w:val="28"/>
          <w:szCs w:val="28"/>
        </w:rPr>
        <w:t>оличестве, указанном в таблице 5</w:t>
      </w:r>
      <w:r>
        <w:rPr>
          <w:color w:val="1a1a1a" w:themeColor="background1" w:themeShade="1a"/>
          <w:sz w:val="28"/>
          <w:szCs w:val="28"/>
        </w:rPr>
        <w:t>.</w:t>
      </w:r>
    </w:p>
    <w:p>
      <w:pPr>
        <w:pStyle w:val="Normal(Web)"/>
        <w:spacing w:before="0" w:after="0" w:line="360" w:lineRule="auto"/>
        <w:ind w:firstLine="709"/>
        <w:jc w:val="center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Таблица 5 -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Приготовление проб</w:t>
      </w: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/>
      </w:tblPr>
      <w:tblGrid>
        <w:gridCol w:w="2392"/>
        <w:gridCol w:w="2392"/>
        <w:gridCol w:w="2393"/>
        <w:gridCol w:w="2393"/>
      </w:tblGrid>
      <w:tr>
        <w:trPr/>
        <w:tc>
          <w:tcPr>
            <w:cnfStyle w:val="101000000000"/>
            <w:tcW w:w="2392" w:type="dxa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  <w:t>Компоненты</w:t>
            </w:r>
          </w:p>
        </w:tc>
        <w:tc>
          <w:tcPr>
            <w:cnfStyle w:val="100010000000"/>
            <w:tcW w:w="2392" w:type="dxa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  <w:t>Холостая проба</w:t>
            </w:r>
          </w:p>
        </w:tc>
        <w:tc>
          <w:tcPr>
            <w:cnfStyle w:val="100001000000"/>
            <w:tcW w:w="2393" w:type="dxa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  <w:t>Калибровочная проба 1г/л</w:t>
            </w:r>
          </w:p>
        </w:tc>
        <w:tc>
          <w:tcPr>
            <w:cnfStyle w:val="100100000000"/>
            <w:tcW w:w="2393" w:type="dxa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b/>
                <w:color w:val="1a1a1a" w:themeColor="background1" w:themeShade="1a"/>
                <w:sz w:val="28"/>
                <w:szCs w:val="28"/>
                <w:lang w:eastAsia="ru-RU"/>
              </w:rPr>
              <w:t>Опытная проба</w:t>
            </w:r>
          </w:p>
        </w:tc>
      </w:tr>
      <w:tr>
        <w:trPr/>
        <w:tc>
          <w:tcPr>
            <w:cnfStyle w:val="001000100000"/>
            <w:tcW w:w="2392" w:type="dxa"/>
          </w:tcPr>
          <w:p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Образец</w:t>
            </w:r>
          </w:p>
        </w:tc>
        <w:tc>
          <w:tcPr>
            <w:cnfStyle w:val="000010100000"/>
            <w:tcW w:w="2392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  <w:tc>
          <w:tcPr>
            <w:cnfStyle w:val="0000011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  <w:tc>
          <w:tcPr>
            <w:cnfStyle w:val="0001001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20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мкл</w:t>
            </w:r>
          </w:p>
        </w:tc>
      </w:tr>
      <w:tr>
        <w:trPr/>
        <w:tc>
          <w:tcPr>
            <w:cnfStyle w:val="001000010000"/>
            <w:tcW w:w="2392" w:type="dxa"/>
          </w:tcPr>
          <w:p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Калибровочный раствор 1,0 г/л</w:t>
            </w:r>
          </w:p>
        </w:tc>
        <w:tc>
          <w:tcPr>
            <w:cnfStyle w:val="000010010000"/>
            <w:tcW w:w="2392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  <w:tc>
          <w:tcPr>
            <w:cnfStyle w:val="00000101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20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мкл</w:t>
            </w:r>
          </w:p>
        </w:tc>
        <w:tc>
          <w:tcPr>
            <w:cnfStyle w:val="00010001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</w:tr>
      <w:tr>
        <w:trPr/>
        <w:tc>
          <w:tcPr>
            <w:cnfStyle w:val="001000100000"/>
            <w:tcW w:w="2392" w:type="dxa"/>
          </w:tcPr>
          <w:p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Вода дистиллированная</w:t>
            </w:r>
          </w:p>
        </w:tc>
        <w:tc>
          <w:tcPr>
            <w:cnfStyle w:val="000010100000"/>
            <w:tcW w:w="2392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20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мкл</w:t>
            </w:r>
          </w:p>
        </w:tc>
        <w:tc>
          <w:tcPr>
            <w:cnfStyle w:val="0000011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  <w:tc>
          <w:tcPr>
            <w:cnfStyle w:val="0001001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-</w:t>
            </w:r>
          </w:p>
        </w:tc>
      </w:tr>
      <w:tr>
        <w:trPr/>
        <w:tc>
          <w:tcPr>
            <w:cnfStyle w:val="011000000000"/>
            <w:tcW w:w="2392" w:type="dxa"/>
          </w:tcPr>
          <w:p>
            <w:pPr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 xml:space="preserve">Реагент </w:t>
            </w:r>
          </w:p>
        </w:tc>
        <w:tc>
          <w:tcPr>
            <w:cnfStyle w:val="010010000000"/>
            <w:tcW w:w="2392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1мл</w:t>
            </w:r>
          </w:p>
        </w:tc>
        <w:tc>
          <w:tcPr>
            <w:cnfStyle w:val="0100010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1мл</w:t>
            </w:r>
          </w:p>
        </w:tc>
        <w:tc>
          <w:tcPr>
            <w:cnfStyle w:val="010100000000"/>
            <w:tcW w:w="2393" w:type="dxa"/>
          </w:tcPr>
          <w:p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</w:pPr>
            <w:r>
              <w:rPr>
                <w:rFonts w:ascii="Times New Roman" w:cs="Times New Roman" w:eastAsia="Times New Roman" w:hAnsi="Times New Roman"/>
                <w:color w:val="1a1a1a" w:themeColor="background1" w:themeShade="1a"/>
                <w:sz w:val="28"/>
                <w:szCs w:val="28"/>
                <w:lang w:eastAsia="ru-RU"/>
              </w:rPr>
              <w:t>1мл</w:t>
            </w:r>
          </w:p>
        </w:tc>
      </w:tr>
    </w:tbl>
    <w:p>
      <w:pPr>
        <w:pStyle w:val="Normal(Web)"/>
        <w:spacing w:before="0"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 xml:space="preserve">После смешения компонентов пробы инкубируют 15 минут при комнатной температуре. Окраска стабильна в течение 30 минут после завершения </w:t>
      </w:r>
      <w:r>
        <w:rPr>
          <w:color w:val="1a1a1a" w:themeColor="background1" w:themeShade="1a"/>
          <w:sz w:val="28"/>
          <w:szCs w:val="28"/>
        </w:rPr>
        <w:t>инкубирования</w:t>
      </w:r>
      <w:r>
        <w:rPr>
          <w:color w:val="1a1a1a" w:themeColor="background1" w:themeShade="1a"/>
          <w:sz w:val="28"/>
          <w:szCs w:val="28"/>
        </w:rPr>
        <w:t>. Измеряют оптическую плотность опытных проб и калибровочной пробы в кюветах на 1см при длине волны 600нм против холостой пробы.</w:t>
      </w:r>
    </w:p>
    <w:p>
      <w:pPr>
        <w:pStyle w:val="Normal(Web)"/>
        <w:tabs>
          <w:tab w:val="left" w:pos="8391"/>
        </w:tabs>
        <w:spacing w:before="0" w:after="0" w:line="360" w:lineRule="auto"/>
        <w:ind w:firstLine="709"/>
        <w:jc w:val="both"/>
        <w:rPr>
          <w:b/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Расчет ведут по формуле:</w:t>
      </w:r>
      <w:r>
        <w:rPr>
          <w:b/>
          <w:color w:val="1a1a1a" w:themeColor="background1" w:themeShade="1a"/>
          <w:sz w:val="28"/>
          <w:szCs w:val="28"/>
        </w:rPr>
        <w:t xml:space="preserve"> </w:t>
      </w:r>
    </w:p>
    <w:p>
      <w:pPr>
        <w:pStyle w:val="Normal(Web)"/>
        <w:tabs>
          <w:tab w:val="center" w:pos="5032"/>
          <w:tab w:val="left" w:pos="8391"/>
          <w:tab w:val="left" w:pos="8587"/>
        </w:tabs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b/>
          <w:color w:val="1a1a1a" w:themeColor="background1" w:themeShade="1a"/>
          <w:sz w:val="28"/>
          <w:szCs w:val="28"/>
        </w:rPr>
        <w:tab/>
      </w:r>
      <w:r>
        <w:rPr>
          <w:b/>
          <w:color w:val="1a1a1a" w:themeColor="background1" w:themeShade="1a"/>
          <w:sz w:val="28"/>
          <w:szCs w:val="28"/>
        </w:rPr>
        <w:t>С =</w:t>
      </w:r>
      <w:r>
        <w:rPr>
          <w:b/>
          <w:color w:val="1a1a1a" w:themeColor="background1" w:themeShade="1a"/>
          <w:position w:val="-32"/>
          <w:sz w:val="28"/>
          <w:szCs w:val="28"/>
        </w:rPr>
        <w:object w:dxaOrig="940" w:dyaOrig="7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5" type="#_x0000_t75" style="width:47.1pt;height:36.45pt" o:ole="">
            <v:imagedata r:id="rId9" o:title=""/>
            <o:lock aspectratio="t"/>
          </v:shape>
        </w:object>
      </w:r>
      <w:r>
        <w:rPr>
          <w:b/>
          <w:color w:val="1a1a1a" w:themeColor="background1" w:themeShade="1a"/>
          <w:sz w:val="28"/>
          <w:szCs w:val="28"/>
        </w:rPr>
        <w:t>,</w:t>
      </w:r>
      <w:r>
        <w:rPr>
          <w:b/>
          <w:color w:val="1a1a1a" w:themeColor="background1" w:themeShade="1a"/>
          <w:sz w:val="28"/>
          <w:szCs w:val="28"/>
        </w:rPr>
        <w:tab/>
        <w:t xml:space="preserve">  </w:t>
      </w:r>
      <w:r>
        <w:rPr>
          <w:b/>
          <w:color w:val="1a1a1a" w:themeColor="background1" w:themeShade="1a"/>
          <w:sz w:val="28"/>
          <w:szCs w:val="28"/>
        </w:rPr>
        <w:tab/>
        <w:t>(2)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где</w:t>
      </w:r>
      <w:r>
        <w:rPr>
          <w:color w:val="1a1a1a" w:themeColor="background1" w:themeShade="1a"/>
          <w:sz w:val="28"/>
          <w:szCs w:val="28"/>
        </w:rPr>
        <w:t xml:space="preserve"> С</w:t>
      </w:r>
      <w:r>
        <w:rPr>
          <w:color w:val="1a1a1a" w:themeColor="background1" w:themeShade="1a"/>
          <w:sz w:val="28"/>
          <w:szCs w:val="28"/>
        </w:rPr>
        <w:t xml:space="preserve"> – концентрация белка в пробе,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D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образец – оптическая плотность опытной пробы,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D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стандарт – оптическая плотность калибровочной пробы.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Если результат определения более 1,9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г/л, следует развести исследуемый образец в 2 или более раза дистиллированной водой, повторить тест и результат умножить на степень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разведения.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Если концентрация белка менее 0,07г/л и требуется уточнение результата, повторить анализ с калибровочной пробой 0,2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г/л при со</w:t>
      </w:r>
      <w:r>
        <w:rPr>
          <w:color w:val="1a1a1a" w:themeColor="background1" w:themeShade="1a"/>
          <w:sz w:val="28"/>
          <w:szCs w:val="28"/>
        </w:rPr>
        <w:t>отношении образец/реагент = 1:10.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Определение глюкозы в моче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В моче здоровых людей глюкозы практически нет, так как вся она, перешедшая с фильтратом в первичную мочу,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реабсорбируется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затем в почечных канальцах. Появление глюкозы в моче называется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глюкозурия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0"/>
          <w:lang w:eastAsia="ru-RU"/>
        </w:rPr>
        <w:t>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 Как правило,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глюкозурия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является следствием гипергликемии (увеличения содержания глюкозы в крови)  выше 7-9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ммоль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/л. Эта концентрация соответствует   почечному порогу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0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для глюкозы. 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 xml:space="preserve">Методы определения: вначале проводят качественное определение  </w:t>
      </w:r>
    </w:p>
    <w:p>
      <w:pPr>
        <w:pStyle w:val="BodyTextIndent"/>
        <w:spacing w:line="360" w:lineRule="auto"/>
        <w:ind w:left="0" w:firstLine="0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>глюкозы одним из методов: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- унифицированной пробой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Гайнеса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- с помощью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тест-полосок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 типа «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Глюкотест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».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Если глюкоза в моче обнаружена, то проводят ее количественное определение унифицированными методами: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- методом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Альтгаузена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;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 xml:space="preserve">- по цветной реакции с </w:t>
      </w:r>
      <w:r>
        <w:rPr>
          <w:color w:val="1a1a1a" w:themeColor="background1" w:themeShade="1a"/>
          <w:sz w:val="28"/>
        </w:rPr>
        <w:t>ортотолуидином</w:t>
      </w:r>
      <w:r>
        <w:rPr>
          <w:color w:val="1a1a1a" w:themeColor="background1" w:themeShade="1a"/>
          <w:sz w:val="28"/>
        </w:rPr>
        <w:t>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- ферментативным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глюкозооксидазным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методом, который является наиболее точным и специфичным.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Количество глюкозы в моче выражается в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ммоль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/л. 1ммоль/л = 55,51% глюкозы.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</w:p>
    <w:p>
      <w:pPr>
        <w:spacing w:after="0" w:line="360" w:lineRule="auto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Качественное определение глюкозы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в моче</w:t>
      </w:r>
    </w:p>
    <w:p>
      <w:pPr>
        <w:spacing w:after="0" w:line="360" w:lineRule="auto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пробой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Гайнеса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-Акимова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етод основан на способности глюкозы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восстанавливать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в щелочной среде при нагревании гидрат окиси  меди (синего цвета) в гидрат закиси меди (желтого цвета) и закись меди (красного цвета).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р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еактив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Гайнеса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: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1) 13,3г кристаллического сульфата меди  растворяют в 400мл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дист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воды;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2) 50г едкого натра растворяют в 400мл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дист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воды;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3) 15г глицерина растворяют в 200мл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дист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воды;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4) смешивают растворы 1 и 2 и тотчас приливают раствор 3.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   Получается раствор синего цвета, стойкий при хранении.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исследования: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к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3-4 мл реактива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Гайнеса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добавляют 8-12 капель мочи, содержимое пробирки перемешивают. Ставят в кипящую  водяную баню на 1 минуту. При наличии глюкозы в моче содержимое пробирки приобретает оранжевый, красный или бурый цвет. Если глюкозы в моче нет, то синий цвет реактива не меняется.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Проба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Гайнеса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не является специфической для глюкозы. Кроме глюкозы, эту пробу дают и другие вещества, обладающие восстанавливающими свойствами (мочевая кислота,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креатинин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, индикан, желчные пигменты и др.).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Определение глюкозы в моче с помощью индикаторных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тест-полосок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 типа «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Глюкотест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»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етод основан на специфическом окислении глюкозы ферментом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глюкозооксидазой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. Образовавшаяся при этом перекись водорода разлагается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пероксидазой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с выделением атомарного кислорода, который  окисляет краситель с изменением  его 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 исследования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u w:val="single"/>
          <w:lang w:eastAsia="ru-RU"/>
        </w:rPr>
        <w:t>:</w:t>
      </w:r>
      <w:r>
        <w:rPr>
          <w:rFonts w:ascii="Times New Roman" w:cs="Times New Roman" w:eastAsia="Times New Roman" w:hAnsi="Times New Roman"/>
          <w:b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олоску погружают в мочу, чтобы смочилась индикаторная зона.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Сразу же помещают полоску на пластмассовую пластинку. Через  2 минуты читают результат, сравнивая цвет индикат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орной зоны с прилагаемой шкалой.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Моча для исследования на глюкозу должна быть свежесобранной, так как при хранении глюкоза быстро разлагается микроорганизмами.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Определение кетоновых тел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Кетонурия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(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ацетонурия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)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-  это выделение с мочой кетоновых (ацетоновых) тел. К ацетоновым телам относятся ацетон, ацетоуксусная кислота и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β-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оксимасляная кислота. В моче здоровых людей они содержатся в следовых количествах и обычными качественными пробами не выявляются.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Для определения кетоновых тел используются унифицированные методы: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проба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Ланге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с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нитропруссидом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натрия;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экспресс-методы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(реактивн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ые полоски, таблетки, порошок).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Обнаружение кетоновых тел в моче пробой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Ланге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итропруссид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натрия в щелочной среде реагирует с ацетоновыми телами с образованием комп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лекса красно-фиолетового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: 5% раствор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нитропруссида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натрия, готовят перед употреблением; уксусная кислота концентрированная; аммиак 25%.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b/>
          <w:i/>
          <w:color w:val="1a1a1a" w:themeColor="background1" w:themeShade="1a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в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пробирку с 3-5мл мочи добавляют 5-10 капель раствора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нитропруссида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натрия и 0,5мл уксусной кислоты, перемешивают содержимое пробирки. Осторожно по стенке наслаивают 2-3 мл раствора аммиака. Проба считается положительной, если в течение 3 минут на границе жидкостей образуется красно-фиолетовое кольцо.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Определение уробилина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>В моче содержится небольшое количество пигмента уробилина (в норме 1+)</w:t>
      </w:r>
      <w:r>
        <w:rPr>
          <w:color w:val="1a1a1a" w:themeColor="background1" w:themeShade="1a"/>
          <w:sz w:val="28"/>
        </w:rPr>
        <w:t>.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>Уробилинурия</w:t>
      </w:r>
      <w:r>
        <w:rPr>
          <w:color w:val="1a1a1a" w:themeColor="background1" w:themeShade="1a"/>
          <w:sz w:val="28"/>
        </w:rPr>
        <w:t xml:space="preserve"> (повышенное содержание уробилина в моче) </w:t>
      </w:r>
      <w:r>
        <w:rPr>
          <w:color w:val="1a1a1a" w:themeColor="background1" w:themeShade="1a"/>
          <w:sz w:val="28"/>
        </w:rPr>
        <w:t>характерна</w:t>
      </w:r>
      <w:r>
        <w:rPr>
          <w:color w:val="1a1a1a" w:themeColor="background1" w:themeShade="1a"/>
          <w:sz w:val="28"/>
        </w:rPr>
        <w:t xml:space="preserve"> для паренхиматозных и гемолитических </w:t>
      </w:r>
      <w:r>
        <w:rPr>
          <w:color w:val="1a1a1a" w:themeColor="background1" w:themeShade="1a"/>
          <w:sz w:val="28"/>
        </w:rPr>
        <w:t>желтух</w:t>
      </w:r>
      <w:r>
        <w:rPr>
          <w:color w:val="1a1a1a" w:themeColor="background1" w:themeShade="1a"/>
          <w:sz w:val="28"/>
        </w:rPr>
        <w:t xml:space="preserve">. При </w:t>
      </w:r>
      <w:r>
        <w:rPr>
          <w:color w:val="1a1a1a" w:themeColor="background1" w:themeShade="1a"/>
          <w:sz w:val="28"/>
        </w:rPr>
        <w:t>механических</w:t>
      </w:r>
      <w:r>
        <w:rPr>
          <w:color w:val="1a1a1a" w:themeColor="background1" w:themeShade="1a"/>
          <w:sz w:val="28"/>
        </w:rPr>
        <w:t xml:space="preserve"> </w:t>
      </w:r>
      <w:r>
        <w:rPr>
          <w:color w:val="1a1a1a" w:themeColor="background1" w:themeShade="1a"/>
          <w:sz w:val="28"/>
        </w:rPr>
        <w:t>желтухах</w:t>
      </w:r>
      <w:r>
        <w:rPr>
          <w:color w:val="1a1a1a" w:themeColor="background1" w:themeShade="1a"/>
          <w:sz w:val="28"/>
        </w:rPr>
        <w:t xml:space="preserve"> уробилин в моче полностью отсутствует. 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</w:rPr>
      </w:pPr>
      <w:r>
        <w:rPr>
          <w:color w:val="1a1a1a" w:themeColor="background1" w:themeShade="1a"/>
          <w:sz w:val="28"/>
        </w:rPr>
        <w:t>Моча, содержащая увеличенное количество уробилина, имеет коричневый  с оранжевым оттенком цвет (цвет крепкого чая).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Для определения уробилина могут использоваться следующие унифицированные методы: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проба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Флоранса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- проба Богомолова;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бензальдегидная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проба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Нейбауэра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;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экспресс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-тесты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(индикаторные полоски). 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Определение уробилина пробой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Флоранса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у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робилин с соляной кислотой образует соединение красного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серная кислота концентрированная,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диэтиловый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эфир, соляная кислота концентрированная.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 г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отовят из мочи эфирную вытяжку: к 10мл мочи добавляют 8-10 капель концентрированной серной кислоты, перемешивают и приливают 3-4мл эфира. Закрывают пробирку пробкой и несколько раз осторожно пропускают эфир через слой мочи для экстрагирования уробилина. Дают отстояться слоям. В другую пробирку наливают 2-3мл концентрированной соляной кислоты. Наслаивают на соляную кислоту эфирную вытяжку мочи. При наличии уробилина в моче на границе жидкостей образуется розовое кольцо. Интенсивность окраски кольца пропорциональн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а  количеству уробилина в моче.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Проба высокочувствительна, даже в норме дает слабоположительную реакцию (легкое колечко розового цвета). Этой пробой можно установить полное отсутствие уробилина в моче.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Определение билирубина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Билирубин в моче не содержится. Появление его в моче называется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билирубинурия.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В присутствии билирубина моча приобретает зеленовато-бурый или коричневый с зеленоватым оттенком цвет (цвет пива). Пена мочи,  в норме белая, при э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том  окрашивается в желтый цвет.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Билирубинурия наблюдается при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паренхиматозных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и механических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желтухах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. Для гемолитической желтухи билирубинурия не характерна.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Унифицировано несколько  методов обнаружения билирубина в моче: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  - проба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Фуше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  - проба Розина;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    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экспрес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с-тесты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(индикаторные полоски).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Обнаружение билирубина пробой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Розина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б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илирубин под действием окислителя (йода) превращает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ся в биливердин зеленого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1% спиртовой раствор йода или раствор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Люголя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(1г йода + 2г калия йодистого на 300мл воды).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 исследования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а 4-5мл мочи наслаивают раствор йода или раствор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Люголя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При наличии билирубина в моче на границе жидкостей появляется кольцо зеленого цвета.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Обнаружение билирубина пробой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Фуше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б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илирубин, предварительно осажденный хлоридом бария,  превращается    под действием хлорного железа в биливердин. Проба очень чувствительна, применяется при сомнительных результа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тах пробы Розина.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15% раствор хлорида бария, реактив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Фуше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 25г трихлоруксусной кислоты растворяют в 100мл дистиллированной воды + 1г хлорного железа.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сли реакция мочи щелочная, то необходимо подкислить её несколькими каплями уксусной кислоты. К 10мл мочи добавляют 5мл 15% хлорида бария, перемешивают и фильтруют. Фильтр вынимают  из воронки, помещают его  в чашку Петри на сухой фильтр. На осадок  хлорида бария наносят  1-2 капли реактива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Фуше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 При наличии в моче билирубина на фильтре появляются пятна сине-зеленого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</w:p>
    <w:p>
      <w:pPr>
        <w:tabs>
          <w:tab w:val="left" w:pos="2684"/>
          <w:tab w:val="center" w:pos="5032"/>
        </w:tabs>
        <w:spacing w:after="0" w:line="360" w:lineRule="auto"/>
        <w:ind w:firstLine="709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ab/>
      </w:r>
    </w:p>
    <w:p>
      <w:pPr>
        <w:tabs>
          <w:tab w:val="left" w:pos="2684"/>
          <w:tab w:val="center" w:pos="5032"/>
        </w:tabs>
        <w:spacing w:after="0" w:line="360" w:lineRule="auto"/>
        <w:ind w:firstLine="709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</w:p>
    <w:p>
      <w:pPr>
        <w:tabs>
          <w:tab w:val="left" w:pos="2684"/>
          <w:tab w:val="center" w:pos="5032"/>
        </w:tabs>
        <w:spacing w:after="0" w:line="360" w:lineRule="auto"/>
        <w:ind w:firstLine="709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Обнаружение кровяного пигмента </w:t>
      </w:r>
    </w:p>
    <w:p>
      <w:pPr>
        <w:pStyle w:val="BodyTextIndent"/>
        <w:spacing w:line="360" w:lineRule="auto"/>
        <w:ind w:left="0"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>Наличие в моче свободного кровяного пигмента (гемоглобина) без эритроцитов называется</w:t>
      </w:r>
      <w:r>
        <w:rPr>
          <w:b/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гемоглобинурия. Методы</w:t>
      </w:r>
      <w:r>
        <w:rPr>
          <w:color w:val="1a1a1a" w:themeColor="background1" w:themeShade="1a"/>
          <w:sz w:val="28"/>
          <w:szCs w:val="28"/>
        </w:rPr>
        <w:t xml:space="preserve"> обнаружения гемоглобина в моче</w:t>
      </w:r>
      <w:r>
        <w:rPr>
          <w:color w:val="1a1a1a" w:themeColor="background1" w:themeShade="1a"/>
          <w:sz w:val="28"/>
          <w:szCs w:val="28"/>
        </w:rPr>
        <w:t>: о</w:t>
      </w:r>
      <w:r>
        <w:rPr>
          <w:color w:val="1a1a1a" w:themeColor="background1" w:themeShade="1a"/>
          <w:sz w:val="28"/>
          <w:szCs w:val="28"/>
        </w:rPr>
        <w:t>пределение  кровяного пигмента не входит в общий анализ мочи. Проводится в тех случаях, когда моча имеет красный или бурый цвет, а при микроскопическом исследовании эритроциты в ней не обнаружены.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Для выявления гемоглобина и миоглобина в моче используются следующие мето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ды: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амидопириновая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проба;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-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бензидиновая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 проба;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- экспресс-ме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тод с помощью реактивных полос.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Обнаружение кровяного пигмента в моче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амидопириновой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пробой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к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ровяной пигмент (гемоглобин) обладает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пероксидазными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свойствами,  то есть способностью расщеплять перекись водорода с образованием атомарного кислорода, который окисляет амидопирин с образованием вещества сине-фиолетового цвета.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5% спиртовой раствор амидопирина, уксусная кислота концентрированная,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диэтиловый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эфир, 3% раствор перекиси водорода свежеприготовленный.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исследования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отовят из мочи уксусно-эфирную вытяжку: к 10мл хорошо перемешанной,  не фильтрованной мочи добавляют 2мл концентрированной уксусной  кислоты, перемешивают и приливают 3-4мл эфира. Закрывают пробирку пробкой и несколько раз осторожно пропускают эфир через слой мочи для экстрагирования гемоглобина, который при взаимодействии с уксусной кислотой превращается в уксуснокислый гематин. В течение нескольких минут дают отстояться слоям. Отсасывают верхний слой (уксусно-эфирную вытяжку) в другую пробирку. Прибавляют 8-10 капель раствора амидопирина и 8-10 капель 3% перекиси водорода.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При наличии кровяного пигмента  в моче  образуется сине-фиолетовое окрашивание.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 w:firstLine="34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2.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овать химические свойства мочи;</w:t>
      </w:r>
    </w:p>
    <w:p>
      <w:pPr>
        <w:spacing w:after="0" w:line="360" w:lineRule="auto"/>
        <w:ind w:left="360" w:firstLine="34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3.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Офо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рмить результаты в виде бланка:</w:t>
      </w:r>
    </w:p>
    <w:tbl>
      <w:tblPr>
        <w:tblStyle w:val="TableGrid"/>
        <w:tblW w:w="0" w:type="auto"/>
        <w:tblLook w:val="04A0"/>
      </w:tblPr>
      <w:tblGrid>
        <w:gridCol w:w="4785"/>
        <w:gridCol w:w="4786"/>
      </w:tblGrid>
      <w:tr>
        <w:trPr/>
        <w:tc>
          <w:tcPr>
            <w:cnfStyle w:val="10100000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Химическое исследование</w:t>
            </w:r>
          </w:p>
        </w:tc>
        <w:tc>
          <w:tcPr>
            <w:cnfStyle w:val="100000000000"/>
            <w:tcW w:w="4786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Анализ мочи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Белок: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 20% ССК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 3% ССК (турбидиметрический метод)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тест-полоски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«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Альбуфан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»</w:t>
            </w:r>
          </w:p>
        </w:tc>
        <w:tc>
          <w:tcPr>
            <w:cnfStyle w:val="000000100000"/>
            <w:tcW w:w="4786" w:type="dxa"/>
          </w:tcPr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присутствует (помутнение раствора)</w:t>
            </w: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Е=0,049; С=0,43 г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/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</w:t>
            </w: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rPr>
                <w:rFonts w:ascii="Times New Roman" w:cs="Times New Roman" w:hAnsi="Times New Roman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положительно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Глюкоза: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проба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Гайнеса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-Акимова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метод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Альтгаузена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«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глюкотест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»</w:t>
            </w:r>
          </w:p>
        </w:tc>
        <w:tc>
          <w:tcPr>
            <w:cnfStyle w:val="000000010000"/>
            <w:tcW w:w="478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присутствует (красный раствор)</w:t>
            </w: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Е=0,022; С=5ммоль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/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ab/>
            </w:r>
          </w:p>
          <w:p>
            <w:pP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отрицательно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Ацетоновые тела:</w:t>
            </w:r>
          </w:p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ест-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полоски</w:t>
            </w:r>
          </w:p>
        </w:tc>
        <w:tc>
          <w:tcPr>
            <w:cnfStyle w:val="000000100000"/>
            <w:tcW w:w="478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положительно (0,5ммоль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lang w:val="en-US"/>
              </w:rPr>
              <w:t>/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л) 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Билирубин: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тест-полоски</w:t>
            </w:r>
          </w:p>
        </w:tc>
        <w:tc>
          <w:tcPr>
            <w:cnfStyle w:val="000000010000"/>
            <w:tcW w:w="478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положительно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(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4,5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мкмоль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lang w:val="en-US"/>
              </w:rPr>
              <w:t>/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л)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Уробилин: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тест-полоски</w:t>
            </w:r>
          </w:p>
        </w:tc>
        <w:tc>
          <w:tcPr>
            <w:cnfStyle w:val="000000100000"/>
            <w:tcW w:w="4786" w:type="dxa"/>
          </w:tcPr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положительно (0,9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мкмоль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lang w:val="en-US"/>
              </w:rPr>
              <w:t>/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л)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Гемоглобин:</w:t>
            </w: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тест-полоски</w:t>
            </w:r>
          </w:p>
        </w:tc>
        <w:tc>
          <w:tcPr>
            <w:cnfStyle w:val="000000010000"/>
            <w:tcW w:w="4786" w:type="dxa"/>
          </w:tcPr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  <w:p>
            <w:pPr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отрицательно</w:t>
            </w:r>
          </w:p>
        </w:tc>
      </w:tr>
    </w:tbl>
    <w:p>
      <w:pPr>
        <w:tabs>
          <w:tab w:val="left" w:pos="6781"/>
        </w:tabs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Вывод: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сследовали пробу мочи на химические свойства (на белок, глюкозу, ацетоновые тела, уробилин, билирубин и кровяной пигмент-гемоглобин).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Исследования показали, что в данной моче содержится большое количество белка. В норме он отсутствует. Его присутствие свидетельствует о протеинурии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(почечной (функциональной) или внепочечной). Присутствует глюкоза (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глюкозурия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). Ее присутствие, возможно, свидетельствует о заболевании, как сахарный диабет. Также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кетонурия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,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причина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которой это сахарный диабет. В моче содержится уробилин.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В норме он есть 1+. Присутствует билирубин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softHyphen/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(билирубинурия). Причина появления-желтухи (паренхиматозная или механическая). Отсутствует гемоглобин - в норме его нет.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 w:firstLine="34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4.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Решить задачи: 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1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количество белка в моче, если при определении его методом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Брандберг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-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Робертса-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Стольникова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нитевидное колечко появилось сразу же после наслоения цельной мочи, а после повторного наслоения разведенной в соответствующее количество раз мочи нитевидное колечко появилось через 2 минуты. 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b/>
          <w:color w:val="1a1a1a" w:themeColor="background1" w:themeShade="1a"/>
          <w:sz w:val="28"/>
          <w:u w:val="single"/>
        </w:rPr>
        <w:t>Ответ:</w:t>
      </w:r>
      <w:r>
        <w:rPr>
          <w:color w:val="1a1a1a" w:themeColor="background1" w:themeShade="1a"/>
          <w:sz w:val="28"/>
        </w:rPr>
        <w:t xml:space="preserve"> 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расчет проводится по формуле (попра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вку и разведение смотреть выше):</w:t>
      </w:r>
    </w:p>
    <w:p>
      <w:pPr>
        <w:pStyle w:val="Normal(Web)"/>
        <w:tabs>
          <w:tab w:val="center" w:pos="4677"/>
          <w:tab w:val="right" w:pos="9355"/>
        </w:tabs>
        <w:spacing w:before="0" w:after="0" w:line="360" w:lineRule="auto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0</w:t>
      </w:r>
      <w:r>
        <w:rPr>
          <w:color w:val="1a1a1a" w:themeColor="background1" w:themeShade="1a"/>
          <w:sz w:val="28"/>
          <w:szCs w:val="28"/>
        </w:rPr>
        <w:t>,033 г/л × разведение ×  поправка</w:t>
      </w:r>
      <w:r>
        <w:rPr>
          <w:color w:val="1a1a1a" w:themeColor="background1" w:themeShade="1a"/>
          <w:sz w:val="28"/>
          <w:szCs w:val="28"/>
        </w:rPr>
        <w:tab/>
        <w:t>(3)</w:t>
      </w:r>
    </w:p>
    <w:p>
      <w:pPr>
        <w:pStyle w:val="Normal(Web)"/>
        <w:tabs>
          <w:tab w:val="center" w:pos="4677"/>
          <w:tab w:val="right" w:pos="9355"/>
        </w:tabs>
        <w:spacing w:before="0" w:after="0" w:line="360" w:lineRule="auto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0,033×2×1,125=0,07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</w:t>
      </w:r>
      <w:r>
        <w:rPr>
          <w:color w:val="1a1a1a" w:themeColor="background1" w:themeShade="1a"/>
          <w:sz w:val="28"/>
          <w:szCs w:val="28"/>
        </w:rPr>
        <w:t>/</w:t>
      </w:r>
      <w:r>
        <w:rPr>
          <w:color w:val="1a1a1a" w:themeColor="background1" w:themeShade="1a"/>
          <w:sz w:val="28"/>
          <w:szCs w:val="28"/>
        </w:rPr>
        <w:t>л.</w:t>
      </w:r>
      <w:r>
        <w:rPr>
          <w:color w:val="1a1a1a" w:themeColor="background1" w:themeShade="1a"/>
          <w:sz w:val="28"/>
          <w:szCs w:val="28"/>
        </w:rPr>
        <w:tab/>
        <w:t>(4)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адача № 2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количество белка в моче, если при определении его методом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Брандберг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-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Робертса-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Стольникова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сразу после наслоения цельной мочи появилось широкое, рыхлое кольцо. После повторного наслоения разведенной в соответствии с методикой мочи нитевидное к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лечко появилось через 3 минуты.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Ответ: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 расчет проводится по формуле (попра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вку и разведение смотреть выше):</w:t>
      </w:r>
    </w:p>
    <w:p>
      <w:pPr>
        <w:pStyle w:val="ListParagraph"/>
        <w:tabs>
          <w:tab w:val="center" w:pos="5032"/>
          <w:tab w:val="right" w:pos="9355"/>
        </w:tabs>
        <w:spacing w:after="0" w:line="360" w:lineRule="auto"/>
        <w:ind w:left="0" w:firstLine="709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0,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033г/л × разведение ×  поправка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(5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)</w:t>
      </w:r>
    </w:p>
    <w:p>
      <w:pPr>
        <w:pStyle w:val="Normal(Web)"/>
        <w:tabs>
          <w:tab w:val="center" w:pos="4677"/>
          <w:tab w:val="right" w:pos="9355"/>
        </w:tabs>
        <w:spacing w:before="0" w:after="0" w:line="360" w:lineRule="auto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0,033×4×0,937=0,12</w:t>
      </w:r>
      <w:r>
        <w:rPr>
          <w:color w:val="1a1a1a" w:themeColor="background1" w:themeShade="1a"/>
          <w:sz w:val="28"/>
          <w:szCs w:val="28"/>
        </w:rPr>
        <w:t xml:space="preserve"> </w:t>
      </w:r>
      <w:r>
        <w:rPr>
          <w:color w:val="1a1a1a" w:themeColor="background1" w:themeShade="1a"/>
          <w:sz w:val="28"/>
          <w:szCs w:val="28"/>
        </w:rPr>
        <w:t>г/л.</w:t>
      </w:r>
      <w:r>
        <w:rPr>
          <w:color w:val="1a1a1a" w:themeColor="background1" w:themeShade="1a"/>
          <w:sz w:val="28"/>
          <w:szCs w:val="28"/>
        </w:rPr>
        <w:tab/>
        <w:t>(6)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3.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При наслоении цельной мочи на реактив Ларионовой сразу появилось компактное кольцо. После предусмотренного методикой разведения мочи в 8 раз нитевидное колечко появилось через 3,5 минуты. Рассчит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айте содержание белка в моче. </w:t>
      </w:r>
    </w:p>
    <w:p>
      <w:pPr>
        <w:pStyle w:val="Normal(Web)"/>
        <w:spacing w:before="0" w:after="0" w:line="360" w:lineRule="auto"/>
        <w:ind w:firstLine="709"/>
        <w:jc w:val="both"/>
        <w:rPr>
          <w:color w:val="1a1a1a" w:themeColor="background1" w:themeShade="1a"/>
          <w:sz w:val="28"/>
        </w:rPr>
      </w:pPr>
      <w:r>
        <w:rPr>
          <w:b/>
          <w:color w:val="1a1a1a" w:themeColor="background1" w:themeShade="1a"/>
          <w:sz w:val="28"/>
          <w:u w:val="single"/>
        </w:rPr>
        <w:t>Ответ:</w:t>
      </w:r>
      <w:r>
        <w:rPr>
          <w:color w:val="1a1a1a" w:themeColor="background1" w:themeShade="1a"/>
          <w:sz w:val="28"/>
        </w:rPr>
        <w:t xml:space="preserve">  расчет проводится по формуле (поправку и разведение смотреть выше)</w:t>
      </w:r>
      <w:r>
        <w:rPr>
          <w:color w:val="1a1a1a" w:themeColor="background1" w:themeShade="1a"/>
          <w:sz w:val="28"/>
        </w:rPr>
        <w:t>:</w:t>
      </w:r>
    </w:p>
    <w:p>
      <w:pPr>
        <w:pStyle w:val="Normal(Web)"/>
        <w:tabs>
          <w:tab w:val="center" w:pos="5032"/>
          <w:tab w:val="right" w:pos="9355"/>
        </w:tabs>
        <w:spacing w:before="0" w:after="0" w:line="360" w:lineRule="auto"/>
        <w:ind w:firstLine="709"/>
        <w:rPr>
          <w:color w:val="1a1a1a" w:themeColor="background1" w:themeShade="1a"/>
          <w:sz w:val="28"/>
          <w:szCs w:val="28"/>
        </w:rPr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0,033г/л × разведение ×  поправк</w:t>
      </w:r>
      <w:r>
        <w:rPr>
          <w:color w:val="1a1a1a" w:themeColor="background1" w:themeShade="1a"/>
          <w:sz w:val="28"/>
          <w:szCs w:val="28"/>
        </w:rPr>
        <w:t>а</w:t>
      </w: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(7</w:t>
      </w:r>
      <w:r>
        <w:rPr>
          <w:color w:val="1a1a1a" w:themeColor="background1" w:themeShade="1a"/>
          <w:sz w:val="28"/>
          <w:szCs w:val="28"/>
        </w:rPr>
        <w:t>)</w:t>
      </w:r>
    </w:p>
    <w:p>
      <w:pPr>
        <w:pStyle w:val="Normal(Web)"/>
        <w:tabs>
          <w:tab w:val="center" w:pos="4677"/>
          <w:tab w:val="right" w:pos="9355"/>
        </w:tabs>
        <w:spacing w:before="0" w:after="0" w:line="360" w:lineRule="auto"/>
        <w:rPr/>
      </w:pPr>
      <w:r>
        <w:rPr>
          <w:color w:val="1a1a1a" w:themeColor="background1" w:themeShade="1a"/>
          <w:sz w:val="28"/>
          <w:szCs w:val="28"/>
        </w:rPr>
        <w:tab/>
      </w:r>
      <w:r>
        <w:rPr>
          <w:color w:val="1a1a1a" w:themeColor="background1" w:themeShade="1a"/>
          <w:sz w:val="28"/>
          <w:szCs w:val="28"/>
        </w:rPr>
        <w:t>0,033×8×0,875=0,231г/л.</w:t>
      </w:r>
      <w:r>
        <w:t xml:space="preserve"> </w:t>
      </w:r>
      <w:r>
        <w:tab/>
        <w:t>(8)</w:t>
      </w: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День 4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 (12.06.19)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МИКРОСКОПИЯ МОЧИ ОРИЕНТИРОВОЧНЫМ МЕТОДОМ И ПО Н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ЕЧИПОРЕНКО. ТРЕХСТАКАННАЯ ПРОБА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Записать методику, принцип метода, реактивы и ход определения.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3315"/>
        </w:tabs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Ориентировочный метод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Микроскопия 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нативного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 xml:space="preserve"> препарата мочи</w:t>
      </w: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: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икроскопическое исследование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нативных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препаратов мочевого осадка, полученн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ого при центрифугировании мочи.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Исследуемый материал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м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икроскопическое исследование осадка  проводится  в утренней порции мочи. Исследование осадка желательно выполнить в течение 20 минут  после получения мочи. При более длительном хранении необходимо пробу охладить и добавить консерванты: 0,5мл ледяной уксусной кислоты, чтобы значение рН было 5,0-7,0, так как лучше всего сохраняется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моча кислой реакции; тимол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или 40% формалин  (1 капля на 10мл мочи). Через 2-3 часа хранения мочи при комнатной  температуре разрушается около 50% клеток. Низкая относительная плотность мочи (менее 1,010) также пр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иводит к разрушению эритроцитов.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Cs/>
          <w:color w:val="1a1a1a" w:themeColor="background1" w:themeShade="1a"/>
          <w:sz w:val="28"/>
          <w:szCs w:val="28"/>
          <w:u w:val="single"/>
          <w:lang w:eastAsia="ru-RU"/>
        </w:rPr>
        <w:t>Оборудование</w:t>
      </w:r>
      <w:r>
        <w:rPr>
          <w:rFonts w:ascii="Times New Roman" w:cs="Times New Roman" w:eastAsia="Times New Roman" w:hAnsi="Times New Roman"/>
          <w:iCs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центрифуга, микроскоп,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центрифужные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пробирки, предметные и покровные стекла.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риготовление препаратов: в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центрифужную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пробирку наливают 10мл утренней порции мочи после тщательного её перемешивания. Центрифугируют 5 минут при 2000 об/мин. Затем быстрым наклоном пробирки сливают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надосадочную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жидкость. Оставшийся осадок переносят пипеткой с тонко оттянутым концом на середину предметного стекла и накрывают покровным стеклом. Надо стараться перенести осадок с минимальным количеством жидкости, чтобы покровное стекло закрывало его полностью. Большая капля расплывается, колеблется, препарат становится многослойным, что затрудняет микроскопию.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Изучение препаратов начинают с малого увеличения (объектив 8Х,  окуляр 7Х или 10Х) для общего обзора. Более детальное изучение препарата с количественной оценкой структур производят при большом увеличении (объектив 40Х, окуляр 7Х или 10Х),  с опущенным конденсором. </w:t>
      </w: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Трехстаканная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 проба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роводится для ориентировочной оценки источника форменных элементов в моче.  Проба заключается в исследовании трех порций мочи, полученных при однократном мочеиспускании. Перед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пробой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 xml:space="preserve"> обследуемый должен удерживать мочу в течение 3-5 часов. В первый сосуд собирается начальная порция (50-60мл), во второй – средняя (самая большая),  в третий – последняя порция мочи. У мужчин третья порция берется после массажа предстательной железы.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0"/>
          <w:lang w:eastAsia="ru-RU"/>
        </w:rPr>
        <w:t>Помутнение мочи, изменение ее цвета,  обнаружение при микроскопии увеличенного количества лейкоцитов и эритроцитов только  в первой порции указывает на воспаление мочеиспускательного канала. Если патологические примеси обнаруживаются в одинаковом количестве во всех порциях мочи, то вероятнее всего заболевание почек. При обнаружении патологических примесей только в последней порции мочи предполагают локализацию очага  в  мочевом пузыре или в предстательной железе (у мужчин).</w:t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Определение количества форменных элементов  в 1мл мочи методом Нечипоренко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о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пределение количества форменных элементов (эритроцитов, лейкоцитов, цилиндров) в 1мл мочи с помощью счетной камеры.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Специальное оборудование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 микроскоп, счетная камера.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Ход определения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 и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сследуют одноразовую порцию мочи (желательно утреннюю) в середине мочеиспускания. Определяют рН мочи, так как в щелочной моче могут частично разрушаться клеточные элементы. 5 или 10мл мочи  центрифугируют при 3500 об/минуту в течение 3 минут.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Отсасывают верхний слой, оставляя с осадком 0,5мл (500мкл) мочи при небольшом осадке и 1мл (1000мкл) – при большом объеме осадка. Хорошо перемешивают осадок и заполняют им счетную камеру. Подсчитывают отдельно лейкоциты, эритроциты и цилиндры во всей сетке камеры.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u w:val="single"/>
          <w:lang w:eastAsia="ru-RU"/>
        </w:rPr>
        <w:t>Расчет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количества клеток в 1мл мочи ведется по формуле:</w:t>
      </w:r>
    </w:p>
    <w:p>
      <w:pPr>
        <w:tabs>
          <w:tab w:val="num" w:pos="720"/>
          <w:tab w:val="left" w:pos="4018"/>
          <w:tab w:val="center" w:pos="4857"/>
          <w:tab w:val="right" w:pos="9355"/>
        </w:tabs>
        <w:spacing w:after="0" w:line="240" w:lineRule="auto"/>
        <w:ind w:left="360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10"/>
          <w:sz w:val="28"/>
          <w:szCs w:val="28"/>
          <w:lang w:eastAsia="ru-RU"/>
        </w:rPr>
        <w:object w:dxaOrig="180" w:dyaOrig="3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0" type="#_x0000_t75" style="width:8.9pt;height:16.9pt" o:ole="" o:bullet="t" fillcolor="window">
            <v:imagedata r:id="rId11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4"/>
          <w:sz w:val="28"/>
          <w:szCs w:val="28"/>
          <w:lang w:eastAsia="ru-RU"/>
        </w:rPr>
        <w:object w:dxaOrig="460" w:dyaOrig="2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1" type="#_x0000_t75" style="width:23.1pt;height:12.45pt" o:ole="" fillcolor="window">
            <v:imagedata r:id="rId1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15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2" type="#_x0000_t75" style="width:74.65pt;height:32.9pt" o:ole="" fillcolor="window">
            <v:imagedata r:id="rId1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,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(9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)</w:t>
      </w:r>
    </w:p>
    <w:p>
      <w:pPr>
        <w:tabs>
          <w:tab w:val="num" w:pos="720"/>
        </w:tabs>
        <w:spacing w:after="0" w:line="360" w:lineRule="auto"/>
        <w:ind w:left="360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</w:p>
    <w:p>
      <w:pPr>
        <w:tabs>
          <w:tab w:val="num" w:pos="720"/>
        </w:tabs>
        <w:spacing w:after="0" w:line="360" w:lineRule="auto"/>
        <w:ind w:left="360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г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д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е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А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– количество подсчитанных элементов в счетной камере; </w:t>
      </w:r>
    </w:p>
    <w:p>
      <w:pPr>
        <w:tabs>
          <w:tab w:val="num" w:pos="720"/>
        </w:tabs>
        <w:spacing w:after="0" w:line="360" w:lineRule="auto"/>
        <w:ind w:left="360" w:firstLine="34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500(1000) – объем мочи в микролитрах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, оставленный вместе с осадком;</w:t>
      </w:r>
    </w:p>
    <w:p>
      <w:pPr>
        <w:tabs>
          <w:tab w:val="num" w:pos="720"/>
        </w:tabs>
        <w:spacing w:after="0" w:line="360" w:lineRule="auto"/>
        <w:ind w:left="360" w:firstLine="34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0,9(3,2) – объём счетной камеры Горяева (Фукса-Розенталя); </w:t>
      </w:r>
    </w:p>
    <w:p>
      <w:pPr>
        <w:tabs>
          <w:tab w:val="num" w:pos="720"/>
        </w:tabs>
        <w:spacing w:after="0" w:line="360" w:lineRule="auto"/>
        <w:ind w:left="360" w:firstLine="34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5(10) – количество мочи, взятое для центрифугирования, в мл.</w:t>
      </w:r>
    </w:p>
    <w:p>
      <w:pPr>
        <w:spacing w:after="0" w:line="360" w:lineRule="auto"/>
        <w:ind w:firstLine="720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Нормальные  величины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В 1мл мочи в норме содержится до 1000 эритроцитов и до 2000 лейкоцитов, цилиндры отсутствуют или обнаруживаются не более одного на 4 камеры Горяева или на 1 камеру Фукса-Розенталя.</w:t>
      </w:r>
    </w:p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2.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Исследовать микроскопическую ка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ртину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нативного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препарата мочи;</w:t>
      </w:r>
    </w:p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3.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Оф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ормить результаты в виде бланка;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4785"/>
        <w:gridCol w:w="4786"/>
      </w:tblGrid>
      <w:tr>
        <w:trPr/>
        <w:tc>
          <w:tcPr>
            <w:cnfStyle w:val="101000000000"/>
            <w:tcW w:w="4785" w:type="dxa"/>
            <w:vAlign w:val="center"/>
          </w:tcPr>
          <w:p>
            <w:pPr>
              <w:tabs>
                <w:tab w:val="left" w:pos="709"/>
              </w:tabs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Элементы осадка</w:t>
            </w:r>
          </w:p>
        </w:tc>
        <w:tc>
          <w:tcPr>
            <w:cnfStyle w:val="100000000000"/>
            <w:tcW w:w="4786" w:type="dxa"/>
            <w:vAlign w:val="center"/>
          </w:tcPr>
          <w:p>
            <w:pPr>
              <w:tabs>
                <w:tab w:val="left" w:pos="709"/>
              </w:tabs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Результаты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Эпителиальные клетки:</w:t>
            </w:r>
          </w:p>
          <w:p>
            <w:pPr>
              <w:tabs>
                <w:tab w:val="left" w:pos="709"/>
                <w:tab w:val="left" w:pos="1653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 плоские</w:t>
            </w:r>
          </w:p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 переходные</w:t>
            </w:r>
          </w:p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 почечные</w:t>
            </w:r>
          </w:p>
        </w:tc>
        <w:tc>
          <w:tcPr>
            <w:cnfStyle w:val="000000100000"/>
            <w:tcW w:w="4786" w:type="dxa"/>
          </w:tcPr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d1b11" w:themeColor="background2" w:themeShade="1a"/>
                <w:sz w:val="28"/>
              </w:rPr>
            </w:pPr>
            <w:r>
              <w:rPr>
                <w:rFonts w:ascii="Times New Roman" w:cs="Times New Roman" w:hAnsi="Times New Roman"/>
                <w:color w:val="1d1b11" w:themeColor="background2" w:themeShade="1a"/>
                <w:sz w:val="28"/>
                <w:lang w:eastAsia="ru-RU"/>
              </w:rPr>
              <w:pict>
                <v:shape id="938C0F96-E32F-4F36-F2AD9929657C" coordsize="21600,21600" style="position:absolute;width:58.65pt;height:0pt;margin-top:47.25pt;margin-left:87.25pt;mso-wrap-distance-left:9pt;mso-wrap-distance-right:9pt;mso-wrap-distance-top:0pt;mso-wrap-distance-bottom:0pt;rotation:0.000000;z-index:251821056;" strokecolor="#4579b8" o:spt="32" o:oned="t" path="m0,0 l21600,21600 e">
                  <o:lock/>
                </v:shape>
              </w:pict>
            </w:r>
          </w:p>
        </w:tc>
      </w:tr>
      <w:tr>
        <w:trPr/>
        <w:tc>
          <w:tcPr>
            <w:cnfStyle w:val="001000010000"/>
            <w:tcW w:w="4785" w:type="dxa"/>
            <w:vAlign w:val="center"/>
          </w:tcPr>
          <w:p>
            <w:pPr>
              <w:tabs>
                <w:tab w:val="left" w:pos="1422"/>
              </w:tabs>
              <w:spacing w:line="360" w:lineRule="auto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Эритроциты</w:t>
            </w:r>
          </w:p>
        </w:tc>
        <w:tc>
          <w:tcPr>
            <w:cnfStyle w:val="000000010000"/>
            <w:tcW w:w="4786" w:type="dxa"/>
          </w:tcPr>
          <w:p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</w:t>
            </w:r>
          </w:p>
        </w:tc>
      </w:tr>
      <w:tr>
        <w:trPr/>
        <w:tc>
          <w:tcPr>
            <w:cnfStyle w:val="001000100000"/>
            <w:tcW w:w="4785" w:type="dxa"/>
          </w:tcPr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Лейкоциты</w:t>
            </w:r>
          </w:p>
        </w:tc>
        <w:tc>
          <w:tcPr>
            <w:cnfStyle w:val="000000100000"/>
            <w:tcW w:w="4786" w:type="dxa"/>
          </w:tcPr>
          <w:p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</w:t>
            </w:r>
          </w:p>
        </w:tc>
      </w:tr>
      <w:tr>
        <w:trPr/>
        <w:tc>
          <w:tcPr>
            <w:cnfStyle w:val="001000010000"/>
            <w:tcW w:w="4785" w:type="dxa"/>
          </w:tcPr>
          <w:p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Цилиндры</w:t>
            </w:r>
          </w:p>
        </w:tc>
        <w:tc>
          <w:tcPr>
            <w:cnfStyle w:val="000000010000"/>
            <w:tcW w:w="4786" w:type="dxa"/>
          </w:tcPr>
          <w:p>
            <w:pPr>
              <w:tabs>
                <w:tab w:val="center" w:pos="2285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lang w:eastAsia="ru-RU"/>
              </w:rPr>
              <w:pict>
                <v:shape id="7D609DE8-3AD3-292F-042055E2FB0A" coordsize="21600,21600" style="position:absolute;width:56.9pt;height:0.9pt;margin-top:11.9pt;margin-left:81.9pt;mso-wrap-distance-left:9pt;mso-wrap-distance-right:9pt;mso-wrap-distance-top:0pt;mso-wrap-distance-bottom:0pt;rotation:0.000000;z-index:251822080;" strokecolor="#4579b8" o:spt="32" o:oned="t" path="m0,0 l21600,21600 e">
                  <o:lock/>
                </v:shape>
              </w:pic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ab/>
            </w:r>
          </w:p>
        </w:tc>
      </w:tr>
    </w:tbl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Вывод: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исследовали образец мочи на выявление организованных осадков. </w:t>
      </w:r>
    </w:p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Исследования показали, что в данной моче содержится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эритроцитов – 3 (в норме 0-3), лейкоцитов – 2 (в норме 0-5). Цилиндры и эпителиальные клетки отсутствуют.</w:t>
      </w:r>
    </w:p>
    <w:p>
      <w:pPr>
        <w:tabs>
          <w:tab w:val="left" w:pos="709"/>
        </w:tabs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4.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Решить задачи: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1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количество форменных элементов в 1мл мочи, если в счетной камере Фукса-Розенталя подсчитано 30 эритроцитов и 50 лейкоцитов. Для центрифугирования было взято 10мл мочи, после отсасывания с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надосадочной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жидкостью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оставлен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1мл осадка.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Ответ: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данная задача решается по формуле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</w:p>
    <w:p>
      <w:pPr>
        <w:tabs>
          <w:tab w:val="center" w:pos="5032"/>
          <w:tab w:val="right" w:pos="9355"/>
        </w:tabs>
        <w:spacing w:after="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4"/>
          <w:sz w:val="28"/>
          <w:szCs w:val="28"/>
          <w:lang w:eastAsia="ru-RU"/>
        </w:rPr>
        <w:object w:dxaOrig="460" w:dyaOrig="2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6" type="#_x0000_t75" style="width:23.1pt;height:12.45pt" o:ole="" fillcolor="window">
            <v:imagedata r:id="rId1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15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7" type="#_x0000_t75" style="width:74.65pt;height:32.9pt" o:ole="" fillcolor="window">
            <v:imagedata r:id="rId1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  <w:t>(10)</w:t>
      </w:r>
    </w:p>
    <w:p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4677"/>
          <w:tab w:val="left" w:pos="4956"/>
          <w:tab w:val="left" w:pos="5664"/>
          <w:tab w:val="left" w:pos="6372"/>
          <w:tab w:val="left" w:pos="7080"/>
          <w:tab w:val="left" w:pos="7788"/>
          <w:tab w:val="right" w:pos="9355"/>
        </w:tabs>
        <w:spacing w:after="0" w:line="360" w:lineRule="auto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b/>
          <w:color w:val="1a1a1a" w:themeColor="background1" w:themeShade="1a"/>
          <w:sz w:val="28"/>
        </w:rPr>
        <w:tab/>
      </w:r>
      <w:r>
        <w:rPr>
          <w:b/>
          <w:color w:val="1a1a1a" w:themeColor="background1" w:themeShade="1a"/>
          <w:sz w:val="28"/>
        </w:rPr>
        <w:tab/>
      </w:r>
      <w:r>
        <w:rPr>
          <w:b/>
          <w:color w:val="1a1a1a" w:themeColor="background1" w:themeShade="1a"/>
          <w:sz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position w:val="-10"/>
          <w:sz w:val="28"/>
          <w:szCs w:val="28"/>
        </w:rPr>
        <w:object w:dxaOrig="940" w:dyaOrig="32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3" type="#_x0000_t75" style="width:47.1pt;height:16pt" o:ole="" fillcolor="window">
            <v:imagedata r:id="rId19" o:title=""/>
            <o:lock aspectratio="t"/>
          </v:shape>
        </w:objec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position w:val="-28"/>
          <w:sz w:val="28"/>
          <w:szCs w:val="28"/>
        </w:rPr>
        <w:object w:dxaOrig="92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4" type="#_x0000_t75" style="width:46.2pt;height:32.9pt" o:ole="" fillcolor="window">
            <v:imagedata r:id="rId21" o:title=""/>
            <o:lock aspectratio="t"/>
          </v:shape>
        </w:objec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=937,5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6"/>
          <w:sz w:val="28"/>
          <w:szCs w:val="28"/>
          <w:lang w:eastAsia="ru-RU"/>
        </w:rPr>
        <w:object w:dxaOrig="880" w:dyaOrig="279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5" type="#_x0000_t75" style="width:44.45pt;height:14.2pt" o:ole="" fillcolor="window">
            <v:imagedata r:id="rId2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92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6" type="#_x0000_t75" style="width:46.2pt;height:32.9pt" o:ole="" fillcolor="window">
            <v:imagedata r:id="rId2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=1562,5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  <w:t>(11)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Вывод: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количество эритроцитов в норме (норма в 1мл до 1000), лейкоцитов (в норме в 1мл до 2000).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2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количество форменных элементов в 1мл мочи, если в счетной камере Фукса-Розенталя подсчитано 180 эритроцитов и 35 лейкоцитов. Для центрифугирования было взято 10мл мочи, после отсасывания с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надосадочной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жидкостью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оставлен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1мл осадка.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Ответ: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данная задача решается по формуле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</w:p>
    <w:p>
      <w:pPr>
        <w:tabs>
          <w:tab w:val="center" w:pos="5032"/>
          <w:tab w:val="right" w:pos="9355"/>
        </w:tabs>
        <w:spacing w:after="0" w:line="360" w:lineRule="auto"/>
        <w:ind w:firstLine="709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u w:val="single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4"/>
          <w:sz w:val="28"/>
          <w:szCs w:val="28"/>
          <w:lang w:eastAsia="ru-RU"/>
        </w:rPr>
        <w:object w:dxaOrig="460" w:dyaOrig="2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1" type="#_x0000_t75" style="width:23.1pt;height:12.45pt" o:ole="" fillcolor="window">
            <v:imagedata r:id="rId1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15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2" type="#_x0000_t75" style="width:74.65pt;height:32.9pt" o:ole="" fillcolor="window">
            <v:imagedata r:id="rId1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  <w:t>(12)</w:t>
      </w:r>
    </w:p>
    <w:p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4677"/>
          <w:tab w:val="left" w:pos="4956"/>
          <w:tab w:val="left" w:pos="5664"/>
          <w:tab w:val="left" w:pos="6372"/>
          <w:tab w:val="left" w:pos="7080"/>
          <w:tab w:val="left" w:pos="7788"/>
          <w:tab w:val="right" w:pos="9355"/>
        </w:tabs>
        <w:spacing w:after="0" w:line="360" w:lineRule="auto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position w:val="-10"/>
          <w:sz w:val="28"/>
          <w:szCs w:val="28"/>
        </w:rPr>
        <w:object w:dxaOrig="940" w:dyaOrig="32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7" type="#_x0000_t75" style="width:47.1pt;height:16pt" o:ole="" fillcolor="window">
            <v:imagedata r:id="rId19" o:title=""/>
            <o:lock aspectratio="t"/>
          </v:shape>
        </w:objec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position w:val="-28"/>
          <w:sz w:val="28"/>
          <w:szCs w:val="28"/>
        </w:rPr>
        <w:object w:dxaOrig="104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8" type="#_x0000_t75" style="width:52.45pt;height:32.9pt" o:ole="" fillcolor="window">
            <v:imagedata r:id="rId30" o:title=""/>
            <o:lock aspectratio="t"/>
          </v:shape>
        </w:objec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=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5625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6"/>
          <w:sz w:val="28"/>
          <w:szCs w:val="28"/>
          <w:lang w:eastAsia="ru-RU"/>
        </w:rPr>
        <w:object w:dxaOrig="880" w:dyaOrig="279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49" type="#_x0000_t75" style="width:44.45pt;height:14.2pt" o:ole="" fillcolor="window">
            <v:imagedata r:id="rId2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92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0" type="#_x0000_t75" style="width:46.2pt;height:32.9pt" o:ole="" fillcolor="window">
            <v:imagedata r:id="rId3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=1093,75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  <w:t>(13)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Style w:val="Заголовок1Знак"/>
          <w:rFonts w:ascii="Times New Roman" w:cs="Times New Roman" w:hAnsi="Times New Roman"/>
          <w:color w:val="0d0d0d" w:themeColor="text1" w:themeTint="f2"/>
        </w:rPr>
        <w:t>Вывод:</w:t>
      </w:r>
      <w:r>
        <w:rPr>
          <w:rFonts w:ascii="Times New Roman" w:cs="Times New Roman" w:eastAsia="Times New Roman" w:hAnsi="Times New Roman"/>
          <w:color w:val="0d0d0d" w:themeColor="text1" w:themeTint="f2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присутствует большое количество эритроцитов (норма в 1мл до 1000), лейкоциты в норме  (в норме в 1мл до 2000). Присутствие эритроцитов свидетельствует о гематурии.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3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количество форменных элементов в 1мл мочи, если в счетной камере Горяева подсчитано 12 эритроцитов и 28 лейкоцитов. Для центрифугирования было взято 5мл мочи, после отсасывания с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надосадочной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жидкостью оставлен 0,5мл осадка.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Ответ: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данная задача решается по формуле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</w:p>
    <w:p>
      <w:pPr>
        <w:tabs>
          <w:tab w:val="center" w:pos="5032"/>
          <w:tab w:val="right" w:pos="9355"/>
        </w:tabs>
        <w:spacing w:after="0" w:line="360" w:lineRule="auto"/>
        <w:ind w:firstLine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4"/>
          <w:sz w:val="28"/>
          <w:szCs w:val="28"/>
          <w:lang w:eastAsia="ru-RU"/>
        </w:rPr>
        <w:object w:dxaOrig="460" w:dyaOrig="2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8" type="#_x0000_t75" style="width:23.1pt;height:12.45pt" o:ole="" fillcolor="window">
            <v:imagedata r:id="rId1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15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29" type="#_x0000_t75" style="width:74.65pt;height:32.9pt" o:ole="" fillcolor="window">
            <v:imagedata r:id="rId1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,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  <w:t>(14)</w:t>
      </w:r>
    </w:p>
    <w:p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4677"/>
          <w:tab w:val="left" w:pos="4956"/>
          <w:tab w:val="left" w:pos="5664"/>
          <w:tab w:val="left" w:pos="6372"/>
          <w:tab w:val="left" w:pos="7080"/>
          <w:tab w:val="right" w:pos="9355"/>
        </w:tabs>
        <w:spacing w:after="0" w:line="360" w:lineRule="auto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hAnsi="Times New Roman"/>
          <w:b/>
          <w:color w:val="1a1a1a" w:themeColor="background1" w:themeShade="1a"/>
          <w:position w:val="-10"/>
          <w:sz w:val="28"/>
          <w:szCs w:val="28"/>
        </w:rPr>
        <w:object w:dxaOrig="940" w:dyaOrig="32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3" type="#_x0000_t75" style="width:47.1pt;height:16pt" o:ole="" fillcolor="window">
            <v:imagedata r:id="rId19" o:title=""/>
            <o:lock aspectratio="t"/>
          </v:shape>
        </w:objec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position w:val="-28"/>
          <w:sz w:val="28"/>
          <w:szCs w:val="28"/>
        </w:rPr>
        <w:object w:dxaOrig="8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4" type="#_x0000_t75" style="width:40pt;height:32.9pt" o:ole="" fillcolor="window">
            <v:imagedata r:id="rId38" o:title=""/>
            <o:lock aspectratio="t"/>
          </v:shape>
        </w:objec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=1333;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6"/>
          <w:sz w:val="28"/>
          <w:szCs w:val="28"/>
          <w:lang w:eastAsia="ru-RU"/>
        </w:rPr>
        <w:object w:dxaOrig="880" w:dyaOrig="279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5" type="#_x0000_t75" style="width:44.45pt;height:14.2pt" o:ole="" fillcolor="window">
            <v:imagedata r:id="rId2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28"/>
          <w:szCs w:val="28"/>
          <w:lang w:eastAsia="ru-RU"/>
        </w:rPr>
        <w:object w:dxaOrig="84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56" type="#_x0000_t75" style="width:41.8pt;height:32.9pt" o:ole="" fillcolor="window">
            <v:imagedata r:id="rId41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=3111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ab/>
        <w:t>(15)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Вывод: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 xml:space="preserve"> присутствует большое количество эритроцитов (норма в 1мл до 1000), лейкоцитов  (в норме в 1мл до 2000). Присутствие эритроци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тов свидетельствует о гематурии, а лейкоцитов-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лейкоцитурии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4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количество форменных элементов в 1мл мочи, если в счетной камере Фукса-Розенталя подсчитано 188 эритроцитов и 16 лейкоцитов. Для центрифугирования было взято 5мл мочи, после отсасывания с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надосадочной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жидкостью оставлен 0,5мл осадка. 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Ответ: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данная задача решается по формуле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</w:p>
    <w:p>
      <w:pPr>
        <w:tabs>
          <w:tab w:val="left" w:pos="3733"/>
          <w:tab w:val="center" w:pos="5032"/>
          <w:tab w:val="right" w:pos="9355"/>
        </w:tabs>
        <w:spacing w:after="0" w:line="360" w:lineRule="auto"/>
        <w:ind w:firstLine="709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4"/>
          <w:sz w:val="32"/>
          <w:szCs w:val="32"/>
          <w:lang w:eastAsia="ru-RU"/>
        </w:rPr>
        <w:object w:dxaOrig="460" w:dyaOrig="24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0" type="#_x0000_t75" style="width:23.1pt;height:12.45pt" o:ole="" fillcolor="window">
            <v:imagedata r:id="rId1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32"/>
          <w:szCs w:val="32"/>
          <w:lang w:eastAsia="ru-RU"/>
        </w:rPr>
        <w:object w:dxaOrig="15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1" type="#_x0000_t75" style="width:74.65pt;height:32.9pt" o:ole="" fillcolor="window">
            <v:imagedata r:id="rId15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>,</w: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  <w:t>(16)</w:t>
      </w:r>
    </w:p>
    <w:p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4677"/>
          <w:tab w:val="left" w:pos="4956"/>
          <w:tab w:val="left" w:pos="5664"/>
          <w:tab w:val="left" w:pos="6372"/>
          <w:tab w:val="left" w:pos="7080"/>
          <w:tab w:val="right" w:pos="9355"/>
        </w:tabs>
        <w:spacing w:after="0" w:line="360" w:lineRule="auto"/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</w:pPr>
      <w:r>
        <w:rPr>
          <w:b/>
          <w:color w:val="1a1a1a" w:themeColor="background1" w:themeShade="1a"/>
          <w:sz w:val="28"/>
        </w:rPr>
        <w:tab/>
      </w:r>
      <w:r>
        <w:rPr>
          <w:b/>
          <w:color w:val="1a1a1a" w:themeColor="background1" w:themeShade="1a"/>
          <w:sz w:val="28"/>
        </w:rPr>
        <w:tab/>
      </w:r>
      <w:r>
        <w:rPr>
          <w:b/>
          <w:color w:val="1a1a1a" w:themeColor="background1" w:themeShade="1a"/>
          <w:sz w:val="28"/>
        </w:rPr>
        <w:tab/>
      </w:r>
      <w:r>
        <w:rPr>
          <w:b/>
          <w:color w:val="1a1a1a" w:themeColor="background1" w:themeShade="1a"/>
          <w:position w:val="-10"/>
          <w:sz w:val="28"/>
        </w:rPr>
        <w:object w:dxaOrig="940" w:dyaOrig="32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2" type="#_x0000_t75" style="width:47.1pt;height:16pt" o:ole="" fillcolor="window">
            <v:imagedata r:id="rId19" o:title=""/>
            <o:lock aspectratio="t"/>
          </v:shape>
        </w:object>
      </w:r>
      <w:r>
        <w:rPr>
          <w:b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position w:val="-28"/>
          <w:sz w:val="32"/>
          <w:szCs w:val="32"/>
        </w:rPr>
        <w:object w:dxaOrig="92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3" type="#_x0000_t75" style="width:46.2pt;height:32.9pt" o:ole="" fillcolor="window">
            <v:imagedata r:id="rId46" o:title=""/>
            <o:lock aspectratio="t"/>
          </v:shape>
        </w:objec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=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5875;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6"/>
          <w:sz w:val="32"/>
          <w:szCs w:val="32"/>
          <w:lang w:eastAsia="ru-RU"/>
        </w:rPr>
        <w:object w:dxaOrig="880" w:dyaOrig="279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4" type="#_x0000_t75" style="width:44.45pt;height:14.2pt" o:ole="" fillcolor="window">
            <v:imagedata r:id="rId23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color w:val="1a1a1a" w:themeColor="background1" w:themeShade="1a"/>
          <w:position w:val="-28"/>
          <w:sz w:val="32"/>
          <w:szCs w:val="32"/>
          <w:lang w:eastAsia="ru-RU"/>
        </w:rPr>
        <w:object w:dxaOrig="800" w:dyaOrig="66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5" type="#_x0000_t75" style="width:40pt;height:32.9pt" o:ole="" fillcolor="window">
            <v:imagedata r:id="rId49" o:title=""/>
            <o:lock aspectratio="t"/>
          </v:shape>
        </w:objec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>=500</w: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>.</w:t>
      </w:r>
      <w:r>
        <w:rPr>
          <w:rFonts w:ascii="Times New Roman" w:cs="Times New Roman" w:eastAsia="Times New Roman" w:hAnsi="Times New Roman"/>
          <w:color w:val="1a1a1a" w:themeColor="background1" w:themeShade="1a"/>
          <w:sz w:val="32"/>
          <w:szCs w:val="32"/>
          <w:lang w:eastAsia="ru-RU"/>
        </w:rPr>
        <w:tab/>
        <w:t>(17)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eastAsia="Times New Roman" w:hAnsi="Times New Roman"/>
          <w:b/>
          <w:color w:val="1a1a1a" w:themeColor="background1" w:themeShade="1a"/>
          <w:sz w:val="28"/>
          <w:szCs w:val="28"/>
          <w:lang w:eastAsia="ru-RU"/>
        </w:rPr>
        <w:t>Вывод</w:t>
      </w:r>
      <w:r>
        <w:rPr>
          <w:rFonts w:ascii="Times New Roman" w:cs="Times New Roman" w:eastAsia="Times New Roman" w:hAnsi="Times New Roman"/>
          <w:color w:val="1a1a1a" w:themeColor="background1" w:themeShade="1a"/>
          <w:sz w:val="28"/>
          <w:szCs w:val="28"/>
          <w:lang w:eastAsia="ru-RU"/>
        </w:rPr>
        <w:t>: присутствует большое количество эритроцитов (норма в 1мл до 1000), лейкоциты в норме  (в норме в 1мл до 2000). Присутствие эритроцитов свидетельствует о гематурии.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5.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Составить кроссворд по теме (не менее 20 в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опросов) с эталоном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ответов. </w:t>
      </w:r>
    </w:p>
    <w:p>
      <w:pPr>
        <w:pStyle w:val="ListParagraph"/>
        <w:spacing w:after="0" w:line="360" w:lineRule="auto"/>
        <w:ind w:left="340" w:hanging="340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</w:p>
    <w:p>
      <w:pPr>
        <w:pStyle w:val="ListParagraph"/>
        <w:spacing w:after="0" w:line="360" w:lineRule="auto"/>
        <w:ind w:left="340" w:hanging="340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</w:p>
    <w:p>
      <w:pPr>
        <w:pStyle w:val="ListParagraph"/>
        <w:spacing w:after="0" w:line="360" w:lineRule="auto"/>
        <w:ind w:left="340" w:hanging="340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Вопросы по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 вертикали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: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</w:p>
    <w:p>
      <w:pPr>
        <w:pStyle w:val="ListParagraph"/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з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аболевание почек, характеризующееся поражением клубочков почек;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2. ц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илиндры, образованные гиалиновыми и зернистыми цилиндрами при их задержке в канальцах;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8. н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арушение мочеиспускания, обычно вследствие затруднения выведения мочи из </w:t>
      </w:r>
      <w:r>
        <w:fldChar w:fldCharType="begin"/>
      </w:r>
      <w:r>
        <w:instrText xml:space="preserve">HYPERLINK "https://ru.wikipedia.org/wiki/%D0%9C%D0%BE%D1%87%D0%B5%D0%B2%D0%BE%D0%B9_%D0%BF%D1%83%D0%B7%D1%8B%D1%80%D1%8C" </w:instrText>
      </w:r>
      <w:r>
        <w:fldChar w:fldCharType="separate"/>
      </w:r>
      <w:r>
        <w:rPr>
          <w:rStyle w:val="Hyperlink"/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мочевого пузыря</w:t>
      </w:r>
      <w:r>
        <w:fldChar w:fldCharType="end"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 при сдавливании </w:t>
      </w:r>
      <w:r>
        <w:fldChar w:fldCharType="begin"/>
      </w:r>
      <w:r>
        <w:instrText xml:space="preserve">HYPERLINK "https://ru.wikipedia.org/wiki/%D0%9C%D0%BE%D1%87%D0%B5%D0%B8%D1%81%D0%BF%D1%83%D1%81%D0%BA%D0%B0%D1%82%D0%B5%D0%BB%D1%8C%D0%BD%D1%8B%D0%B9_%D0%BA%D0%B0%D0%BD%D0%B0%D0%BB" </w:instrText>
      </w:r>
      <w:r>
        <w:fldChar w:fldCharType="separate"/>
      </w:r>
      <w:r>
        <w:rPr>
          <w:rStyle w:val="Hyperlink"/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мочеиспускательного канала</w:t>
      </w:r>
      <w:r>
        <w:fldChar w:fldCharType="end"/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9. соли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фосфорной кислоты, имеющие вид «гробовых крышек»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12. 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ыделение мочи в течени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суток с постоянной относительной плотностью, равной относительной плотности плазмы крови- 1,010-1,011;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13. ч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астое мочеиспускание;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14. о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тсутствие поступления мочи в мочевой пузырь;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15. н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аличие белка в моче;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18. с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оли мочевой кислоты;</w:t>
      </w:r>
    </w:p>
    <w:p>
      <w:pPr>
        <w:pStyle w:val="ListParagraph"/>
        <w:tabs>
          <w:tab w:val="left" w:pos="567"/>
        </w:tabs>
        <w:spacing w:after="0" w:line="360" w:lineRule="auto"/>
        <w:ind w:left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19. п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 xml:space="preserve">реобладание ночного диуреза над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дневным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.</w:t>
      </w:r>
    </w:p>
    <w:p>
      <w:pPr>
        <w:spacing w:after="0" w:line="360" w:lineRule="auto"/>
        <w:ind w:left="360" w:hanging="360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  <w:shd w:val="clear" w:color="auto" w:fill="ffffff"/>
        </w:rPr>
        <w:t>Вопросы по горизонтали: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3. р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еактив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использующийся для проведения пробы Геллера;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4. н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еспецифический воспалительный процесс с преимущественным поражением 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канальцевой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 системы почки, преимущественно бактериальной этиологии, 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характеризующееся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 поражением почечной лоханки (пиелит), чашечек и паренхимы почки (в основном её межуточной ткани);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5. в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оспаление мочевого пузыря;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6. п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роба, служащая для оценки концентрационной способности почек;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7. м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етод определения содержания белка в моче 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тест-полосками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 является…;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10. з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аболевание, при котором в моче содержатся кетоновые тела;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11. н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аличие гноя в моче;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16. п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роба для определения количественного содержания глюкозы в моче;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17. 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торой этап образования мочи;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20. м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етод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Гайнеса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-Акимова является…?</w:t>
      </w:r>
    </w:p>
    <w:p>
      <w:pPr>
        <w:spacing w:after="0" w:line="360" w:lineRule="auto"/>
        <w:ind w:left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tbl>
      <w:tblPr>
        <w:tblW w:w="0" w:type="auto"/>
        <w:jc w:val="center"/>
        <w:tblBorders>
          <w:top w:val="single" w:color="888888" w:sz="4" w:space="0"/>
          <w:left w:val="single" w:color="888888" w:sz="4" w:space="0"/>
          <w:bottom w:val="single" w:color="888888" w:sz="4" w:space="0"/>
          <w:right w:val="single" w:color="888888" w:sz="4" w:space="0"/>
          <w:insideH w:val="single" w:color="888888" w:sz="4" w:space="0"/>
          <w:insideV w:val="single" w:color="888888" w:sz="4" w:space="0"/>
        </w:tblBorders>
        <w:tblCellMar>
          <w:left w:w="0" w:type="dxa"/>
          <w:right w:w="0" w:type="dxa"/>
        </w:tblCellMar>
        <w:tblLook w:val="0400"/>
      </w:tblPr>
      <w:tblGrid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</w:tblGrid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м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2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13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16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ь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5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8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д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д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й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18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4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9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17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15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11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7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12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19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м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6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м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ь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20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м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10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д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14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б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</w:tbl>
    <w:p>
      <w:pPr>
        <w:pStyle w:val="BodyText"/>
        <w:tabs>
          <w:tab w:val="left" w:pos="3271"/>
          <w:tab w:val="left" w:pos="5120"/>
        </w:tabs>
        <w:spacing w:before="240" w:after="0" w:line="360" w:lineRule="auto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Рисунок  1 </w:t>
      </w:r>
      <w:r>
        <w:rPr>
          <w:rFonts w:ascii="Times New Roman" w:cs="Times New Roman" w:hAnsi="Times New Roman"/>
          <w:sz w:val="28"/>
          <w:szCs w:val="28"/>
        </w:rPr>
        <w:t>–</w:t>
      </w:r>
      <w:r>
        <w:rPr>
          <w:rFonts w:ascii="Times New Roman" w:cs="Times New Roman" w:hAnsi="Times New Roman"/>
          <w:sz w:val="28"/>
          <w:szCs w:val="28"/>
        </w:rPr>
        <w:t xml:space="preserve"> Кроссворд </w:t>
      </w:r>
      <w:r>
        <w:rPr>
          <w:rFonts w:ascii="Times New Roman" w:cs="Times New Roman" w:hAnsi="Times New Roman"/>
          <w:sz w:val="28"/>
          <w:szCs w:val="28"/>
        </w:rPr>
        <w:t xml:space="preserve"> по заданию 5</w:t>
      </w:r>
    </w:p>
    <w:p>
      <w:pPr>
        <w:pStyle w:val="BodyText"/>
        <w:tabs>
          <w:tab w:val="left" w:pos="3271"/>
        </w:tabs>
        <w:rPr/>
      </w:pP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День 5 (12.06.19)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ПРОВЕДЕНИЕ ОБЩЕГО АН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АЛИЗА МОЧИ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ИССЛЕДОВАНИЕ МОЧИ НА АНАЛИЗАТОРЕ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Изучение инструкции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при работе на анализаторе.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Работы производить с применением соответствующих средств индивидуальной защ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иты и при достаточном освещении;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2. Выполнять только ту работу, по которой прошел обучение, инструктаж по охране т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руда.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При работе биохимическом анализаторе запрещается: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— открывать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заднюю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и боковые панели, если анализатор находится под напряжением (это может привести к поражению электрическим током);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— прикасаться к транспортно-дозирующим устройствам исследуемых образцов и реагентов, промывочным и перемешивающим устройствам, штативам исследуемых образцов и реагентов, а также реакционному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штативу при работе анализатора;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— прикасаться непосредственно к инфицированным или потенциально инфицировано опасным исследуемым материалам;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— производить подсоединение и отсоединение штекера электропитания и сетевого разъема влажными руками.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3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. Прежде чем продолжить выполнение операции, необходимо дождаться полной остановки все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х движущихся частей анализатора;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4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. Все диспенсеры, мешалки и установки для промывки являются потенциальными и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сточниками инфекции;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5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. Отсек для использованных кювет является потенциальным источником инфекции. Необходимо соблюдать осторожность и всегда исп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ользовать перчатки и спецодежду.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2.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Записать принцип метода и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ход определения на анализаторе (</w:t>
      </w:r>
      <w:r>
        <w:rPr>
          <w:rFonts w:ascii="Times New Roman" w:cs="Times New Roman" w:hAnsi="Times New Roman"/>
          <w:color w:val="1a1a1a" w:themeColor="background1" w:themeShade="1a"/>
          <w:sz w:val="28"/>
          <w:lang w:val="en-US"/>
        </w:rPr>
        <w:t>Laura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  <w:lang w:val="en-US"/>
        </w:rPr>
        <w:t>Smart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)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u w:val="single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  <w:u w:val="single"/>
        </w:rPr>
        <w:t>Принцип метода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: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тест-полоски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 xml:space="preserve"> анализатора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 xml:space="preserve"> содержат реагенты для анализа содержания в моче следующих элементов и характер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истик: билирубина, уробилина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  <w:shd w:val="clear" w:color="auto" w:fill="ffffff"/>
        </w:rPr>
        <w:t>, кетонов, нитритов, лейкоцитов, белка, крови (эритроциты +гемоглобин), глюкозы, удельного веса, рН.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u w:val="single"/>
        </w:rPr>
        <w:t>Ход определения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</w:p>
    <w:p>
      <w:pPr>
        <w:pStyle w:val="ListParagraph"/>
        <w:numPr>
          <w:ilvl w:val="0"/>
          <w:numId w:val="39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тест-полоска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,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 с нанесенными на нее реагентами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,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 смачивается в урине; </w:t>
      </w:r>
    </w:p>
    <w:p>
      <w:pPr>
        <w:pStyle w:val="ListParagraph"/>
        <w:numPr>
          <w:ilvl w:val="0"/>
          <w:numId w:val="39"/>
        </w:numPr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 xml:space="preserve">затем тест-полоску помещают на вход анализатора мочи; </w:t>
      </w:r>
    </w:p>
    <w:p>
      <w:pPr>
        <w:pStyle w:val="ListParagraph"/>
        <w:numPr>
          <w:ilvl w:val="0"/>
          <w:numId w:val="39"/>
        </w:numPr>
        <w:spacing w:after="0" w:line="360" w:lineRule="auto"/>
        <w:ind w:left="0" w:firstLine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на выходе получают результат проведенно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го исследования в распечатанном   виде</w:t>
      </w:r>
      <w:r>
        <w:rPr>
          <w:rFonts w:ascii="Times New Roman" w:cs="Times New Roman" w:hAnsi="Times New Roman"/>
          <w:color w:val="222222"/>
          <w:sz w:val="28"/>
          <w:szCs w:val="28"/>
          <w:shd w:val="clear" w:color="auto" w:fill="ffffff"/>
        </w:rPr>
        <w:t>. </w:t>
      </w:r>
    </w:p>
    <w:p>
      <w:pPr>
        <w:pStyle w:val="ListParagraph"/>
        <w:spacing w:after="0" w:line="360" w:lineRule="auto"/>
        <w:ind w:left="709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3.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Заполнить таблицу:</w:t>
      </w:r>
    </w:p>
    <w:p>
      <w:pPr>
        <w:spacing w:after="0" w:line="360" w:lineRule="auto"/>
        <w:ind w:left="357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Таблица 6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– Преимущества и недостатки методов</w:t>
      </w:r>
    </w:p>
    <w:tbl>
      <w:tblPr>
        <w:tblStyle w:val="TableGrid"/>
        <w:tblW w:w="0" w:type="auto"/>
        <w:tblLook w:val="04A0"/>
      </w:tblPr>
      <w:tblGrid>
        <w:gridCol w:w="2392"/>
        <w:gridCol w:w="2393"/>
        <w:gridCol w:w="2393"/>
        <w:gridCol w:w="2393"/>
      </w:tblGrid>
      <w:tr>
        <w:trPr/>
        <w:tc>
          <w:tcPr>
            <w:cnfStyle w:val="101000000000"/>
            <w:tcW w:w="4785" w:type="dxa"/>
            <w:gridSpan w:val="2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Р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учным методом</w:t>
            </w:r>
          </w:p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(по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Зимницкому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)</w:t>
            </w:r>
          </w:p>
        </w:tc>
        <w:tc>
          <w:tcPr>
            <w:cnfStyle w:val="100000000000"/>
            <w:tcW w:w="4786" w:type="dxa"/>
            <w:gridSpan w:val="2"/>
            <w:vAlign w:val="center"/>
          </w:tcPr>
          <w:p>
            <w:pPr>
              <w:pStyle w:val="ListParagraph"/>
              <w:spacing w:line="276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 автоматическом анализаторе</w:t>
            </w:r>
          </w:p>
        </w:tc>
      </w:tr>
      <w:tr>
        <w:trPr/>
        <w:tc>
          <w:tcPr>
            <w:cnfStyle w:val="001000100000"/>
            <w:tcW w:w="2392" w:type="dxa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Преимущества</w:t>
            </w:r>
          </w:p>
        </w:tc>
        <w:tc>
          <w:tcPr>
            <w:cnfStyle w:val="000000100000"/>
            <w:tcW w:w="2393" w:type="dxa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Недостатки</w:t>
            </w:r>
          </w:p>
        </w:tc>
        <w:tc>
          <w:tcPr>
            <w:cnfStyle w:val="000000100000"/>
            <w:tcW w:w="2393" w:type="dxa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Преимущества</w:t>
            </w:r>
          </w:p>
        </w:tc>
        <w:tc>
          <w:tcPr>
            <w:cnfStyle w:val="000000100000"/>
            <w:tcW w:w="2393" w:type="dxa"/>
            <w:vAlign w:val="center"/>
          </w:tcPr>
          <w:p>
            <w:pPr>
              <w:spacing w:line="276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Недостатки</w:t>
            </w:r>
          </w:p>
        </w:tc>
      </w:tr>
      <w:tr>
        <w:trPr/>
        <w:tc>
          <w:tcPr>
            <w:cnfStyle w:val="001000010000"/>
            <w:tcW w:w="2392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возможность обнаружить патологию почек на разных стадиях развития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невозможность определения вида патологии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точность определяемых параметров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дорогое оборудование</w:t>
            </w:r>
          </w:p>
        </w:tc>
      </w:tr>
      <w:tr>
        <w:trPr/>
        <w:tc>
          <w:tcPr>
            <w:cnfStyle w:val="001000100000"/>
            <w:tcW w:w="2392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высокая информативность и точность</w:t>
            </w: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трудоемкость сбора мочи в течени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и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суток</w:t>
            </w: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широкий спектр опций</w:t>
            </w: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зависимость от электричества</w:t>
            </w:r>
          </w:p>
        </w:tc>
      </w:tr>
      <w:tr>
        <w:trPr/>
        <w:tc>
          <w:tcPr>
            <w:cnfStyle w:val="001000010000"/>
            <w:tcW w:w="2392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 инвазивный способ исследования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есть вероятность недостоверного результата при неправильном сборе мочи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color w:val="222222"/>
                <w:sz w:val="28"/>
                <w:szCs w:val="28"/>
                <w:shd w:val="clear" w:color="auto" w:fill="ffffff"/>
              </w:rPr>
              <w:t>сведение к минимуму риска возникновения ошибок по результатам исследований</w:t>
            </w:r>
          </w:p>
        </w:tc>
        <w:tc>
          <w:tcPr>
            <w:cnfStyle w:val="00000001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  <w:tr>
        <w:trPr/>
        <w:tc>
          <w:tcPr>
            <w:cnfStyle w:val="001000100000"/>
            <w:tcW w:w="2392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почти полное отсутствие противопоказаний</w:t>
            </w: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выдача результатов меньше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1 минуту</w:t>
            </w:r>
          </w:p>
        </w:tc>
        <w:tc>
          <w:tcPr>
            <w:cnfStyle w:val="000000100000"/>
            <w:tcW w:w="2393" w:type="dxa"/>
          </w:tcPr>
          <w:p>
            <w:pPr>
              <w:pStyle w:val="ListParagraph"/>
              <w:spacing w:line="276" w:lineRule="auto"/>
              <w:ind w:left="0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</w:tbl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День 6 (14.06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.</w:t>
      </w: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19)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ИССЛЕДОВАНИЕ ЖЕЛУДОЧНОГО СОКА. ЗАЧЕТ</w:t>
      </w: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Записать принцип метода и ход определения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: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</w:p>
    <w:p>
      <w:pPr>
        <w:spacing w:after="0" w:line="360" w:lineRule="auto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Методы исследования желудочной секреции: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Методы функционального исследования желудка делятся на 2 группы.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</w:t>
      </w:r>
      <w:r>
        <w:rPr>
          <w:color w:val="000000"/>
          <w:sz w:val="28"/>
          <w:szCs w:val="28"/>
        </w:rPr>
        <w:t>Зондовые</w:t>
      </w:r>
      <w:r>
        <w:rPr>
          <w:color w:val="000000"/>
          <w:sz w:val="28"/>
          <w:szCs w:val="28"/>
        </w:rPr>
        <w:t>, предусматривающие введение в желудок зонда: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одномоментный способ получения желудочного содержимого с помощью толстого зонда через 45-60 минут после пробного хлебного завтрака. Метод считается устаревшим, так как получаемый желудочный сок содержит примесь пищи;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широко используемый в настоящее время фракционный (</w:t>
      </w:r>
      <w:r>
        <w:rPr>
          <w:color w:val="000000"/>
          <w:sz w:val="28"/>
          <w:szCs w:val="28"/>
        </w:rPr>
        <w:t>многомоментный</w:t>
      </w:r>
      <w:r>
        <w:rPr>
          <w:color w:val="000000"/>
          <w:sz w:val="28"/>
          <w:szCs w:val="28"/>
        </w:rPr>
        <w:t>) метод, при котором с помощью тонкого зонда получают чистый желудочный сок без примеси пищи в разные фазы желудочной секреции;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электрометрический метод определения рН желудочного сока с помощью зонда особой конструкции.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>
        <w:rPr>
          <w:color w:val="000000"/>
          <w:sz w:val="28"/>
          <w:szCs w:val="28"/>
        </w:rPr>
        <w:t>Беззондовые</w:t>
      </w:r>
      <w:r>
        <w:rPr>
          <w:color w:val="000000"/>
          <w:sz w:val="28"/>
          <w:szCs w:val="28"/>
        </w:rPr>
        <w:t xml:space="preserve"> – без введения зонда:</w:t>
      </w:r>
    </w:p>
    <w:p>
      <w:pPr>
        <w:pStyle w:val="Normal(Web)"/>
        <w:tabs>
          <w:tab w:val="center" w:pos="4677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>десмоидная</w:t>
      </w:r>
      <w:r>
        <w:rPr>
          <w:color w:val="000000"/>
          <w:sz w:val="28"/>
          <w:szCs w:val="28"/>
        </w:rPr>
        <w:t xml:space="preserve"> проба </w:t>
      </w:r>
      <w:r>
        <w:rPr>
          <w:color w:val="000000"/>
          <w:sz w:val="28"/>
          <w:szCs w:val="28"/>
        </w:rPr>
        <w:t>Сали</w:t>
      </w:r>
      <w:r>
        <w:rPr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tab/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методы с использованием ионообменных веществ.</w:t>
      </w:r>
    </w:p>
    <w:p>
      <w:pPr>
        <w:pStyle w:val="Normal(Web)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Определение кислотности желудочного сока</w:t>
      </w:r>
    </w:p>
    <w:p>
      <w:pPr>
        <w:pStyle w:val="Normal(Web)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методом </w:t>
      </w:r>
      <w:r>
        <w:rPr>
          <w:b/>
          <w:color w:val="000000"/>
          <w:sz w:val="28"/>
          <w:szCs w:val="28"/>
        </w:rPr>
        <w:t>Михаэлиса</w:t>
      </w:r>
    </w:p>
    <w:p>
      <w:pPr>
        <w:pStyle w:val="Normal(Web)"/>
        <w:tabs>
          <w:tab w:val="left" w:pos="3609"/>
        </w:tabs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Реактивы</w:t>
      </w:r>
      <w:r>
        <w:rPr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ab/>
      </w:r>
    </w:p>
    <w:p>
      <w:pPr>
        <w:pStyle w:val="Normal(Web)"/>
        <w:tabs>
          <w:tab w:val="left" w:pos="3609"/>
        </w:tabs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0,1N раствор едкого натра;</w:t>
      </w:r>
    </w:p>
    <w:p>
      <w:pPr>
        <w:pStyle w:val="Normal(Web)"/>
        <w:tabs>
          <w:tab w:val="left" w:pos="3609"/>
        </w:tabs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2. 1% </w:t>
      </w:r>
      <w:r>
        <w:rPr>
          <w:color w:val="000000"/>
          <w:sz w:val="28"/>
          <w:szCs w:val="28"/>
        </w:rPr>
        <w:t>спиртовой раствор фенолфталеина;</w:t>
      </w:r>
    </w:p>
    <w:p>
      <w:pPr>
        <w:pStyle w:val="Normal(Web)"/>
        <w:tabs>
          <w:tab w:val="left" w:pos="3609"/>
        </w:tabs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0,5% спиртовой раствор </w:t>
      </w:r>
      <w:r>
        <w:rPr>
          <w:color w:val="000000"/>
          <w:sz w:val="28"/>
          <w:szCs w:val="28"/>
        </w:rPr>
        <w:t>диметиламиноазобензола</w:t>
      </w:r>
      <w:r>
        <w:rPr>
          <w:color w:val="000000"/>
          <w:sz w:val="28"/>
          <w:szCs w:val="28"/>
        </w:rPr>
        <w:t>.</w:t>
      </w:r>
    </w:p>
    <w:p>
      <w:pPr>
        <w:pStyle w:val="Normal(Web)"/>
        <w:spacing w:before="0" w:after="0" w:line="360" w:lineRule="auto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Специальное оборудование</w:t>
      </w:r>
      <w:r>
        <w:rPr>
          <w:color w:val="000000"/>
          <w:sz w:val="28"/>
          <w:szCs w:val="28"/>
        </w:rPr>
        <w:t>: бюретки на 20, 25 или 50мл, штатив Бунзена.</w:t>
      </w:r>
    </w:p>
    <w:p>
      <w:pPr>
        <w:pStyle w:val="Normal(Web)"/>
        <w:tabs>
          <w:tab w:val="left" w:pos="709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Ход исследования</w:t>
      </w:r>
      <w:r>
        <w:rPr>
          <w:color w:val="000000"/>
          <w:sz w:val="28"/>
          <w:szCs w:val="28"/>
        </w:rPr>
        <w:t xml:space="preserve">: в </w:t>
      </w:r>
      <w:r>
        <w:rPr>
          <w:color w:val="000000"/>
          <w:sz w:val="28"/>
          <w:szCs w:val="28"/>
        </w:rPr>
        <w:t xml:space="preserve"> химический стаканчик мерной пипеткой отмеривают 5мл профильтрованного желудочного сока, добавляют по 1 капле индикаторов – фенолфталеина и </w:t>
      </w:r>
      <w:r>
        <w:rPr>
          <w:color w:val="000000"/>
          <w:sz w:val="28"/>
          <w:szCs w:val="28"/>
        </w:rPr>
        <w:t>диметиламиноазобензола</w:t>
      </w:r>
      <w:r>
        <w:rPr>
          <w:color w:val="000000"/>
          <w:sz w:val="28"/>
          <w:szCs w:val="28"/>
        </w:rPr>
        <w:t>. Отмечают в бюретке исходный (I) уровень щелочи. Титруют щелочью до желто-оранжевого цвета (цвета семги) - II уровень, а затем далее до лимонно-желтого цвета (III уровень) и стойко розового цвета – IV уровень.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Расчет</w:t>
      </w:r>
      <w:r>
        <w:rPr>
          <w:color w:val="000000"/>
          <w:sz w:val="28"/>
          <w:szCs w:val="28"/>
        </w:rPr>
        <w:t>: т</w:t>
      </w:r>
      <w:r>
        <w:rPr>
          <w:color w:val="000000"/>
          <w:sz w:val="28"/>
          <w:szCs w:val="28"/>
        </w:rPr>
        <w:t>ак как для титрования было взято 5мл желудочного сока, а расчет кислотности ведется на 100мл, количество щелочи, пошедшей на разных этапах титрования, умножают на 20.</w:t>
      </w:r>
    </w:p>
    <w:p>
      <w:pPr>
        <w:pStyle w:val="Normal(Web)"/>
        <w:tabs>
          <w:tab w:val="left" w:pos="5173"/>
          <w:tab w:val="left" w:pos="5582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</w:t>
      </w:r>
      <w:r>
        <w:rPr>
          <w:color w:val="000000"/>
          <w:sz w:val="28"/>
          <w:szCs w:val="28"/>
        </w:rPr>
        <w:t xml:space="preserve">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/л.</w:t>
      </w:r>
      <w:r>
        <w:rPr>
          <w:color w:val="000000"/>
          <w:sz w:val="28"/>
          <w:szCs w:val="28"/>
        </w:rPr>
        <w:tab/>
        <w:t xml:space="preserve">Общая </w:t>
      </w:r>
      <w:r>
        <w:rPr>
          <w:color w:val="000000"/>
          <w:sz w:val="28"/>
          <w:szCs w:val="28"/>
        </w:rPr>
        <w:t>кислотность = (IV-I)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 xml:space="preserve">/л. </w:t>
      </w: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</w:t>
      </w:r>
      <w:r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</w:t>
      </w:r>
      <w:r>
        <w:rPr>
          <w:color w:val="000000"/>
        </w:rPr>
        <w:t xml:space="preserve"> </w:t>
      </w:r>
      <w:r>
        <w:rPr>
          <w:color w:val="000000"/>
          <w:position w:val="-28"/>
          <w:lang w:val="en-US"/>
        </w:rPr>
        <w:object w:dxaOrig="1460" w:dyaOrig="68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6" type="#_x0000_t75" style="width:87.1pt;height:34.65pt" o:ole="" fillcolor="window">
            <v:imagedata r:id="rId53" o:title=""/>
            <o:lock aspectratio="t"/>
          </v:shape>
        </w:object>
      </w:r>
      <w:r>
        <w:rPr>
          <w:color w:val="000000"/>
          <w:sz w:val="28"/>
          <w:szCs w:val="28"/>
        </w:rPr>
        <w:t xml:space="preserve"> · 20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/л.</w:t>
      </w:r>
    </w:p>
    <w:p>
      <w:pPr>
        <w:pStyle w:val="Normal(Web)"/>
        <w:spacing w:before="0" w:after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– свободная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Кислотный остаток = общая кислотность - </w:t>
      </w: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>.</w:t>
      </w:r>
    </w:p>
    <w:p>
      <w:pPr>
        <w:pStyle w:val="Normal(Web)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Определение кислотности желудочного сока методом </w:t>
      </w:r>
      <w:r>
        <w:rPr>
          <w:b/>
          <w:color w:val="000000"/>
          <w:sz w:val="28"/>
          <w:szCs w:val="28"/>
        </w:rPr>
        <w:t>Тепффера</w:t>
      </w:r>
    </w:p>
    <w:p>
      <w:pPr>
        <w:pStyle w:val="Normal(Web)"/>
        <w:tabs>
          <w:tab w:val="left" w:pos="3022"/>
        </w:tabs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Реактивы</w:t>
      </w:r>
      <w:r>
        <w:rPr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ab/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0,1N раствор едкого натра;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2. 1% </w:t>
      </w:r>
      <w:r>
        <w:rPr>
          <w:color w:val="000000"/>
          <w:sz w:val="28"/>
          <w:szCs w:val="28"/>
        </w:rPr>
        <w:t>спиртовой раствор фенолфталеина;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0,5% спиртовой</w:t>
      </w:r>
      <w:r>
        <w:rPr>
          <w:color w:val="000000"/>
          <w:sz w:val="28"/>
          <w:szCs w:val="28"/>
        </w:rPr>
        <w:t xml:space="preserve"> раствор </w:t>
      </w:r>
      <w:r>
        <w:rPr>
          <w:color w:val="000000"/>
          <w:sz w:val="28"/>
          <w:szCs w:val="28"/>
        </w:rPr>
        <w:t>диметиламиноазобензола</w:t>
      </w:r>
      <w:r>
        <w:rPr>
          <w:color w:val="000000"/>
          <w:sz w:val="28"/>
          <w:szCs w:val="28"/>
        </w:rPr>
        <w:t>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1% водный раствор </w:t>
      </w:r>
      <w:r>
        <w:rPr>
          <w:color w:val="000000"/>
          <w:sz w:val="28"/>
          <w:szCs w:val="28"/>
        </w:rPr>
        <w:t>ализаринсульфоновокислого</w:t>
      </w:r>
      <w:r>
        <w:rPr>
          <w:color w:val="000000"/>
          <w:sz w:val="28"/>
          <w:szCs w:val="28"/>
        </w:rPr>
        <w:t xml:space="preserve"> натрия.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u w:val="single"/>
        </w:rPr>
        <w:t>Ход исследования</w:t>
      </w:r>
      <w:r>
        <w:rPr>
          <w:color w:val="000000"/>
          <w:sz w:val="28"/>
          <w:szCs w:val="28"/>
        </w:rPr>
        <w:t>: в</w:t>
      </w:r>
      <w:r>
        <w:rPr>
          <w:color w:val="000000"/>
          <w:sz w:val="28"/>
          <w:szCs w:val="28"/>
        </w:rPr>
        <w:t xml:space="preserve"> два химических стаканчика отмеривают по 5мл профильтрованного желудочного сока. В первый стаканчик добавляют по 1 капле индикаторов – фенолфталеина и </w:t>
      </w:r>
      <w:r>
        <w:rPr>
          <w:color w:val="000000"/>
          <w:sz w:val="28"/>
          <w:szCs w:val="28"/>
        </w:rPr>
        <w:t>диметиламиноазобензола</w:t>
      </w:r>
      <w:r>
        <w:rPr>
          <w:color w:val="000000"/>
          <w:sz w:val="28"/>
          <w:szCs w:val="28"/>
        </w:rPr>
        <w:t xml:space="preserve">. Отмечают в бюретке исходный (I') уровень щелочи. Титруют щелочью до желто-оранжевого цвета (цвета семги). Отмечают </w:t>
      </w:r>
      <w:r>
        <w:rPr>
          <w:color w:val="000000"/>
          <w:sz w:val="28"/>
          <w:szCs w:val="28"/>
        </w:rPr>
        <w:t>II</w:t>
      </w:r>
      <w:r>
        <w:rPr>
          <w:color w:val="000000"/>
          <w:sz w:val="28"/>
          <w:szCs w:val="28"/>
        </w:rPr>
        <w:t xml:space="preserve"> уровень. Титруют далее до стойко розового цвета (III' уровень). Во второй стаканчик добавляют 1 каплю 1% </w:t>
      </w:r>
      <w:r>
        <w:rPr>
          <w:color w:val="000000"/>
          <w:sz w:val="28"/>
          <w:szCs w:val="28"/>
        </w:rPr>
        <w:t>ализаринсульфоновокислого</w:t>
      </w:r>
      <w:r>
        <w:rPr>
          <w:color w:val="000000"/>
          <w:sz w:val="28"/>
          <w:szCs w:val="28"/>
        </w:rPr>
        <w:t xml:space="preserve"> натрия. Раствор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приобретает желтый цвет.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Замеч</w:t>
      </w:r>
      <w:r>
        <w:rPr>
          <w:color w:val="000000"/>
          <w:sz w:val="28"/>
          <w:szCs w:val="28"/>
        </w:rPr>
        <w:t>ают уровень щелочи в бюретке (I</w:t>
      </w:r>
      <w:r>
        <w:rPr>
          <w:color w:val="000000"/>
          <w:sz w:val="28"/>
          <w:szCs w:val="28"/>
        </w:rPr>
        <w:t xml:space="preserve"> уровень). Титруют щелочью до появлен</w:t>
      </w:r>
      <w:r>
        <w:rPr>
          <w:color w:val="000000"/>
          <w:sz w:val="28"/>
          <w:szCs w:val="28"/>
        </w:rPr>
        <w:t>ия светло-фиолетового цвета (</w:t>
      </w:r>
      <w:r>
        <w:rPr>
          <w:color w:val="000000"/>
          <w:sz w:val="28"/>
          <w:szCs w:val="28"/>
        </w:rPr>
        <w:t>II</w:t>
      </w:r>
      <w:r>
        <w:rPr>
          <w:color w:val="000000"/>
          <w:sz w:val="28"/>
          <w:szCs w:val="28"/>
        </w:rPr>
        <w:t>уровень</w:t>
      </w:r>
      <w:r>
        <w:rPr>
          <w:color w:val="000000"/>
          <w:sz w:val="28"/>
          <w:szCs w:val="28"/>
        </w:rPr>
        <w:t>).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Расчет свободной соляной кислоты и общей кислотности проводится по первому стаканчику; связанная соляная кислота рассчитывается по второму стаканчику.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Своб</w:t>
      </w:r>
      <w:r>
        <w:rPr>
          <w:color w:val="000000"/>
          <w:sz w:val="28"/>
          <w:szCs w:val="28"/>
        </w:rPr>
        <w:t xml:space="preserve">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·20ммоль/л.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Общая кисл</w:t>
      </w:r>
      <w:r>
        <w:rPr>
          <w:color w:val="000000"/>
          <w:sz w:val="28"/>
          <w:szCs w:val="28"/>
        </w:rPr>
        <w:t>отность = (III-I) · 20ммоль/л.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[(III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I) – (II </w:t>
      </w:r>
      <w:r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I)] · 20ммоль/л.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tabs>
          <w:tab w:val="left" w:pos="1138"/>
          <w:tab w:val="center" w:pos="5032"/>
        </w:tabs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Определение молочной кислоты</w:t>
      </w:r>
    </w:p>
    <w:p>
      <w:pPr>
        <w:spacing w:after="0" w:line="360" w:lineRule="auto"/>
        <w:ind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В норме молочная кислота в желудочном соке отсутствует. Она появляется в результате жизнедеятельности палочек молочнокислого брожения при наличии одновременно двух условий: выраженной  </w:t>
      </w:r>
      <w:r>
        <w:rPr>
          <w:rFonts w:ascii="Times New Roman" w:cs="Times New Roman" w:hAnsi="Times New Roman"/>
          <w:sz w:val="28"/>
          <w:szCs w:val="28"/>
        </w:rPr>
        <w:t>гипохлоргидрии</w:t>
      </w:r>
      <w:r>
        <w:rPr>
          <w:rFonts w:ascii="Times New Roman" w:cs="Times New Roman" w:hAnsi="Times New Roman"/>
          <w:sz w:val="28"/>
          <w:szCs w:val="28"/>
        </w:rPr>
        <w:t xml:space="preserve">  или  </w:t>
      </w:r>
      <w:r>
        <w:rPr>
          <w:rFonts w:ascii="Times New Roman" w:cs="Times New Roman" w:hAnsi="Times New Roman"/>
          <w:sz w:val="28"/>
          <w:szCs w:val="28"/>
        </w:rPr>
        <w:t>ахлоргидрии</w:t>
      </w:r>
      <w:r>
        <w:rPr>
          <w:rFonts w:ascii="Times New Roman" w:cs="Times New Roman" w:hAnsi="Times New Roman"/>
          <w:sz w:val="28"/>
          <w:szCs w:val="28"/>
        </w:rPr>
        <w:t xml:space="preserve">  и застоя в желудке. Наличие молочной кислоты в желудочном соке характерно для рака желудка.</w:t>
      </w:r>
    </w:p>
    <w:p>
      <w:pPr>
        <w:spacing w:after="0" w:line="360" w:lineRule="auto"/>
        <w:contextualSpacing w:val="on"/>
        <w:jc w:val="center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Определение молочной кислоты пробой</w:t>
      </w:r>
    </w:p>
    <w:p>
      <w:pPr>
        <w:spacing w:after="0" w:line="360" w:lineRule="auto"/>
        <w:contextualSpacing w:val="on"/>
        <w:jc w:val="center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с карболовой кислотой</w:t>
      </w:r>
    </w:p>
    <w:p>
      <w:pPr>
        <w:spacing w:after="0" w:line="360" w:lineRule="auto"/>
        <w:ind w:firstLine="709"/>
        <w:contextualSpacing w:val="on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i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п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роба основана на изменении окраски раствора за счет образования молочнокисл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ого железа желтого цвета.</w:t>
      </w:r>
    </w:p>
    <w:p>
      <w:pPr>
        <w:spacing w:after="0" w:line="360" w:lineRule="auto"/>
        <w:ind w:firstLine="709"/>
        <w:contextualSpacing w:val="on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iCs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1% раствор карболовой кислоты; 10% раствор хлорного железа. </w:t>
      </w:r>
    </w:p>
    <w:p>
      <w:pPr>
        <w:spacing w:after="0" w:line="360" w:lineRule="auto"/>
        <w:ind w:firstLine="709"/>
        <w:contextualSpacing w:val="on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к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2-3мл раствора карболовой кислоты приливают 1 каплю хлорного железа. Раствор приобретает фиолетовый цвет. Затем по каплям добавляют предварительно профильтрованный желудочный сок. В присутствии молочной кислоты появляется желтое окрашивание. </w:t>
      </w:r>
    </w:p>
    <w:p>
      <w:pPr>
        <w:spacing w:after="0" w:line="360" w:lineRule="auto"/>
        <w:ind w:firstLine="709"/>
        <w:contextualSpacing w:val="on"/>
        <w:jc w:val="center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Ферментативная активность желудочного сока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0"/>
          <w:lang w:eastAsia="ru-RU"/>
        </w:rPr>
        <w:t xml:space="preserve">Протеолитическая  активность желудочного сока зависит в основном от содержащегося в нем пепсина.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Особенно важно  определение активности пепсина для диагностики ахилии.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Протеолитическая активность желудочного сока обычно о</w:t>
      </w:r>
      <w:r>
        <w:rPr>
          <w:rFonts w:ascii="Times New Roman" w:cs="Times New Roman" w:eastAsia="Times New Roman" w:hAnsi="Times New Roman"/>
          <w:sz w:val="28"/>
          <w:szCs w:val="20"/>
          <w:lang w:eastAsia="ru-RU"/>
        </w:rPr>
        <w:t xml:space="preserve">пределяется методом Туголукова по количеству расщепленного белка. </w:t>
      </w:r>
    </w:p>
    <w:p>
      <w:pPr>
        <w:tabs>
          <w:tab w:val="left" w:pos="3240"/>
        </w:tabs>
        <w:spacing w:after="0" w:line="240" w:lineRule="auto"/>
        <w:jc w:val="both"/>
        <w:rPr>
          <w:rFonts w:ascii="Times New Roman" w:cs="Times New Roman" w:eastAsia="Times New Roman" w:hAnsi="Times New Roman"/>
          <w:sz w:val="28"/>
          <w:szCs w:val="20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0"/>
          <w:lang w:eastAsia="ru-RU"/>
        </w:rPr>
        <w:tab/>
      </w:r>
    </w:p>
    <w:p>
      <w:pPr>
        <w:spacing w:after="0" w:line="360" w:lineRule="auto"/>
        <w:ind w:firstLine="709"/>
        <w:jc w:val="center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Определение протеолитической активности желудочного сока методом Туголукова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: 2% раствор сухой плазмы на 0,1</w:t>
      </w:r>
      <w:r>
        <w:rPr>
          <w:rFonts w:ascii="Times New Roman" w:cs="Times New Roman" w:eastAsia="Times New Roman" w:hAnsi="Times New Roman"/>
          <w:sz w:val="28"/>
          <w:szCs w:val="28"/>
          <w:lang w:val="en-US" w:eastAsia="ru-RU"/>
        </w:rPr>
        <w:t>N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растворе </w:t>
      </w:r>
      <w:r>
        <w:rPr>
          <w:rFonts w:ascii="Times New Roman" w:cs="Times New Roman" w:eastAsia="Times New Roman" w:hAnsi="Times New Roman"/>
          <w:sz w:val="28"/>
          <w:szCs w:val="28"/>
          <w:lang w:val="en-US" w:eastAsia="ru-RU"/>
        </w:rPr>
        <w:t>HCl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; 10% раствор трихлоруксусной кислоты (ТХУ).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Специальное</w:t>
      </w:r>
      <w:r>
        <w:rPr>
          <w:rFonts w:ascii="Times New Roman" w:cs="Times New Roman" w:eastAsia="Times New Roman" w:hAnsi="Times New Roman"/>
          <w:i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оборудование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: точно градуированные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центрифужные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пробирки, центрифуга, термостат.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Ход исследования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: профильтрованный желудочный сок разводят в 100 раз  (9,9мл воды + 0,1мл желудочного сока). В одну градуированную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центрифужную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пробирку помещают 1мл разведенного сока (опыт), в другую – 1мл предварительно прокипяченного сока (контроль).  В обе пробирки добавляют по 2мл 2% раствора сухой плазмы  и ставят их в термостат при 37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°С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на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20 часов.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После этого в каждую пробирку приливают по 2мл 10% ТХУ, перемешивают стеклянной палочкой и центрифугируют 10 минут при 1500 об/мин. По разнице величин осадка в контроле и опыте определяют степень переваривания белка с последующим пе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ресчетом на количество пепсина.</w:t>
      </w:r>
    </w:p>
    <w:p>
      <w:pPr>
        <w:tabs>
          <w:tab w:val="left" w:pos="3525"/>
        </w:tabs>
        <w:spacing w:after="0" w:line="360" w:lineRule="auto"/>
        <w:jc w:val="center"/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Десмоидная</w:t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 xml:space="preserve"> проба </w:t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Сали</w:t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 xml:space="preserve"> (</w:t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>беззондовый</w:t>
      </w:r>
      <w:r>
        <w:rPr>
          <w:rFonts w:ascii="Times New Roman" w:cs="Times New Roman" w:eastAsia="Times New Roman" w:hAnsi="Times New Roman"/>
          <w:b/>
          <w:sz w:val="28"/>
          <w:szCs w:val="28"/>
          <w:lang w:eastAsia="ru-RU"/>
        </w:rPr>
        <w:t xml:space="preserve"> метод)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Принцип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: о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крашивание мочи красителем (метиленовым синим), который попадает в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мешочек из тонкой резины (напальчник) помещают 0,15г метиленового синего, перевязывают кетгутом № 5, концы нити коротко обрезают. Диаметр мешочка должен быть не более 0,5см. Для проверки его герметичности помещают мешочек на 24 часа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желудок из мешочка при растворении кетгута под действием </w:t>
      </w:r>
      <w:r>
        <w:rPr>
          <w:rFonts w:ascii="Times New Roman" w:cs="Times New Roman" w:eastAsia="Times New Roman" w:hAnsi="Times New Roman"/>
          <w:sz w:val="28"/>
          <w:szCs w:val="28"/>
          <w:lang w:val="en-US" w:eastAsia="ru-RU"/>
        </w:rPr>
        <w:t>HCl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и пепсина.  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Реактивы</w:t>
      </w:r>
      <w:r>
        <w:rPr>
          <w:rFonts w:ascii="Times New Roman" w:cs="Times New Roman" w:eastAsia="Times New Roman" w:hAnsi="Times New Roman"/>
          <w:i/>
          <w:sz w:val="28"/>
          <w:szCs w:val="28"/>
          <w:lang w:eastAsia="ru-RU"/>
        </w:rPr>
        <w:t>: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метиленовый синий.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Специальное</w:t>
      </w:r>
      <w:r>
        <w:rPr>
          <w:rFonts w:ascii="Times New Roman" w:cs="Times New Roman" w:eastAsia="Times New Roman" w:hAnsi="Times New Roman"/>
          <w:i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оснащение: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тонкая резина, кетгут №5*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Ход</w:t>
      </w:r>
      <w:r>
        <w:rPr>
          <w:rFonts w:ascii="Times New Roman" w:cs="Times New Roman" w:eastAsia="Times New Roman" w:hAnsi="Times New Roman"/>
          <w:i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cs="Times New Roman" w:eastAsia="Times New Roman" w:hAnsi="Times New Roman"/>
          <w:sz w:val="28"/>
          <w:szCs w:val="28"/>
          <w:u w:val="single"/>
          <w:lang w:eastAsia="ru-RU"/>
        </w:rPr>
        <w:t>исследования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: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в сосуд с водой. Если вода не окрашивается, то мешочек используют для исследования</w:t>
      </w:r>
      <w:r>
        <w:rPr>
          <w:rFonts w:ascii="Times New Roman" w:cs="Times New Roman" w:eastAsia="Times New Roman" w:hAnsi="Times New Roman"/>
          <w:sz w:val="24"/>
          <w:szCs w:val="24"/>
          <w:lang w:eastAsia="ru-RU"/>
        </w:rPr>
        <w:t xml:space="preserve">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Перед завтраком обследуемый проглатывает мешочек, а затем собирает мочу через  3, 5 и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20 часов.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В присутствии соляной кислоты пепсин желудочного сока растворяет кетгут, метиленовый синий всасывается в кровь и вы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деляется с мочой, окрашивая ее.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 Первая порция мочи не окрашена, вторая окрашена в бледно-зеленый и третья – в интенсивно зеленый или синий цвет. </w:t>
      </w:r>
    </w:p>
    <w:p>
      <w:pPr>
        <w:spacing w:after="0" w:line="360" w:lineRule="auto"/>
        <w:ind w:firstLine="709"/>
        <w:jc w:val="both"/>
        <w:rPr>
          <w:rFonts w:ascii="Times New Roman" w:cs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 xml:space="preserve">При отсутствии в желудочном соке соляной кислоты кетгут не растворяется и моча не окрашивается.  Эта проба является качественной и устанавливает только наличие или отсутствие соляной кислоты в желудочном соке.  Является простым способом ориентировочной диагностики 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ахлоргидрии</w:t>
      </w:r>
      <w:r>
        <w:rPr>
          <w:rFonts w:ascii="Times New Roman" w:cs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Исследовать желудочный сок № 1,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2,3.</w:t>
      </w: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Провести расчёт часового напряжени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я и дебета /час соляной кислоты.</w:t>
      </w: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Исследовать наличие мол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очной кислоты в желудочном соке.</w:t>
      </w: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Иссле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довать ферментатив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ную активность желудочного сока.</w:t>
      </w: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Оформление результа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тов исследования в виде бланков. 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Результаты исследования:</w:t>
      </w:r>
    </w:p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До введения стимулятора (Базальная секреция)</w:t>
      </w:r>
    </w:p>
    <w:tbl>
      <w:tblPr>
        <w:tblStyle w:val="Сеткатаблицы2"/>
        <w:tblW w:w="9736" w:type="dxa"/>
        <w:tblLayout w:type="fixed"/>
        <w:tblLook w:val="04A0"/>
      </w:tblPr>
      <w:tblGrid>
        <w:gridCol w:w="772"/>
        <w:gridCol w:w="1321"/>
        <w:gridCol w:w="1134"/>
        <w:gridCol w:w="1276"/>
        <w:gridCol w:w="1275"/>
        <w:gridCol w:w="1134"/>
        <w:gridCol w:w="709"/>
        <w:gridCol w:w="709"/>
        <w:gridCol w:w="709"/>
        <w:gridCol w:w="697"/>
      </w:tblGrid>
      <w:tr>
        <w:trPr>
          <w:trHeight w:val="475"/>
        </w:trPr>
        <w:tc>
          <w:tcPr>
            <w:cnfStyle w:val="101000000000"/>
            <w:tcW w:w="772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№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пор-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ции</w:t>
            </w:r>
          </w:p>
        </w:tc>
        <w:tc>
          <w:tcPr>
            <w:cnfStyle w:val="100000000000"/>
            <w:tcW w:w="1321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Количес-тво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сока в мл</w:t>
            </w:r>
          </w:p>
        </w:tc>
        <w:tc>
          <w:tcPr>
            <w:cnfStyle w:val="100000000000"/>
            <w:tcW w:w="4819" w:type="dxa"/>
            <w:gridSpan w:val="4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Титрационные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единицы (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ммоль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/л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  <w:lang w:val="en-US"/>
              </w:rPr>
              <w:t>HCl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)</w:t>
            </w:r>
          </w:p>
        </w:tc>
        <w:tc>
          <w:tcPr>
            <w:cnfStyle w:val="100000000000"/>
            <w:tcW w:w="709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и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з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ь</w:t>
            </w:r>
          </w:p>
        </w:tc>
        <w:tc>
          <w:tcPr>
            <w:cnfStyle w:val="100000000000"/>
            <w:tcW w:w="709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р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в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ь</w:t>
            </w:r>
          </w:p>
        </w:tc>
        <w:tc>
          <w:tcPr>
            <w:cnfStyle w:val="100000000000"/>
            <w:tcW w:w="709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ж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л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ч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ь</w:t>
            </w:r>
          </w:p>
        </w:tc>
        <w:tc>
          <w:tcPr>
            <w:cnfStyle w:val="100000000000"/>
            <w:tcW w:w="697" w:type="dxa"/>
            <w:vMerge w:val="restart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е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и</w:t>
            </w:r>
          </w:p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</w:t>
            </w:r>
          </w:p>
        </w:tc>
      </w:tr>
      <w:tr>
        <w:trPr>
          <w:trHeight w:val="1222"/>
        </w:trPr>
        <w:tc>
          <w:tcPr>
            <w:cnfStyle w:val="001000100000"/>
            <w:tcW w:w="772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21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Общая кислотность</w:t>
            </w:r>
          </w:p>
        </w:tc>
        <w:tc>
          <w:tcPr>
            <w:cnfStyle w:val="0000001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Свобод-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ная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соляная кислота</w:t>
            </w:r>
          </w:p>
        </w:tc>
        <w:tc>
          <w:tcPr>
            <w:cnfStyle w:val="0000001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Связан-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ная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соляная кислота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Кислотный остаток</w:t>
            </w:r>
          </w:p>
        </w:tc>
        <w:tc>
          <w:tcPr>
            <w:cnfStyle w:val="000000100000"/>
            <w:tcW w:w="709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709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709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697" w:type="dxa"/>
            <w:vMerge w:val="continue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  <w:tr>
        <w:trPr>
          <w:trHeight w:val="481"/>
        </w:trPr>
        <w:tc>
          <w:tcPr>
            <w:cnfStyle w:val="00100001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01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00000001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00000001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24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98"/>
        </w:trPr>
        <w:tc>
          <w:tcPr>
            <w:cnfStyle w:val="00100010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</w:t>
            </w:r>
          </w:p>
        </w:tc>
        <w:tc>
          <w:tcPr>
            <w:cnfStyle w:val="00000010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65</w:t>
            </w:r>
          </w:p>
        </w:tc>
        <w:tc>
          <w:tcPr>
            <w:cnfStyle w:val="0000001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</w:t>
            </w:r>
          </w:p>
        </w:tc>
        <w:tc>
          <w:tcPr>
            <w:cnfStyle w:val="0000001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81"/>
        </w:trPr>
        <w:tc>
          <w:tcPr>
            <w:cnfStyle w:val="00100001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</w:t>
            </w:r>
          </w:p>
        </w:tc>
        <w:tc>
          <w:tcPr>
            <w:cnfStyle w:val="00000001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35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72</w:t>
            </w:r>
          </w:p>
        </w:tc>
        <w:tc>
          <w:tcPr>
            <w:cnfStyle w:val="00000001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01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16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98"/>
        </w:trPr>
        <w:tc>
          <w:tcPr>
            <w:cnfStyle w:val="00100010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</w:t>
            </w:r>
          </w:p>
        </w:tc>
        <w:tc>
          <w:tcPr>
            <w:cnfStyle w:val="00000010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62</w:t>
            </w:r>
          </w:p>
        </w:tc>
        <w:tc>
          <w:tcPr>
            <w:cnfStyle w:val="0000001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</w:t>
            </w:r>
          </w:p>
        </w:tc>
        <w:tc>
          <w:tcPr>
            <w:cnfStyle w:val="0000001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12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98"/>
        </w:trPr>
        <w:tc>
          <w:tcPr>
            <w:cnfStyle w:val="00100001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</w:t>
            </w:r>
          </w:p>
        </w:tc>
        <w:tc>
          <w:tcPr>
            <w:cnfStyle w:val="00000001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</w:t>
            </w:r>
          </w:p>
        </w:tc>
        <w:tc>
          <w:tcPr>
            <w:cnfStyle w:val="000000010000"/>
            <w:tcW w:w="1134" w:type="dxa"/>
          </w:tcPr>
          <w:p>
            <w:pPr>
              <w:tabs>
                <w:tab w:val="left" w:pos="820"/>
              </w:tabs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65</w:t>
            </w:r>
          </w:p>
        </w:tc>
        <w:tc>
          <w:tcPr>
            <w:cnfStyle w:val="00000001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56</w:t>
            </w:r>
          </w:p>
        </w:tc>
        <w:tc>
          <w:tcPr>
            <w:cnfStyle w:val="00000001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</w:tbl>
    <w:p>
      <w:pPr>
        <w:spacing w:after="0" w:line="360" w:lineRule="auto"/>
        <w:ind w:left="360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После введения стимулятора (Стимулированная секреция)</w:t>
      </w:r>
    </w:p>
    <w:p>
      <w:pPr>
        <w:spacing w:after="0" w:line="360" w:lineRule="auto"/>
        <w:ind w:left="360"/>
        <w:jc w:val="right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Стимулятор: капустный отвар </w:t>
      </w:r>
    </w:p>
    <w:tbl>
      <w:tblPr>
        <w:tblStyle w:val="Сеткатаблицы2"/>
        <w:tblW w:w="9736" w:type="dxa"/>
        <w:tblLayout w:type="fixed"/>
        <w:tblLook w:val="04A0"/>
      </w:tblPr>
      <w:tblGrid>
        <w:gridCol w:w="772"/>
        <w:gridCol w:w="1321"/>
        <w:gridCol w:w="1134"/>
        <w:gridCol w:w="1276"/>
        <w:gridCol w:w="1275"/>
        <w:gridCol w:w="1134"/>
        <w:gridCol w:w="709"/>
        <w:gridCol w:w="709"/>
        <w:gridCol w:w="709"/>
        <w:gridCol w:w="697"/>
      </w:tblGrid>
      <w:tr>
        <w:trPr>
          <w:trHeight w:val="498"/>
        </w:trPr>
        <w:tc>
          <w:tcPr>
            <w:cnfStyle w:val="10100000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</w:t>
            </w:r>
          </w:p>
        </w:tc>
        <w:tc>
          <w:tcPr>
            <w:cnfStyle w:val="10000000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1000000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70</w:t>
            </w:r>
          </w:p>
        </w:tc>
        <w:tc>
          <w:tcPr>
            <w:cnfStyle w:val="1000000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</w:t>
            </w:r>
          </w:p>
        </w:tc>
        <w:tc>
          <w:tcPr>
            <w:cnfStyle w:val="1000000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1000000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13</w:t>
            </w:r>
          </w:p>
        </w:tc>
        <w:tc>
          <w:tcPr>
            <w:cnfStyle w:val="1000000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1000000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1000000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10000000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81"/>
        </w:trPr>
        <w:tc>
          <w:tcPr>
            <w:cnfStyle w:val="00100010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</w:t>
            </w:r>
          </w:p>
        </w:tc>
        <w:tc>
          <w:tcPr>
            <w:cnfStyle w:val="00000010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1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1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55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98"/>
        </w:trPr>
        <w:tc>
          <w:tcPr>
            <w:cnfStyle w:val="00100001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</w:t>
            </w:r>
          </w:p>
        </w:tc>
        <w:tc>
          <w:tcPr>
            <w:cnfStyle w:val="00000001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75</w:t>
            </w:r>
          </w:p>
        </w:tc>
        <w:tc>
          <w:tcPr>
            <w:cnfStyle w:val="00000001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</w:t>
            </w:r>
          </w:p>
        </w:tc>
        <w:tc>
          <w:tcPr>
            <w:cnfStyle w:val="00000001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</w:t>
            </w:r>
          </w:p>
        </w:tc>
        <w:tc>
          <w:tcPr>
            <w:cnfStyle w:val="00000001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11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01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  <w:tr>
        <w:trPr>
          <w:trHeight w:val="498"/>
        </w:trPr>
        <w:tc>
          <w:tcPr>
            <w:cnfStyle w:val="001000100000"/>
            <w:tcW w:w="772" w:type="dxa"/>
            <w:vAlign w:val="center"/>
          </w:tcPr>
          <w:p>
            <w:pPr>
              <w:spacing w:line="360" w:lineRule="auto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8</w:t>
            </w:r>
          </w:p>
        </w:tc>
        <w:tc>
          <w:tcPr>
            <w:cnfStyle w:val="000000100000"/>
            <w:tcW w:w="1321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65</w:t>
            </w:r>
          </w:p>
        </w:tc>
        <w:tc>
          <w:tcPr>
            <w:cnfStyle w:val="000000100000"/>
            <w:tcW w:w="1276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</w:t>
            </w:r>
          </w:p>
        </w:tc>
        <w:tc>
          <w:tcPr>
            <w:cnfStyle w:val="000000100000"/>
            <w:tcW w:w="1275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</w:t>
            </w:r>
          </w:p>
        </w:tc>
        <w:tc>
          <w:tcPr>
            <w:cnfStyle w:val="000000100000"/>
            <w:tcW w:w="1134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14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709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  <w:tc>
          <w:tcPr>
            <w:cnfStyle w:val="000000100000"/>
            <w:tcW w:w="697" w:type="dxa"/>
          </w:tcPr>
          <w:p>
            <w:pPr>
              <w:spacing w:line="360" w:lineRule="auto"/>
              <w:jc w:val="both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-</w:t>
            </w:r>
          </w:p>
        </w:tc>
      </w:tr>
    </w:tbl>
    <w:p>
      <w:pPr>
        <w:spacing w:after="0" w:line="360" w:lineRule="auto"/>
        <w:jc w:val="center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Решить задачи: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1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кислотность, часовое напряжение и дебит-час базальной и стимулируемой секреции. </w:t>
      </w:r>
    </w:p>
    <w:tbl>
      <w:tblPr>
        <w:tblStyle w:val="TableGrid"/>
        <w:tblW w:w="0" w:type="auto"/>
        <w:tblLook w:val="04A0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>
        <w:trPr/>
        <w:tc>
          <w:tcPr>
            <w:cnfStyle w:val="101000000000"/>
            <w:tcW w:w="2734" w:type="dxa"/>
            <w:gridSpan w:val="2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100000000000"/>
            <w:tcW w:w="5469" w:type="dxa"/>
            <w:gridSpan w:val="4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Уровни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NaOH</w:t>
            </w:r>
          </w:p>
        </w:tc>
        <w:tc>
          <w:tcPr>
            <w:cnfStyle w:val="100000000000"/>
            <w:tcW w:w="1368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Кол-во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жел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.с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ока</w:t>
            </w:r>
          </w:p>
        </w:tc>
      </w:tr>
      <w:tr>
        <w:trPr/>
        <w:tc>
          <w:tcPr>
            <w:cnfStyle w:val="001000100000"/>
            <w:tcW w:w="2734" w:type="dxa"/>
            <w:gridSpan w:val="2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II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III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IV</w:t>
            </w:r>
          </w:p>
        </w:tc>
        <w:tc>
          <w:tcPr>
            <w:cnfStyle w:val="000000100000"/>
            <w:tcW w:w="1368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  <w:tr>
        <w:trPr/>
        <w:tc>
          <w:tcPr>
            <w:cnfStyle w:val="001000010000"/>
            <w:tcW w:w="2734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натощак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1,0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1,7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 мл</w:t>
            </w:r>
          </w:p>
        </w:tc>
      </w:tr>
      <w:tr>
        <w:trPr/>
        <w:tc>
          <w:tcPr>
            <w:cnfStyle w:val="001000100000"/>
            <w:tcW w:w="1367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 фаза секреции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мин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1,7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3,1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3,4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3,6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 мин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3,6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5,1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5,5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5,8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15мл</w:t>
            </w:r>
          </w:p>
        </w:tc>
      </w:tr>
      <w:tr>
        <w:trPr/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 мин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5,8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6,8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6,9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7,2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 мин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7,2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8,2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8,5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8,7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 мл</w:t>
            </w:r>
          </w:p>
        </w:tc>
      </w:tr>
      <w:tr>
        <w:trPr/>
        <w:tc>
          <w:tcPr>
            <w:cnfStyle w:val="001000100000"/>
            <w:tcW w:w="9571" w:type="dxa"/>
            <w:gridSpan w:val="7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Гистамин 0,5 мл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п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/к</w:t>
            </w:r>
          </w:p>
        </w:tc>
      </w:tr>
      <w:tr>
        <w:trPr/>
        <w:tc>
          <w:tcPr>
            <w:cnfStyle w:val="001000010000"/>
            <w:tcW w:w="1367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фаза секреции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мин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1,5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2,0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2,2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мл</w:t>
            </w:r>
          </w:p>
        </w:tc>
      </w:tr>
      <w:tr>
        <w:trPr>
          <w:trHeight w:val="206"/>
        </w:trPr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 мин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2,2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3,3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3,7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3,9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20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 мин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3,9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5,0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5,3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5,5</w:t>
            </w:r>
          </w:p>
        </w:tc>
        <w:tc>
          <w:tcPr>
            <w:cnfStyle w:val="00000001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мл</w:t>
            </w:r>
          </w:p>
        </w:tc>
      </w:tr>
      <w:tr>
        <w:trPr/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 мин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5,5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7,0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7,2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7,4</w:t>
            </w:r>
          </w:p>
        </w:tc>
        <w:tc>
          <w:tcPr>
            <w:cnfStyle w:val="000000100000"/>
            <w:tcW w:w="1368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 мл</w:t>
            </w:r>
          </w:p>
        </w:tc>
      </w:tr>
    </w:tbl>
    <w:p>
      <w:pPr>
        <w:pStyle w:val="ListParagraph"/>
        <w:spacing w:after="0" w:line="360" w:lineRule="auto"/>
        <w:ind w:left="0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 xml:space="preserve">Решение: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определяем кислотность базальной секреции (натощак):</w:t>
      </w:r>
    </w:p>
    <w:p>
      <w:pPr>
        <w:pStyle w:val="Normal(Web)"/>
        <w:tabs>
          <w:tab w:val="left" w:pos="5173"/>
          <w:tab w:val="left" w:pos="5582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</w:t>
      </w:r>
      <w:r>
        <w:rPr>
          <w:color w:val="000000"/>
          <w:sz w:val="28"/>
          <w:szCs w:val="28"/>
        </w:rPr>
        <w:t xml:space="preserve">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(1-0)·20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Общая </w:t>
      </w:r>
      <w:r>
        <w:rPr>
          <w:color w:val="000000"/>
          <w:sz w:val="28"/>
          <w:szCs w:val="28"/>
        </w:rPr>
        <w:t>кисл</w:t>
      </w:r>
      <w:r>
        <w:rPr>
          <w:color w:val="000000"/>
          <w:sz w:val="28"/>
          <w:szCs w:val="28"/>
        </w:rPr>
        <w:t>отность = (IV-I) ·20ммоль/л = (</w:t>
      </w:r>
      <w:r>
        <w:rPr>
          <w:color w:val="000000"/>
          <w:sz w:val="28"/>
          <w:szCs w:val="28"/>
        </w:rPr>
        <w:t>1,7-0)·20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34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</w:t>
      </w:r>
      <w:r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</w:t>
      </w:r>
      <w:r>
        <w:rPr>
          <w:color w:val="000000"/>
        </w:rPr>
        <w:t xml:space="preserve"> </w:t>
      </w:r>
      <w:r>
        <w:rPr>
          <w:color w:val="000000"/>
          <w:position w:val="-28"/>
          <w:lang w:val="en-US"/>
        </w:rPr>
        <w:object w:dxaOrig="1460" w:dyaOrig="68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7" type="#_x0000_t75" style="width:87.1pt;height:34.65pt" o:ole="" fillcolor="window">
            <v:imagedata r:id="rId53" o:title=""/>
            <o:lock aspectratio="t"/>
          </v:shape>
        </w:object>
      </w:r>
      <w:r>
        <w:rPr>
          <w:color w:val="000000"/>
          <w:sz w:val="28"/>
          <w:szCs w:val="28"/>
        </w:rPr>
        <w:t xml:space="preserve">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 xml:space="preserve">/л = </w:t>
      </w:r>
      <w:r>
        <w:rPr>
          <w:color w:val="000000"/>
          <w:sz w:val="28"/>
          <w:szCs w:val="28"/>
        </w:rPr>
        <w:t>1,6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– свободная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1,6-20=-18,4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Кислотный остаток = общая кислотность - </w:t>
      </w: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34-1,6=32,4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Определяем кислотность стимулируемой секреции (1 фаза):</w:t>
      </w:r>
    </w:p>
    <w:p>
      <w:pPr>
        <w:pStyle w:val="Normal(Web)"/>
        <w:tabs>
          <w:tab w:val="left" w:pos="5173"/>
          <w:tab w:val="left" w:pos="5582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</w:t>
      </w:r>
      <w:r>
        <w:rPr>
          <w:color w:val="000000"/>
          <w:sz w:val="28"/>
          <w:szCs w:val="28"/>
        </w:rPr>
        <w:t xml:space="preserve">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(8,2-7,2)·20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Общая </w:t>
      </w:r>
      <w:r>
        <w:rPr>
          <w:color w:val="000000"/>
          <w:sz w:val="28"/>
          <w:szCs w:val="28"/>
        </w:rPr>
        <w:t>кислотность = (IV-I)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(8,7-7,2)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30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</w:t>
      </w:r>
      <w:r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</w:t>
      </w:r>
      <w:r>
        <w:rPr>
          <w:color w:val="000000"/>
        </w:rPr>
        <w:t xml:space="preserve"> </w:t>
      </w:r>
      <w:r>
        <w:rPr>
          <w:color w:val="000000"/>
          <w:position w:val="-28"/>
          <w:lang w:val="en-US"/>
        </w:rPr>
        <w:object w:dxaOrig="1460" w:dyaOrig="68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8" type="#_x0000_t75" style="width:87.1pt;height:34.65pt" o:ole="" fillcolor="window">
            <v:imagedata r:id="rId53" o:title=""/>
            <o:lock aspectratio="t"/>
          </v:shape>
        </w:object>
      </w:r>
      <w:r>
        <w:rPr>
          <w:color w:val="000000"/>
          <w:sz w:val="28"/>
          <w:szCs w:val="28"/>
        </w:rPr>
        <w:t xml:space="preserve">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1,4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– свободная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1,4-20=-18,6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Кислотный остаток = общая кислотность - </w:t>
      </w: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30-1,4=28,6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 xml:space="preserve">л. 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Часовое напряжение равно 5мл.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Определяем кислотность стимулируемой секреции (2 фаза):</w:t>
      </w:r>
    </w:p>
    <w:p>
      <w:pPr>
        <w:pStyle w:val="Normal(Web)"/>
        <w:tabs>
          <w:tab w:val="left" w:pos="5173"/>
          <w:tab w:val="left" w:pos="5582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</w:t>
      </w:r>
      <w:r>
        <w:rPr>
          <w:color w:val="000000"/>
          <w:sz w:val="28"/>
          <w:szCs w:val="28"/>
        </w:rPr>
        <w:t xml:space="preserve">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(7-5,5)·20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30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Общая </w:t>
      </w:r>
      <w:r>
        <w:rPr>
          <w:color w:val="000000"/>
          <w:sz w:val="28"/>
          <w:szCs w:val="28"/>
        </w:rPr>
        <w:t>кислотность = (IV-I)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(7,4-5,5)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 = 38ммоль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</w:t>
      </w:r>
      <w:r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</w:t>
      </w:r>
      <w:r>
        <w:rPr>
          <w:color w:val="000000"/>
        </w:rPr>
        <w:t xml:space="preserve"> </w:t>
      </w:r>
      <w:r>
        <w:rPr>
          <w:color w:val="000000"/>
          <w:position w:val="-28"/>
          <w:lang w:val="en-US"/>
        </w:rPr>
        <w:object w:dxaOrig="1460" w:dyaOrig="680">
          <v:shapetype id="_x0000_t75" coordsize="21600,21600" o:spt="75" o:preferrelative="t" path="m@4@5l@4@11@9@11@9@5xe" filled="f" stroked="f">
            <v:stroke joinstyle="miter"/>
            <v:path o:extrusionok="f" gradientshapeok="t" o:connecttype="rect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o:lock aspectratio="t"/>
          </v:shapetype>
          <v:shape id="_x0000_i1039" type="#_x0000_t75" style="width:87.1pt;height:34.65pt" o:ole="" fillcolor="window">
            <v:imagedata r:id="rId53" o:title=""/>
            <o:lock aspectratio="t"/>
          </v:shape>
        </w:object>
      </w:r>
      <w:r>
        <w:rPr>
          <w:color w:val="000000"/>
          <w:sz w:val="28"/>
          <w:szCs w:val="28"/>
        </w:rPr>
        <w:t xml:space="preserve">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1,8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– свободная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1,8-30=-28,2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Кислотный остаток = общая кислотность - </w:t>
      </w:r>
      <w:r>
        <w:rPr>
          <w:color w:val="000000"/>
          <w:sz w:val="28"/>
          <w:szCs w:val="28"/>
        </w:rPr>
        <w:t xml:space="preserve">сумма </w:t>
      </w:r>
      <w:r>
        <w:rPr>
          <w:color w:val="000000"/>
          <w:sz w:val="28"/>
          <w:szCs w:val="28"/>
        </w:rPr>
        <w:t>свободной</w:t>
      </w:r>
      <w:r>
        <w:rPr>
          <w:color w:val="000000"/>
          <w:sz w:val="28"/>
          <w:szCs w:val="28"/>
        </w:rPr>
        <w:t xml:space="preserve"> и связанной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38-1,8=36,2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 xml:space="preserve">л. 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Часовое напряжение </w:t>
      </w:r>
      <w:r>
        <w:rPr>
          <w:color w:val="000000"/>
          <w:sz w:val="28"/>
          <w:szCs w:val="28"/>
        </w:rPr>
        <w:t>равно 10</w:t>
      </w:r>
      <w:r>
        <w:rPr>
          <w:color w:val="000000"/>
          <w:sz w:val="28"/>
          <w:szCs w:val="28"/>
        </w:rPr>
        <w:t>мл</w:t>
      </w:r>
      <w:r>
        <w:rPr>
          <w:color w:val="000000"/>
          <w:sz w:val="28"/>
          <w:szCs w:val="28"/>
        </w:rPr>
        <w:t>.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  <w:t>Задача № 2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u w:val="single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Рассчитайте и оцените кислотность, часовое напряжение и дебит-час базальной и стимулируемой секреции. </w:t>
      </w:r>
    </w:p>
    <w:tbl>
      <w:tblPr>
        <w:tblStyle w:val="TableGrid"/>
        <w:tblW w:w="0" w:type="auto"/>
        <w:tblLayout w:type="fixed"/>
        <w:tblLook w:val="04A0"/>
      </w:tblPr>
      <w:tblGrid>
        <w:gridCol w:w="1367"/>
        <w:gridCol w:w="1367"/>
        <w:gridCol w:w="1060"/>
        <w:gridCol w:w="850"/>
        <w:gridCol w:w="142"/>
        <w:gridCol w:w="1134"/>
        <w:gridCol w:w="1134"/>
        <w:gridCol w:w="1134"/>
        <w:gridCol w:w="1383"/>
      </w:tblGrid>
      <w:tr>
        <w:trPr/>
        <w:tc>
          <w:tcPr>
            <w:cnfStyle w:val="101000000000"/>
            <w:tcW w:w="2734" w:type="dxa"/>
            <w:gridSpan w:val="2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100000000000"/>
            <w:tcW w:w="5454" w:type="dxa"/>
            <w:gridSpan w:val="6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Уровни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NaOH</w:t>
            </w:r>
          </w:p>
        </w:tc>
        <w:tc>
          <w:tcPr>
            <w:cnfStyle w:val="100000000000"/>
            <w:tcW w:w="1383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 xml:space="preserve">Кол-во 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жел</w:t>
            </w: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. сока</w:t>
            </w:r>
          </w:p>
        </w:tc>
      </w:tr>
      <w:tr>
        <w:trPr/>
        <w:tc>
          <w:tcPr>
            <w:cnfStyle w:val="001000100000"/>
            <w:tcW w:w="2734" w:type="dxa"/>
            <w:gridSpan w:val="2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3186" w:type="dxa"/>
            <w:gridSpan w:val="4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 стаканчик</w:t>
            </w:r>
          </w:p>
        </w:tc>
        <w:tc>
          <w:tcPr>
            <w:cnfStyle w:val="000000100000"/>
            <w:tcW w:w="2268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 стаканчик</w:t>
            </w:r>
          </w:p>
        </w:tc>
        <w:tc>
          <w:tcPr>
            <w:cnfStyle w:val="000000100000"/>
            <w:tcW w:w="1383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  <w:tr>
        <w:trPr/>
        <w:tc>
          <w:tcPr>
            <w:cnfStyle w:val="001000010000"/>
            <w:tcW w:w="2734" w:type="dxa"/>
            <w:gridSpan w:val="2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</w:t>
            </w:r>
          </w:p>
        </w:tc>
        <w:tc>
          <w:tcPr>
            <w:cnfStyle w:val="00000001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II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III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II</w:t>
            </w:r>
          </w:p>
        </w:tc>
        <w:tc>
          <w:tcPr>
            <w:cnfStyle w:val="000000010000"/>
            <w:tcW w:w="1383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</w:tr>
      <w:tr>
        <w:trPr/>
        <w:tc>
          <w:tcPr>
            <w:cnfStyle w:val="001000100000"/>
            <w:tcW w:w="2734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Натощак</w:t>
            </w:r>
          </w:p>
        </w:tc>
        <w:tc>
          <w:tcPr>
            <w:cnfStyle w:val="00000010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10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5,5</w:t>
            </w:r>
          </w:p>
        </w:tc>
        <w:tc>
          <w:tcPr>
            <w:cnfStyle w:val="00000010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25 мл</w:t>
            </w:r>
          </w:p>
        </w:tc>
      </w:tr>
      <w:tr>
        <w:trPr/>
        <w:tc>
          <w:tcPr>
            <w:cnfStyle w:val="001000010000"/>
            <w:tcW w:w="1367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 фаза секреции</w:t>
            </w: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мин</w:t>
            </w:r>
          </w:p>
        </w:tc>
        <w:tc>
          <w:tcPr>
            <w:cnfStyle w:val="00000001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01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7,5</w:t>
            </w:r>
          </w:p>
        </w:tc>
        <w:tc>
          <w:tcPr>
            <w:cnfStyle w:val="00000001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 мл</w:t>
            </w:r>
          </w:p>
        </w:tc>
      </w:tr>
      <w:tr>
        <w:trPr/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 мин</w:t>
            </w:r>
          </w:p>
        </w:tc>
        <w:tc>
          <w:tcPr>
            <w:cnfStyle w:val="00000010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7,5</w:t>
            </w:r>
          </w:p>
        </w:tc>
        <w:tc>
          <w:tcPr>
            <w:cnfStyle w:val="00000010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11,5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11,5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15,0</w:t>
            </w:r>
          </w:p>
        </w:tc>
        <w:tc>
          <w:tcPr>
            <w:cnfStyle w:val="00000010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 мин</w:t>
            </w:r>
          </w:p>
        </w:tc>
        <w:tc>
          <w:tcPr>
            <w:cnfStyle w:val="00000001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01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2,5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3,5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3,5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6,5</w:t>
            </w:r>
          </w:p>
        </w:tc>
        <w:tc>
          <w:tcPr>
            <w:cnfStyle w:val="00000001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25 мл</w:t>
            </w:r>
          </w:p>
        </w:tc>
      </w:tr>
      <w:tr>
        <w:trPr/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 мин</w:t>
            </w:r>
          </w:p>
        </w:tc>
        <w:tc>
          <w:tcPr>
            <w:cnfStyle w:val="00000010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6,5</w:t>
            </w:r>
          </w:p>
        </w:tc>
        <w:tc>
          <w:tcPr>
            <w:cnfStyle w:val="000000100000"/>
            <w:tcW w:w="992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9,5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10,5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10,5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14,0</w:t>
            </w:r>
          </w:p>
        </w:tc>
        <w:tc>
          <w:tcPr>
            <w:cnfStyle w:val="00000010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 мл</w:t>
            </w:r>
          </w:p>
        </w:tc>
      </w:tr>
      <w:tr>
        <w:trPr/>
        <w:tc>
          <w:tcPr>
            <w:cnfStyle w:val="001000010000"/>
            <w:tcW w:w="9571" w:type="dxa"/>
            <w:gridSpan w:val="9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Капустный отвар, 200мл</w:t>
            </w:r>
          </w:p>
        </w:tc>
      </w:tr>
      <w:tr>
        <w:trPr/>
        <w:tc>
          <w:tcPr>
            <w:cnfStyle w:val="001000100000"/>
            <w:tcW w:w="1367" w:type="dxa"/>
            <w:vMerge w:val="restart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 фаза секреции</w:t>
            </w: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 мин</w:t>
            </w:r>
          </w:p>
        </w:tc>
        <w:tc>
          <w:tcPr>
            <w:cnfStyle w:val="00000010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100000"/>
            <w:tcW w:w="85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4,0</w:t>
            </w:r>
          </w:p>
        </w:tc>
        <w:tc>
          <w:tcPr>
            <w:cnfStyle w:val="000000100000"/>
            <w:tcW w:w="1276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9,5</w:t>
            </w:r>
          </w:p>
        </w:tc>
        <w:tc>
          <w:tcPr>
            <w:cnfStyle w:val="00000010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50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30мин</w:t>
            </w:r>
          </w:p>
        </w:tc>
        <w:tc>
          <w:tcPr>
            <w:cnfStyle w:val="00000001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9,5</w:t>
            </w:r>
          </w:p>
        </w:tc>
        <w:tc>
          <w:tcPr>
            <w:cnfStyle w:val="000000010000"/>
            <w:tcW w:w="85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13,0</w:t>
            </w:r>
          </w:p>
        </w:tc>
        <w:tc>
          <w:tcPr>
            <w:cnfStyle w:val="000000010000"/>
            <w:tcW w:w="1276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15,5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20,5</w:t>
            </w:r>
          </w:p>
        </w:tc>
        <w:tc>
          <w:tcPr>
            <w:cnfStyle w:val="00000001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 мл</w:t>
            </w:r>
          </w:p>
        </w:tc>
      </w:tr>
      <w:tr>
        <w:trPr/>
        <w:tc>
          <w:tcPr>
            <w:cnfStyle w:val="00100010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10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45 мин</w:t>
            </w:r>
          </w:p>
        </w:tc>
        <w:tc>
          <w:tcPr>
            <w:cnfStyle w:val="00000010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0</w:t>
            </w:r>
          </w:p>
        </w:tc>
        <w:tc>
          <w:tcPr>
            <w:cnfStyle w:val="000000100000"/>
            <w:tcW w:w="85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3,0</w:t>
            </w:r>
          </w:p>
        </w:tc>
        <w:tc>
          <w:tcPr>
            <w:cnfStyle w:val="000000100000"/>
            <w:tcW w:w="1276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5,0</w:t>
            </w:r>
          </w:p>
        </w:tc>
        <w:tc>
          <w:tcPr>
            <w:cnfStyle w:val="00000010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9,0</w:t>
            </w:r>
          </w:p>
        </w:tc>
        <w:tc>
          <w:tcPr>
            <w:cnfStyle w:val="00000010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 мл</w:t>
            </w:r>
          </w:p>
        </w:tc>
      </w:tr>
      <w:tr>
        <w:trPr/>
        <w:tc>
          <w:tcPr>
            <w:cnfStyle w:val="001000010000"/>
            <w:tcW w:w="1367" w:type="dxa"/>
            <w:vMerge w:val="continue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</w:p>
        </w:tc>
        <w:tc>
          <w:tcPr>
            <w:cnfStyle w:val="000000010000"/>
            <w:tcW w:w="1367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60 мин</w:t>
            </w:r>
          </w:p>
        </w:tc>
        <w:tc>
          <w:tcPr>
            <w:cnfStyle w:val="000000010000"/>
            <w:tcW w:w="106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9,0</w:t>
            </w:r>
          </w:p>
        </w:tc>
        <w:tc>
          <w:tcPr>
            <w:cnfStyle w:val="000000010000"/>
            <w:tcW w:w="850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12,5</w:t>
            </w:r>
          </w:p>
        </w:tc>
        <w:tc>
          <w:tcPr>
            <w:cnfStyle w:val="000000010000"/>
            <w:tcW w:w="1276" w:type="dxa"/>
            <w:gridSpan w:val="2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15,0</w:t>
            </w:r>
          </w:p>
        </w:tc>
        <w:tc>
          <w:tcPr>
            <w:cnfStyle w:val="000000010000"/>
            <w:tcW w:w="1134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20,5</w:t>
            </w:r>
          </w:p>
        </w:tc>
        <w:tc>
          <w:tcPr>
            <w:cnfStyle w:val="000000010000"/>
            <w:tcW w:w="1383" w:type="dxa"/>
            <w:vAlign w:val="center"/>
          </w:tcPr>
          <w:p>
            <w:pPr>
              <w:pStyle w:val="ListParagraph"/>
              <w:spacing w:line="360" w:lineRule="auto"/>
              <w:ind w:left="0"/>
              <w:jc w:val="center"/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</w:pPr>
            <w:r>
              <w:rPr>
                <w:rFonts w:ascii="Times New Roman" w:cs="Times New Roman" w:hAnsi="Times New Roman"/>
                <w:color w:val="1a1a1a" w:themeColor="background1" w:themeShade="1a"/>
                <w:sz w:val="28"/>
              </w:rPr>
              <w:t>40 мл</w:t>
            </w:r>
          </w:p>
        </w:tc>
      </w:tr>
    </w:tbl>
    <w:p>
      <w:pPr>
        <w:pStyle w:val="ListParagraph"/>
        <w:tabs>
          <w:tab w:val="left" w:pos="1298"/>
        </w:tabs>
        <w:spacing w:after="0" w:line="360" w:lineRule="auto"/>
        <w:ind w:left="0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ab/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/>
          <w:color w:val="1a1a1a" w:themeColor="background1" w:themeShade="1a"/>
          <w:sz w:val="28"/>
        </w:rPr>
        <w:t xml:space="preserve">Решение: </w:t>
      </w:r>
      <w:r>
        <w:rPr>
          <w:color w:val="000000"/>
          <w:sz w:val="28"/>
          <w:szCs w:val="28"/>
        </w:rPr>
        <w:t>Расчет свободной соляной кислоты и общей кислотности проводится по первому стаканчику; связанная соляная кислота рассчитывается по второму стаканчику.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Определяем кислотность базальной секреции (натощак):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Своб</w:t>
      </w:r>
      <w:r>
        <w:rPr>
          <w:color w:val="000000"/>
          <w:sz w:val="28"/>
          <w:szCs w:val="28"/>
        </w:rPr>
        <w:t xml:space="preserve">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(2-0)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л=40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Общая кисл</w:t>
      </w:r>
      <w:r>
        <w:rPr>
          <w:color w:val="000000"/>
          <w:sz w:val="28"/>
          <w:szCs w:val="28"/>
        </w:rPr>
        <w:t>отность = (III-I) · 20ммоль/л = (3-0)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л=60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[(III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I) – (II </w:t>
      </w:r>
      <w:r>
        <w:rPr>
          <w:color w:val="000000"/>
          <w:sz w:val="28"/>
          <w:szCs w:val="28"/>
        </w:rPr>
        <w:t>– I)]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 xml:space="preserve">/л = </w:t>
      </w:r>
      <w:r>
        <w:rPr>
          <w:color w:val="000000"/>
          <w:sz w:val="28"/>
          <w:szCs w:val="28"/>
        </w:rPr>
        <w:t>50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л.</w:t>
      </w:r>
    </w:p>
    <w:p>
      <w:pPr>
        <w:pStyle w:val="Normal(Web)"/>
        <w:tabs>
          <w:tab w:val="left" w:pos="8551"/>
        </w:tabs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Определяем кислотность стимулируемой секреции (1 фаза):</w:t>
      </w:r>
      <w:r>
        <w:rPr>
          <w:color w:val="000000"/>
          <w:sz w:val="28"/>
          <w:szCs w:val="28"/>
        </w:rPr>
        <w:tab/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Своб</w:t>
      </w:r>
      <w:r>
        <w:rPr>
          <w:color w:val="000000"/>
          <w:sz w:val="28"/>
          <w:szCs w:val="28"/>
        </w:rPr>
        <w:t xml:space="preserve">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(9,5-6,5)·20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л=60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Общая кисл</w:t>
      </w:r>
      <w:r>
        <w:rPr>
          <w:color w:val="000000"/>
          <w:sz w:val="28"/>
          <w:szCs w:val="28"/>
        </w:rPr>
        <w:t>отность = (III-I)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(10,5-9,5)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[(III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I) – (II </w:t>
      </w:r>
      <w:r>
        <w:rPr>
          <w:color w:val="000000"/>
          <w:sz w:val="28"/>
          <w:szCs w:val="28"/>
        </w:rPr>
        <w:t>– I)]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70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Часовое напряжение равно 30 мл.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Определяем кислотность стимулируемой секреции (2 фаза):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Своб</w:t>
      </w:r>
      <w:r>
        <w:rPr>
          <w:color w:val="000000"/>
          <w:sz w:val="28"/>
          <w:szCs w:val="28"/>
        </w:rPr>
        <w:t xml:space="preserve">одная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(II-I) 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(12,5-9)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л=70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Общая кисл</w:t>
      </w:r>
      <w:r>
        <w:rPr>
          <w:color w:val="000000"/>
          <w:sz w:val="28"/>
          <w:szCs w:val="28"/>
        </w:rPr>
        <w:t>отность = (III-I)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 (15-9)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·20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л=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л;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Связанная </w:t>
      </w:r>
      <w:r>
        <w:rPr>
          <w:color w:val="000000"/>
          <w:sz w:val="28"/>
          <w:szCs w:val="28"/>
        </w:rPr>
        <w:t>HCl</w:t>
      </w:r>
      <w:r>
        <w:rPr>
          <w:color w:val="000000"/>
          <w:sz w:val="28"/>
          <w:szCs w:val="28"/>
        </w:rPr>
        <w:t xml:space="preserve"> = [(III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I) – (II </w:t>
      </w:r>
      <w:r>
        <w:rPr>
          <w:color w:val="000000"/>
          <w:sz w:val="28"/>
          <w:szCs w:val="28"/>
        </w:rPr>
        <w:t>– I)] · 20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/л =</w:t>
      </w:r>
      <w:r>
        <w:rPr>
          <w:color w:val="000000"/>
          <w:sz w:val="28"/>
          <w:szCs w:val="28"/>
        </w:rPr>
        <w:t>110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ммоль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</w:rPr>
        <w:t>л.</w:t>
      </w:r>
    </w:p>
    <w:p>
      <w:pPr>
        <w:pStyle w:val="Normal(Web)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Часовое напряжение равно 40мл.</w:t>
      </w:r>
    </w:p>
    <w:p>
      <w:pPr>
        <w:pStyle w:val="ListParagraph"/>
        <w:tabs>
          <w:tab w:val="left" w:pos="1298"/>
        </w:tabs>
        <w:spacing w:after="0" w:line="360" w:lineRule="auto"/>
        <w:ind w:left="0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ListParagraph"/>
        <w:numPr>
          <w:ilvl w:val="0"/>
          <w:numId w:val="25"/>
        </w:num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З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ащита индивидуальных заданий. </w:t>
      </w:r>
    </w:p>
    <w:p>
      <w:pPr>
        <w:spacing w:after="0" w:line="360" w:lineRule="auto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</w:p>
    <w:p>
      <w:pPr>
        <w:pStyle w:val="ListParagraph"/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</w:rPr>
        <w:t>Индивидуальные задания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с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оставление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фото отчёта об учебной практики;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с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оставление задач по каждой те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ме учебной практики (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Гордеева);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одготовка презентации по теме « Алгоритм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проведения общего анализа мочи;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одготовка презентации по теме «Алгоритм проведе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ния анализа мочи по Нечипоренко;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одготовка презентации по теме « 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сследование мочи по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Зимницкому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»;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одготовка презентации по теме «Исследование мочи по Нечипоренко»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одготовка презентации по теме «Исследо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вание кислой продукции желудка»;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п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одготовка презентации по теме «Микроскопическ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ое исследование мочи» Тимохина;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>с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оставление кроссво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рда по теме «Исследование мочи»;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rFonts w:ascii="Times New Roman" w:cs="Times New Roman" w:hAnsi="Times New Roman"/>
          <w:color w:val="1a1a1a" w:themeColor="background1" w:themeShade="1a"/>
          <w:sz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оставление кроссворда по теме «Исследование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желудочного содержимого»;</w:t>
      </w:r>
    </w:p>
    <w:p>
      <w:pPr>
        <w:pStyle w:val="ListParagraph"/>
        <w:numPr>
          <w:ilvl w:val="0"/>
          <w:numId w:val="26"/>
        </w:numPr>
        <w:spacing w:after="0" w:line="360" w:lineRule="auto"/>
        <w:ind w:left="357" w:hanging="357"/>
        <w:jc w:val="both"/>
        <w:rPr>
          <w:color w:val="1a1a1a" w:themeColor="background1" w:themeShade="1a"/>
        </w:rPr>
      </w:pP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 xml:space="preserve">оставление кроссворда по теме» Микроскопия 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о</w:t>
      </w:r>
      <w:r>
        <w:rPr>
          <w:rFonts w:ascii="Times New Roman" w:cs="Times New Roman" w:hAnsi="Times New Roman"/>
          <w:color w:val="1a1a1a" w:themeColor="background1" w:themeShade="1a"/>
          <w:sz w:val="28"/>
        </w:rPr>
        <w:t>садка мочи</w:t>
      </w:r>
      <w:r>
        <w:rPr>
          <w:color w:val="1a1a1a" w:themeColor="background1" w:themeShade="1a"/>
        </w:rPr>
        <w:t>».</w:t>
      </w:r>
    </w:p>
    <w:p>
      <w:pPr>
        <w:pStyle w:val="ListParagraph"/>
        <w:spacing w:after="0" w:line="360" w:lineRule="auto"/>
        <w:ind w:left="357"/>
        <w:jc w:val="both"/>
        <w:rPr>
          <w:color w:val="1a1a1a" w:themeColor="background1" w:themeShade="1a"/>
        </w:rPr>
      </w:pPr>
    </w:p>
    <w:p>
      <w:pPr>
        <w:pStyle w:val="ListParagraph"/>
        <w:spacing w:after="0" w:line="360" w:lineRule="auto"/>
        <w:ind w:left="357"/>
        <w:jc w:val="both"/>
        <w:rPr>
          <w:color w:val="1a1a1a" w:themeColor="background1" w:themeShade="1a"/>
        </w:rPr>
      </w:pPr>
    </w:p>
    <w:p>
      <w:pPr>
        <w:pStyle w:val="ListParagraph"/>
        <w:tabs>
          <w:tab w:val="left" w:pos="8364"/>
        </w:tabs>
        <w:spacing w:after="0" w:line="360" w:lineRule="auto"/>
        <w:ind w:left="0"/>
        <w:jc w:val="center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Кроссворд по теме «Микроскопия осадка мочи»</w:t>
      </w:r>
    </w:p>
    <w:p>
      <w:pPr>
        <w:pStyle w:val="ListParagraph"/>
        <w:tabs>
          <w:tab w:val="left" w:pos="8364"/>
        </w:tabs>
        <w:rPr>
          <w:color w:val="1a1a1a" w:themeColor="background1" w:themeShade="1a"/>
        </w:rPr>
      </w:pP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Вопросы по горизонтали: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3. к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летки крови, которые в концентрированной моче резко кислой реакции приобретают звездчатую форму;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8. ц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илиндры, состоящие из рыхло расположенного белка;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9. ц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илиндры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образующиеся в просвете канальцев при почечной пиурии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11. р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еактив, используемый для растворения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уратов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12. н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атриевые и калиевые соли мочевой кислоты;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13. увеличение количества лейкоцитов в моче;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15. м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етод, используемый для определения форменных элементов в 1 мл мочи;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16. 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моче какой реакции могут быть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трипельфосфаты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, аморфные фосфаты и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др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18. у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величение количества эритроцитов в моче;</w:t>
      </w:r>
    </w:p>
    <w:p>
      <w:pPr>
        <w:pStyle w:val="ListParagraph"/>
        <w:spacing w:after="0" w:line="360" w:lineRule="auto"/>
        <w:ind w:left="0" w:firstLine="709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20. с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одержание гноя в моче.</w:t>
      </w:r>
    </w:p>
    <w:p>
      <w:pPr>
        <w:pStyle w:val="ListParagraph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p>
      <w:pPr>
        <w:pStyle w:val="ListParagraph"/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b/>
          <w:color w:val="1a1a1a" w:themeColor="background1" w:themeShade="1a"/>
          <w:sz w:val="28"/>
          <w:szCs w:val="28"/>
        </w:rPr>
        <w:t>Вопросы по вертикали:</w:t>
      </w:r>
    </w:p>
    <w:p>
      <w:pPr>
        <w:pStyle w:val="ListParagraph"/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1.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ц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илиндры, похожие на гиалиновые, но имеют продольную исчерченность и большую длину, содержащие слизь:</w:t>
      </w:r>
    </w:p>
    <w:p>
      <w:pPr>
        <w:pStyle w:val="ListParagraph"/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2. о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садки мочи, представленные солями и кристаллами;</w:t>
      </w:r>
    </w:p>
    <w:p>
      <w:pPr>
        <w:pStyle w:val="ListParagraph"/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4. ц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илиндры окрашены пигментами мочи в желтоватый цвет;</w:t>
      </w:r>
    </w:p>
    <w:p>
      <w:pPr>
        <w:pStyle w:val="ListParagraph"/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5. с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оли, имеющие вид почтовых конвертов разной величины;</w:t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6. к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летки эпителия, которые не должны присутствовать в моче;</w:t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7. п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роба, проводимая для ориентировочной оценки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  <w:t>источника форменных элементов в моче;</w:t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10.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  <w:t>в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какой реакции встречаются соли мочевой кислоты,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ураты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 оксалаты?;</w:t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14.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н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аличие в,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осадке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,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каких лейкоцитов характеризует интенсивность воспалительного процесса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независимо от места его локализации;</w:t>
      </w:r>
    </w:p>
    <w:p>
      <w:pPr>
        <w:pStyle w:val="ListParagraph"/>
        <w:tabs>
          <w:tab w:val="left" w:pos="1156"/>
          <w:tab w:val="left" w:pos="1724"/>
          <w:tab w:val="left" w:pos="8551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17. к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 каким осадкам относятся цилиндры и эритроциты;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ab/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19. с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оли в виде «гробовых к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рышек».</w:t>
      </w:r>
    </w:p>
    <w:p>
      <w:pPr>
        <w:pStyle w:val="ListParagraph"/>
        <w:tabs>
          <w:tab w:val="left" w:pos="1156"/>
          <w:tab w:val="left" w:pos="1724"/>
        </w:tabs>
        <w:spacing w:after="0" w:line="360" w:lineRule="auto"/>
        <w:ind w:left="0" w:firstLine="709"/>
        <w:contextualSpacing w:val="off"/>
        <w:jc w:val="both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</w:p>
    <w:tbl>
      <w:tblPr>
        <w:tblW w:w="0" w:type="auto"/>
        <w:jc w:val="center"/>
        <w:tblBorders>
          <w:top w:val="single" w:color="888888" w:sz="4" w:space="0"/>
          <w:left w:val="single" w:color="888888" w:sz="4" w:space="0"/>
          <w:bottom w:val="single" w:color="888888" w:sz="4" w:space="0"/>
          <w:right w:val="single" w:color="888888" w:sz="4" w:space="0"/>
          <w:insideH w:val="single" w:color="888888" w:sz="4" w:space="0"/>
          <w:insideV w:val="single" w:color="888888" w:sz="4" w:space="0"/>
        </w:tblBorders>
        <w:tblCellMar>
          <w:left w:w="0" w:type="dxa"/>
          <w:right w:w="0" w:type="dxa"/>
        </w:tblCellMar>
        <w:tblLook w:val="0400"/>
      </w:tblPr>
      <w:tblGrid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</w:tblGrid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4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э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2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9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й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6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5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13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й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ь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8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д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10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15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э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7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ц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11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14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16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щ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17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ч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й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д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х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й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18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г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м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19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12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  <w:vertAlign w:val="superscript"/>
              </w:rPr>
              <w:t>20</w:t>
            </w: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у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р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к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и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п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з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л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в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ь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я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о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н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с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ф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а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т</w:t>
            </w: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01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  <w:tr>
        <w:trPr>
          <w:trHeight w:val="324" w:hRule="exact"/>
          <w:jc w:val="center"/>
        </w:trPr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  <w:r>
              <w:rPr>
                <w:rFonts w:ascii="Times New Roman" w:cs="Times New Roman" w:hAnsi="Times New Roman"/>
                <w:sz w:val="28"/>
                <w:szCs w:val="28"/>
              </w:rPr>
              <w:t>ы</w:t>
            </w: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  <w:tc>
          <w:tcPr>
            <w:cnfStyle w:val="000000100000"/>
            <w:tcW w:w="324" w:type="dxa"/>
            <w:shd w:val="clear" w:color="auto" w:fill="bbbbbb"/>
            <w:vAlign w:val="center"/>
          </w:tcPr>
          <w:p>
            <w:pPr>
              <w:pStyle w:val="BodyText"/>
              <w:jc w:val="center"/>
              <w:rPr>
                <w:rFonts w:ascii="Times New Roman" w:cs="Times New Roman" w:hAnsi="Times New Roman"/>
                <w:sz w:val="28"/>
                <w:szCs w:val="28"/>
              </w:rPr>
            </w:pPr>
          </w:p>
        </w:tc>
      </w:tr>
    </w:tbl>
    <w:p>
      <w:pPr>
        <w:pStyle w:val="ListParagraph"/>
        <w:spacing w:before="240" w:after="0" w:line="360" w:lineRule="auto"/>
        <w:ind w:left="0"/>
        <w:jc w:val="center"/>
        <w:rPr>
          <w:rFonts w:ascii="Times New Roman" w:cs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 xml:space="preserve">Рисунок 2 - </w:t>
      </w:r>
      <w:r>
        <w:rPr>
          <w:rFonts w:ascii="Times New Roman" w:cs="Times New Roman" w:hAnsi="Times New Roman"/>
          <w:color w:val="1a1a1a" w:themeColor="background1" w:themeShade="1a"/>
          <w:sz w:val="28"/>
          <w:szCs w:val="28"/>
        </w:rPr>
        <w:t>Кроссворд по теме «Микроскопия осадка мочи»</w:t>
      </w:r>
    </w:p>
    <w:p>
      <w:pPr>
        <w:pStyle w:val="ListParagraph"/>
        <w:jc w:val="center"/>
        <w:rPr>
          <w:color w:val="1a1a1a" w:themeColor="background1" w:themeShade="1a"/>
        </w:rPr>
      </w:pPr>
    </w:p>
    <w:p>
      <w:pPr>
        <w:pStyle w:val="ListParagraph"/>
        <w:rPr>
          <w:color w:val="1a1a1a" w:themeColor="background1" w:themeShade="1a"/>
        </w:rPr>
      </w:pPr>
    </w:p>
    <w:tbl>
      <w:tblPr>
        <w:tblpPr w:leftFromText="180" w:rightFromText="180" w:vertAnchor="text" w:tblpY="1"/>
        <w:tblOverlap w:val="never"/>
        <w:tblW w:w="0" w:type="auto"/>
        <w:tblLook w:val="0400"/>
      </w:tblPr>
      <w:tr>
        <w:trPr/>
        <w:tc>
          <w:tcPr>
            <w:cnfStyle w:val="000000100000"/>
            <w:tcW w:w="0" w:type="auto"/>
          </w:tcPr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</w:p>
          <w:p>
            <w:pPr>
              <w:pStyle w:val="BodyText"/>
              <w:jc w:val="center"/>
              <w:rPr/>
            </w:pPr>
            <w:r>
              <w:rPr/>
              <w:drawing>
                <wp:inline>
                  <wp:extent cx="5940425" cy="791972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a:uri="http://schemas.openxmlformats.org/drawingml/2006/picture">
                      <pic:pic xmlns:pic="http://schemas.openxmlformats.org/drawingml/2006/picture">
                        <pic:nvPicPr>
                          <pic:cNvPr id="0" name="picture.jpg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5940425" cy="791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BodyText"/>
              <w:jc w:val="center"/>
              <w:rPr/>
            </w:pPr>
          </w:p>
        </w:tc>
        <w:tc>
          <w:tcPr>
            <w:cnfStyle w:val="000000100000"/>
            <w:tcW w:w="1661" w:type="dxa"/>
          </w:tcPr>
          <w:p>
            <w:pPr>
              <w:pStyle w:val="BodyText"/>
              <w:jc w:val="center"/>
              <w:rPr/>
            </w:pPr>
          </w:p>
        </w:tc>
      </w:tr>
    </w:tbl>
    <w:p>
      <w:pPr>
        <w:jc w:val="right"/>
        <w:rPr>
          <w:rFonts w:ascii="Times New Roman" w:hAnsi="Times New Roman"/>
          <w:b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drawing>
          <wp:inline>
            <wp:extent cx="5939790" cy="4453890"/>
            <wp:effectExtent l="0" t="742950" r="0" b="7429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39790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drawing>
          <wp:inline>
            <wp:extent cx="5940425" cy="79203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71"/>
      <w:footerReference w:type="default" r:id="rId72"/>
      <w:pgSz w:w="11906" w:h="16838"/>
      <w:pgMar w:top="1134" w:right="850" w:bottom="1134" w:left="1701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endnote w:type="separator" w:id="0">
    <w:p>
      <w:pPr>
        <w:spacing w:after="0" w:line="240" w:lineRule="auto"/>
        <w:rPr/>
      </w:pPr>
      <w:r>
        <w:rPr/>
        <w:separator/>
      </w:r>
    </w:p>
  </w:endnote>
  <w:endnote w:type="continuationSeparator" w:id="1">
    <w:p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Helvetica Neue"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Footer"/>
      <w:jc w:val="center"/>
      <w:rPr/>
    </w:pPr>
    <w:r>
      <w:fldChar w:fldCharType="begin"/>
    </w:r>
    <w:r>
      <w:instrText xml:space="preserve">PAGE   \* MERGEFORMAT</w:instrText>
    </w:r>
    <w:r>
      <w:fldChar w:fldCharType="separate"/>
    </w:r>
    <w:r>
      <w:t>4</w:t>
    </w:r>
    <w:r>
      <w:fldChar w:fldCharType="end"/>
    </w:r>
  </w:p>
  <w:p>
    <w:pPr>
      <w:pStyle w:val="Footer"/>
      <w:rPr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footnote w:type="separator" w:id="0">
    <w:p>
      <w:pPr>
        <w:spacing w:after="0" w:line="240" w:lineRule="auto"/>
        <w:rPr/>
      </w:pPr>
      <w:r>
        <w:rPr/>
        <w:separator/>
      </w:r>
    </w:p>
  </w:footnote>
  <w:footnote w:type="continuationSeparator" w:id="1">
    <w:p>
      <w:pPr>
        <w:spacing w:after="0" w:line="240" w:lineRule="auto"/>
        <w:rPr/>
      </w:pPr>
      <w:r>
        <w:rPr/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Header"/>
      <w:tabs>
        <w:tab w:val="clear" w:pos="4677"/>
        <w:tab w:val="clear" w:pos="9355"/>
        <w:tab w:val="left" w:pos="4036"/>
      </w:tabs>
      <w:rPr/>
    </w:pPr>
    <w:r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abstractNum w:abstractNumId="0">
    <w:multiLevelType w:val="hybridMultilevel"/>
    <w:lvl w:ilvl="0">
      <w:start w:val="1"/>
      <w:numFmt w:val="bullet"/>
      <w:lvlText w:val="−"/>
      <w:lvlJc w:val="left"/>
      <w:pPr>
        <w:ind w:left="1419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2139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85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57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299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01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3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59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179" w:hanging="360"/>
      </w:pPr>
      <w:rPr>
        <w:rFonts w:ascii="Wingdings" w:hAnsi="Wingdings"/>
      </w:rPr>
    </w:lvl>
  </w:abstractNum>
  <w:abstractNum w:abstractNumId="1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bullet"/>
      <w:lvlText w:val="−"/>
      <w:lvlJc w:val="left"/>
      <w:pPr>
        <w:ind w:left="1429" w:hanging="360"/>
      </w:pPr>
      <w:rPr>
        <w:rFonts w:ascii="Times New Roman" w:cs="Times New Roman" w:hAnsi="Times New Roman"/>
      </w:rPr>
    </w:lvl>
    <w:lvl w:ilvl="1">
      <w:start w:val="1"/>
      <w:numFmt w:val="bullet"/>
      <w:lvlText w:val="−"/>
      <w:lvlJc w:val="left"/>
      <w:pPr>
        <w:ind w:left="2149" w:hanging="360"/>
      </w:pPr>
      <w:rPr>
        <w:rFonts w:ascii="Times New Roman" w:cs="Times New Roman" w:hAnsi="Times New Roman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4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bullet"/>
      <w:lvlText w:val="−"/>
      <w:lvlJc w:val="left"/>
      <w:pPr>
        <w:ind w:left="1429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cs="Times New Roman" w:hAnsi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07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bullet"/>
      <w:lvlText w:val="−"/>
      <w:lvlJc w:val="left"/>
      <w:pPr>
        <w:ind w:left="1440" w:hanging="360"/>
      </w:pPr>
      <w:rPr>
        <w:rFonts w:ascii="Times New Roman" w:cs="Times New Roman" w:hAnsi="Times New Roman"/>
      </w:rPr>
    </w:lvl>
    <w:lvl w:ilvl="1">
      <w:start w:val="1"/>
      <w:numFmt w:val="decimal"/>
      <w:lvlText w:val="%2."/>
      <w:lvlJc w:val="left"/>
      <w:pPr>
        <w:ind w:left="2790" w:hanging="990"/>
      </w:pPr>
      <w:rPr/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multiLevelType w:val="hybridMultilevel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>
    <w:multiLevelType w:val="hybridMultilevel"/>
    <w:lvl w:ilvl="0">
      <w:start w:val="1"/>
      <w:numFmt w:val="bullet"/>
      <w:lvlText w:val="−"/>
      <w:lvlJc w:val="left"/>
      <w:pPr>
        <w:ind w:left="1429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9">
    <w:multiLevelType w:val="hybridMultilevel"/>
    <w:lvl w:ilvl="0">
      <w:start w:val="1"/>
      <w:numFmt w:val="bullet"/>
      <w:lvlText w:val="−"/>
      <w:lvlJc w:val="left"/>
      <w:pPr>
        <w:ind w:left="1287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20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multiLevelType w:val="hybridMultilevel"/>
    <w:lvl w:ilvl="0">
      <w:start w:val="1"/>
      <w:numFmt w:val="bullet"/>
      <w:lvlText w:val="−"/>
      <w:lvlJc w:val="left"/>
      <w:pPr>
        <w:ind w:left="144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multiLevelType w:val="hybridMultilevel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435" w:hanging="360"/>
      </w:pPr>
      <w:rPr/>
    </w:lvl>
    <w:lvl w:ilvl="1">
      <w:start w:val="1"/>
      <w:numFmt w:val="lowerLetter"/>
      <w:lvlText w:val="%2."/>
      <w:lvlJc w:val="left"/>
      <w:pPr>
        <w:ind w:left="1155" w:hanging="360"/>
      </w:pPr>
    </w:lvl>
    <w:lvl w:ilvl="2">
      <w:start w:val="1"/>
      <w:numFmt w:val="lowerRoman"/>
      <w:lvlText w:val="%3."/>
      <w:lvlJc w:val="right"/>
      <w:pPr>
        <w:ind w:left="1875" w:hanging="180"/>
      </w:pPr>
    </w:lvl>
    <w:lvl w:ilvl="3">
      <w:start w:val="1"/>
      <w:numFmt w:val="decimal"/>
      <w:lvlText w:val="%4."/>
      <w:lvlJc w:val="left"/>
      <w:pPr>
        <w:ind w:left="2595" w:hanging="360"/>
      </w:pPr>
    </w:lvl>
    <w:lvl w:ilvl="4">
      <w:start w:val="1"/>
      <w:numFmt w:val="lowerLetter"/>
      <w:lvlText w:val="%5."/>
      <w:lvlJc w:val="left"/>
      <w:pPr>
        <w:ind w:left="3315" w:hanging="360"/>
      </w:pPr>
    </w:lvl>
    <w:lvl w:ilvl="5">
      <w:start w:val="1"/>
      <w:numFmt w:val="lowerRoman"/>
      <w:lvlText w:val="%6."/>
      <w:lvlJc w:val="right"/>
      <w:pPr>
        <w:ind w:left="4035" w:hanging="180"/>
      </w:pPr>
    </w:lvl>
    <w:lvl w:ilvl="6">
      <w:start w:val="1"/>
      <w:numFmt w:val="decimal"/>
      <w:lvlText w:val="%7."/>
      <w:lvlJc w:val="left"/>
      <w:pPr>
        <w:ind w:left="4755" w:hanging="360"/>
      </w:pPr>
    </w:lvl>
    <w:lvl w:ilvl="7">
      <w:start w:val="1"/>
      <w:numFmt w:val="lowerLetter"/>
      <w:lvlText w:val="%8."/>
      <w:lvlJc w:val="left"/>
      <w:pPr>
        <w:ind w:left="5475" w:hanging="360"/>
      </w:pPr>
    </w:lvl>
    <w:lvl w:ilvl="8">
      <w:start w:val="1"/>
      <w:numFmt w:val="lowerRoman"/>
      <w:lvlText w:val="%9."/>
      <w:lvlJc w:val="right"/>
      <w:pPr>
        <w:ind w:left="6195" w:hanging="180"/>
      </w:pPr>
    </w:lvl>
  </w:abstractNum>
  <w:abstractNum w:abstractNumId="31">
    <w:multiLevelType w:val="multilevel"/>
    <w:lvl w:ilvl="0">
      <w:start w:val="1"/>
      <w:numFmt w:val="decimal"/>
      <w:lvlText w:val="%1."/>
      <w:lvlJc w:val="left"/>
      <w:pPr>
        <w:ind w:left="450" w:hanging="450"/>
      </w:pPr>
      <w:rPr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sz w:val="28"/>
      </w:rPr>
    </w:lvl>
    <w:lvl w:ilvl="3">
      <w:start w:val="1"/>
      <w:numFmt w:val="decimal"/>
      <w:lvlText w:val="%1.%2.%3.%4."/>
      <w:lvlJc w:val="left"/>
      <w:pPr>
        <w:ind w:left="1080" w:hanging="1080"/>
      </w:pPr>
      <w:rPr/>
    </w:lvl>
    <w:lvl w:ilvl="4">
      <w:start w:val="1"/>
      <w:numFmt w:val="decimal"/>
      <w:lvlText w:val="%1.%2.%3.%4.%5."/>
      <w:lvlJc w:val="left"/>
      <w:pPr>
        <w:ind w:left="1080" w:hanging="1080"/>
      </w:pPr>
      <w:rPr/>
    </w:lvl>
    <w:lvl w:ilvl="5">
      <w:start w:val="1"/>
      <w:numFmt w:val="decimal"/>
      <w:lvlText w:val="%1.%2.%3.%4.%5.%6."/>
      <w:lvlJc w:val="left"/>
      <w:pPr>
        <w:ind w:left="1440" w:hanging="1440"/>
      </w:pPr>
      <w:rPr/>
    </w:lvl>
    <w:lvl w:ilvl="6">
      <w:start w:val="1"/>
      <w:numFmt w:val="decimal"/>
      <w:lvlText w:val="%1.%2.%3.%4.%5.%6.%7."/>
      <w:lvlJc w:val="left"/>
      <w:pPr>
        <w:ind w:left="1800" w:hanging="1800"/>
      </w:pPr>
      <w:rPr/>
    </w:lvl>
    <w:lvl w:ilvl="7">
      <w:start w:val="1"/>
      <w:numFmt w:val="decimal"/>
      <w:lvlText w:val="%1.%2.%3.%4.%5.%6.%7.%8."/>
      <w:lvlJc w:val="left"/>
      <w:pPr>
        <w:ind w:left="1800" w:hanging="1800"/>
      </w:pPr>
      <w:rPr/>
    </w:lvl>
    <w:lvl w:ilvl="8">
      <w:start w:val="1"/>
      <w:numFmt w:val="decimal"/>
      <w:lvlText w:val="%1.%2.%3.%4.%5.%6.%7.%8.%9."/>
      <w:lvlJc w:val="left"/>
      <w:pPr>
        <w:ind w:left="2160" w:hanging="2160"/>
      </w:pPr>
      <w:rPr/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069" w:hanging="360"/>
      </w:pPr>
      <w:rPr/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multiLevelType w:val="hybridMultilevel"/>
    <w:lvl w:ilvl="0">
      <w:start w:val="1"/>
      <w:numFmt w:val="bullet"/>
      <w:lvlText w:val="−"/>
      <w:lvlJc w:val="left"/>
      <w:pPr>
        <w:ind w:left="108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8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39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0">
    <w:multiLevelType w:val="hybridMultilevel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41">
    <w:multiLevelType w:val="hybridMultilevel"/>
    <w:lvl w:ilvl="0">
      <w:start w:val="1"/>
      <w:numFmt w:val="bullet"/>
      <w:lvlText w:val="−"/>
      <w:lvlJc w:val="left"/>
      <w:pPr>
        <w:ind w:left="720" w:hanging="360"/>
      </w:pPr>
      <w:rPr>
        <w:rFonts w:ascii="Times New Roman" w:cs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2">
    <w:multiLevelType w:val="hybridMultilevel"/>
    <w:lvl w:ilvl="0">
      <w:start w:val="1"/>
      <w:numFmt w:val="bullet"/>
      <w:lvlText w:val=""/>
      <w:lvlJc w:val="left"/>
      <w:pPr>
        <w:ind w:left="1502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222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2942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662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82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102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822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542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262" w:hanging="360"/>
      </w:pPr>
      <w:rPr>
        <w:rFonts w:ascii="Wingdings" w:hAnsi="Wingdings"/>
      </w:rPr>
    </w:lvl>
  </w:abstractNum>
  <w:abstractNum w:abstractNumId="43">
    <w:multiLevelType w:val="multilevel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4"/>
  </w:num>
  <w:num w:numId="2">
    <w:abstractNumId w:val="8"/>
  </w:num>
  <w:num w:numId="3">
    <w:abstractNumId w:val="14"/>
  </w:num>
  <w:num w:numId="4">
    <w:abstractNumId w:val="33"/>
  </w:num>
  <w:num w:numId="5">
    <w:abstractNumId w:val="2"/>
  </w:num>
  <w:num w:numId="6">
    <w:abstractNumId w:val="20"/>
  </w:num>
  <w:num w:numId="7">
    <w:abstractNumId w:val="13"/>
  </w:num>
  <w:num w:numId="8">
    <w:abstractNumId w:val="11"/>
  </w:num>
  <w:num w:numId="9">
    <w:abstractNumId w:val="0"/>
  </w:num>
  <w:num w:numId="10">
    <w:abstractNumId w:val="41"/>
  </w:num>
  <w:num w:numId="11">
    <w:abstractNumId w:val="5"/>
  </w:num>
  <w:num w:numId="12">
    <w:abstractNumId w:val="16"/>
  </w:num>
  <w:num w:numId="13">
    <w:abstractNumId w:val="3"/>
  </w:num>
  <w:num w:numId="14">
    <w:abstractNumId w:val="35"/>
  </w:num>
  <w:num w:numId="15">
    <w:abstractNumId w:val="4"/>
  </w:num>
  <w:num w:numId="16">
    <w:abstractNumId w:val="37"/>
  </w:num>
  <w:num w:numId="17">
    <w:abstractNumId w:val="28"/>
  </w:num>
  <w:num w:numId="18">
    <w:abstractNumId w:val="6"/>
  </w:num>
  <w:num w:numId="19">
    <w:abstractNumId w:val="36"/>
  </w:num>
  <w:num w:numId="20">
    <w:abstractNumId w:val="17"/>
  </w:num>
  <w:num w:numId="21">
    <w:abstractNumId w:val="24"/>
  </w:num>
  <w:num w:numId="22">
    <w:abstractNumId w:val="12"/>
  </w:num>
  <w:num w:numId="23">
    <w:abstractNumId w:val="22"/>
  </w:num>
  <w:num w:numId="24">
    <w:abstractNumId w:val="30"/>
  </w:num>
  <w:num w:numId="25">
    <w:abstractNumId w:val="23"/>
  </w:num>
  <w:num w:numId="26">
    <w:abstractNumId w:val="9"/>
  </w:num>
  <w:num w:numId="27">
    <w:abstractNumId w:val="32"/>
  </w:num>
  <w:num w:numId="28">
    <w:abstractNumId w:val="25"/>
  </w:num>
  <w:num w:numId="29">
    <w:abstractNumId w:val="29"/>
  </w:num>
  <w:num w:numId="30">
    <w:abstractNumId w:val="38"/>
  </w:num>
  <w:num w:numId="31">
    <w:abstractNumId w:val="43"/>
  </w:num>
  <w:num w:numId="32">
    <w:abstractNumId w:val="39"/>
  </w:num>
  <w:num w:numId="33">
    <w:abstractNumId w:val="31"/>
  </w:num>
  <w:num w:numId="34">
    <w:abstractNumId w:val="7"/>
  </w:num>
  <w:num w:numId="35">
    <w:abstractNumId w:val="21"/>
  </w:num>
  <w:num w:numId="36">
    <w:abstractNumId w:val="26"/>
  </w:num>
  <w:num w:numId="37">
    <w:abstractNumId w:val="1"/>
  </w:num>
  <w:num w:numId="38">
    <w:abstractNumId w:val="27"/>
  </w:num>
  <w:num w:numId="39">
    <w:abstractNumId w:val="10"/>
  </w:num>
  <w:num w:numId="40">
    <w:abstractNumId w:val="40"/>
  </w:num>
  <w:num w:numId="41">
    <w:abstractNumId w:val="34"/>
  </w:num>
  <w:num w:numId="42">
    <w:abstractNumId w:val="19"/>
  </w:num>
  <w:num w:numId="43">
    <w:abstractNumId w:val="42"/>
  </w:num>
  <w:num w:numId="44">
    <w:abstractNumId w:val="15"/>
  </w:num>
  <w:num w:numId="4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0C98"/>
    <w:rsid w:val="00046E12"/>
    <w:rsid w:val="00051738"/>
    <w:rsid w:val="00053E4A"/>
    <w:rsid w:val="00061265"/>
    <w:rsid w:val="000A42B2"/>
    <w:rsid w:val="000B3C37"/>
    <w:rsid w:val="000B78FA"/>
    <w:rsid w:val="000D216C"/>
    <w:rsid w:val="000F22FC"/>
    <w:rsid w:val="0010059A"/>
    <w:rsid w:val="00101773"/>
    <w:rsid w:val="00105369"/>
    <w:rsid w:val="0011072E"/>
    <w:rsid w:val="0016010B"/>
    <w:rsid w:val="001D6379"/>
    <w:rsid w:val="001E52AC"/>
    <w:rsid w:val="001F0C41"/>
    <w:rsid w:val="0022304A"/>
    <w:rsid w:val="00231B58"/>
    <w:rsid w:val="0024574F"/>
    <w:rsid w:val="002510B0"/>
    <w:rsid w:val="00257555"/>
    <w:rsid w:val="00281576"/>
    <w:rsid w:val="002852D5"/>
    <w:rsid w:val="002A4AAA"/>
    <w:rsid w:val="00352BB7"/>
    <w:rsid w:val="003677BD"/>
    <w:rsid w:val="00376F24"/>
    <w:rsid w:val="0038056D"/>
    <w:rsid w:val="00397013"/>
    <w:rsid w:val="003D0EF4"/>
    <w:rsid w:val="00445CC8"/>
    <w:rsid w:val="00462116"/>
    <w:rsid w:val="00476429"/>
    <w:rsid w:val="004C35F4"/>
    <w:rsid w:val="0050294D"/>
    <w:rsid w:val="00531D31"/>
    <w:rsid w:val="005612BF"/>
    <w:rsid w:val="005E5301"/>
    <w:rsid w:val="00601432"/>
    <w:rsid w:val="00605550"/>
    <w:rsid w:val="00612A5A"/>
    <w:rsid w:val="00614E0F"/>
    <w:rsid w:val="00651BB6"/>
    <w:rsid w:val="006526C8"/>
    <w:rsid w:val="00654563"/>
    <w:rsid w:val="0066644C"/>
    <w:rsid w:val="00676D57"/>
    <w:rsid w:val="00690924"/>
    <w:rsid w:val="006A2ED4"/>
    <w:rsid w:val="006D01A5"/>
    <w:rsid w:val="006D237F"/>
    <w:rsid w:val="006E0BB2"/>
    <w:rsid w:val="006F4354"/>
    <w:rsid w:val="006F5C26"/>
    <w:rsid w:val="00706CBB"/>
    <w:rsid w:val="00772CA8"/>
    <w:rsid w:val="00795A13"/>
    <w:rsid w:val="007A5FC0"/>
    <w:rsid w:val="007A6904"/>
    <w:rsid w:val="007B1DF9"/>
    <w:rsid w:val="00825C88"/>
    <w:rsid w:val="00834FCD"/>
    <w:rsid w:val="00853DA1"/>
    <w:rsid w:val="00855714"/>
    <w:rsid w:val="0088506C"/>
    <w:rsid w:val="008932F0"/>
    <w:rsid w:val="008C3691"/>
    <w:rsid w:val="008D688C"/>
    <w:rsid w:val="008F7A2C"/>
    <w:rsid w:val="00910203"/>
    <w:rsid w:val="0091300B"/>
    <w:rsid w:val="00931323"/>
    <w:rsid w:val="00960C98"/>
    <w:rsid w:val="009743C3"/>
    <w:rsid w:val="009B61F4"/>
    <w:rsid w:val="009C5077"/>
    <w:rsid w:val="009D0051"/>
    <w:rsid w:val="009D7ABE"/>
    <w:rsid w:val="009E46A3"/>
    <w:rsid w:val="009E6BDA"/>
    <w:rsid w:val="00A12588"/>
    <w:rsid w:val="00A31621"/>
    <w:rsid w:val="00A405B1"/>
    <w:rsid w:val="00AC3C67"/>
    <w:rsid w:val="00AE0269"/>
    <w:rsid w:val="00AF4BF2"/>
    <w:rsid w:val="00AF7C66"/>
    <w:rsid w:val="00B0520E"/>
    <w:rsid w:val="00B26F08"/>
    <w:rsid w:val="00B40C86"/>
    <w:rsid w:val="00B4491B"/>
    <w:rsid w:val="00B60E54"/>
    <w:rsid w:val="00B702AC"/>
    <w:rsid w:val="00BE6ED3"/>
    <w:rsid w:val="00C06BFF"/>
    <w:rsid w:val="00C079E3"/>
    <w:rsid w:val="00C52002"/>
    <w:rsid w:val="00C73CBA"/>
    <w:rsid w:val="00C74ABD"/>
    <w:rsid w:val="00C9799F"/>
    <w:rsid w:val="00CB05BE"/>
    <w:rsid w:val="00CF1140"/>
    <w:rsid w:val="00CF60B0"/>
    <w:rsid w:val="00D15F51"/>
    <w:rsid w:val="00D22149"/>
    <w:rsid w:val="00D34ABF"/>
    <w:rsid w:val="00D36B79"/>
    <w:rsid w:val="00D43552"/>
    <w:rsid w:val="00D61A83"/>
    <w:rsid w:val="00D958A9"/>
    <w:rsid w:val="00D96AC1"/>
    <w:rsid w:val="00DB707C"/>
    <w:rsid w:val="00DC5B6F"/>
    <w:rsid w:val="00DD0BDA"/>
    <w:rsid w:val="00DD204E"/>
    <w:rsid w:val="00DD3C47"/>
    <w:rsid w:val="00DE08A5"/>
    <w:rsid w:val="00DF6465"/>
    <w:rsid w:val="00E160E0"/>
    <w:rsid w:val="00E23914"/>
    <w:rsid w:val="00E31DBB"/>
    <w:rsid w:val="00E45829"/>
    <w:rsid w:val="00E837CC"/>
    <w:rsid w:val="00E941D2"/>
    <w:rsid w:val="00E95B0C"/>
    <w:rsid w:val="00E96A78"/>
    <w:rsid w:val="00EA3B28"/>
    <w:rsid w:val="00EB73DD"/>
    <w:rsid w:val="00EC0944"/>
    <w:rsid w:val="00EC6BF0"/>
    <w:rsid w:val="00ED0BC6"/>
    <w:rsid w:val="00ED3E7B"/>
    <w:rsid w:val="00EF37A5"/>
    <w:rsid w:val="00F67D49"/>
    <w:rsid w:val="00F758EF"/>
    <w:rsid w:val="00F75A72"/>
    <w:rsid w:val="00F93728"/>
    <w:rsid w:val="00FA0EC5"/>
    <w:rsid w:val="00FB147D"/>
    <w:rsid w:val="00FB63FE"/>
    <w:rsid w:val="00FC28B3"/>
    <w:rsid w:val="00FF2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time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2"/>
        <w:szCs w:val="22"/>
        <w:lang w:val="ru-RU" w:bidi="ar-SA" w:eastAsia="en-US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99"/>
    <w:qFormat w:val="on"/>
  </w:style>
  <w:style w:type="paragraph" w:styleId="Heading1">
    <w:name w:val="Heading 1"/>
    <w:basedOn w:val="Normal"/>
    <w:next w:val="Normal"/>
    <w:link w:val="Заголовок1Знак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Заголовок3Знак"/>
    <w:uiPriority w:val="99"/>
    <w:qFormat w:val="on"/>
    <w:pPr>
      <w:keepNext w:val="on"/>
      <w:shd w:val="clear" w:color="auto" w:fill="ffffff"/>
      <w:spacing w:after="0" w:line="326" w:lineRule="atLeast"/>
      <w:ind w:right="10"/>
      <w:jc w:val="center"/>
    </w:pPr>
    <w:rPr>
      <w:rFonts w:ascii="Times New Roman" w:cs="Times New Roman" w:eastAsia="Times New Roman" w:hAnsi="Times New Roman"/>
      <w:b/>
      <w:bCs/>
      <w:color w:val="000000"/>
      <w:spacing w:val="11"/>
      <w:sz w:val="34"/>
      <w:szCs w:val="34"/>
      <w:lang w:eastAsia="ru-RU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character" w:customStyle="1" w:styleId="Заголовок3Знак">
    <w:name w:val="Заголовок 3 Знак"/>
    <w:basedOn w:val="DefaultParagraphFont"/>
    <w:link w:val="Heading3"/>
    <w:uiPriority w:val="99"/>
    <w:rPr>
      <w:rFonts w:ascii="Times New Roman" w:cs="Times New Roman" w:eastAsia="Times New Roman" w:hAnsi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BodyTextIndent">
    <w:name w:val="Body Text Indent"/>
    <w:basedOn w:val="Normal"/>
    <w:link w:val="ОсновнойтекстсотступомЗнак"/>
    <w:uiPriority w:val="99"/>
    <w:pPr>
      <w:spacing w:after="0" w:line="240" w:lineRule="auto"/>
      <w:ind w:left="5245" w:hanging="4678"/>
      <w:jc w:val="both"/>
    </w:pPr>
    <w:rPr>
      <w:rFonts w:ascii="Times New Roman" w:cs="Times New Roman" w:eastAsia="Times New Roman" w:hAnsi="Times New Roman"/>
      <w:sz w:val="20"/>
      <w:szCs w:val="20"/>
      <w:lang w:eastAsia="ru-RU"/>
    </w:rPr>
  </w:style>
  <w:style w:type="character" w:customStyle="1" w:styleId="ОсновнойтекстсотступомЗнак">
    <w:name w:val="Основной текст с отступом Знак"/>
    <w:basedOn w:val="DefaultParagraphFont"/>
    <w:link w:val="BodyTextIndent"/>
    <w:uiPriority w:val="99"/>
    <w:rPr>
      <w:rFonts w:ascii="Times New Roman" w:cs="Times New Roman" w:eastAsia="Times New Roman" w:hAnsi="Times New Roman"/>
      <w:sz w:val="20"/>
      <w:szCs w:val="20"/>
      <w:lang w:eastAsia="ru-RU"/>
    </w:rPr>
  </w:style>
  <w:style w:type="paragraph" w:styleId="Header">
    <w:name w:val="Header"/>
    <w:basedOn w:val="Normal"/>
    <w:link w:val="ВерхнийколонтитулЗнак"/>
    <w:uiPriority w:val="99"/>
    <w:unhideWhenUsed w:val="on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ВерхнийколонтитулЗнак">
    <w:name w:val="Верхний колонтитул Знак"/>
    <w:basedOn w:val="DefaultParagraphFont"/>
    <w:link w:val="Header"/>
    <w:uiPriority w:val="99"/>
  </w:style>
  <w:style w:type="paragraph" w:styleId="Footer">
    <w:name w:val="Footer"/>
    <w:basedOn w:val="Normal"/>
    <w:link w:val="НижнийколонтитулЗнак"/>
    <w:uiPriority w:val="99"/>
    <w:unhideWhenUsed w:val="on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НижнийколонтитулЗнак">
    <w:name w:val="Нижний колонтитул Знак"/>
    <w:basedOn w:val="DefaultParagraphFont"/>
    <w:link w:val="Footer"/>
    <w:uiPriority w:val="99"/>
  </w:style>
  <w:style w:type="table" w:styleId="TableGrid">
    <w:name w:val="Table Grid"/>
    <w:basedOn w:val="NormalTable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BodyText3">
    <w:name w:val="Body Text 3"/>
    <w:basedOn w:val="Normal"/>
    <w:link w:val="Основнойтекст3Знак"/>
    <w:uiPriority w:val="99"/>
    <w:unhideWhenUsed w:val="on"/>
    <w:unhideWhenUsed w:val="on"/>
    <w:pPr>
      <w:spacing w:after="120"/>
    </w:pPr>
    <w:rPr>
      <w:sz w:val="16"/>
      <w:szCs w:val="16"/>
    </w:rPr>
  </w:style>
  <w:style w:type="character" w:customStyle="1" w:styleId="Основнойтекст3Знак">
    <w:name w:val="Основной текст 3 Знак"/>
    <w:basedOn w:val="DefaultParagraphFont"/>
    <w:link w:val="BodyText3"/>
    <w:uiPriority w:val="99"/>
    <w:rPr>
      <w:sz w:val="16"/>
      <w:szCs w:val="16"/>
    </w:rPr>
  </w:style>
  <w:style w:type="character" w:customStyle="1" w:styleId="Blind_label">
    <w:name w:val="Blind_label"/>
    <w:basedOn w:val="DefaultParagraphFont"/>
    <w:uiPriority w:val="99"/>
  </w:style>
  <w:style w:type="paragraph" w:styleId="BalloonText">
    <w:name w:val="Balloon Text"/>
    <w:basedOn w:val="Normal"/>
    <w:link w:val="ТекствыноскиЗнак"/>
    <w:uiPriority w:val="99"/>
    <w:semiHidden w:val="on"/>
    <w:unhideWhenUsed w:val="on"/>
    <w:unhideWhenUsed w:val="on"/>
    <w:pPr>
      <w:spacing w:after="0" w:line="240" w:lineRule="auto"/>
    </w:pPr>
    <w:rPr>
      <w:rFonts w:ascii="Tahoma" w:cs="Tahoma" w:hAnsi="Tahoma"/>
      <w:sz w:val="16"/>
      <w:szCs w:val="16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Tahoma" w:cs="Tahoma" w:hAnsi="Tahoma"/>
      <w:sz w:val="16"/>
      <w:szCs w:val="16"/>
    </w:rPr>
  </w:style>
  <w:style w:type="paragraph" w:styleId="Normal(Web)">
    <w:name w:val="Normal (Web)"/>
    <w:basedOn w:val="Normal"/>
    <w:uiPriority w:val="99"/>
    <w:unhideWhenUsed w:val="on"/>
    <w:unhideWhenUsed w:val="on"/>
    <w:pPr>
      <w:spacing w:before="100" w:after="100" w:line="240" w:lineRule="auto"/>
    </w:pPr>
    <w:rPr>
      <w:rFonts w:ascii="Times New Roman" w:cs="Times New Roman" w:eastAsia="Times New Roman" w:hAnsi="Times New Roman"/>
      <w:sz w:val="24"/>
      <w:szCs w:val="24"/>
      <w:lang w:eastAsia="ru-RU"/>
    </w:rPr>
  </w:style>
  <w:style w:type="paragraph" w:styleId="BodyText">
    <w:name w:val="Body Text"/>
    <w:basedOn w:val="Normal"/>
    <w:link w:val="ОсновнойтекстЗнак"/>
    <w:uiPriority w:val="99"/>
    <w:unhideWhenUsed w:val="on"/>
    <w:unhideWhenUsed w:val="on"/>
    <w:pPr>
      <w:spacing w:after="120"/>
    </w:pPr>
  </w:style>
  <w:style w:type="character" w:customStyle="1" w:styleId="ОсновнойтекстЗнак">
    <w:name w:val="Основной текст Знак"/>
    <w:basedOn w:val="DefaultParagraphFont"/>
    <w:link w:val="BodyText"/>
    <w:uiPriority w:val="99"/>
  </w:style>
  <w:style w:type="table" w:customStyle="1" w:styleId="Сеткатаблицы1">
    <w:name w:val="Сетка таблицы1"/>
    <w:basedOn w:val="NormalTable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character" w:styleId="Hyperlink">
    <w:name w:val="Hyperlink"/>
    <w:basedOn w:val="DefaultParagraphFont"/>
    <w:uiPriority w:val="99"/>
    <w:semiHidden w:val="on"/>
    <w:unhideWhenUsed w:val="on"/>
    <w:unhideWhenUsed w:val="on"/>
    <w:rPr>
      <w:color w:val="0000ff"/>
      <w:u w:val="single"/>
    </w:rPr>
  </w:style>
  <w:style w:type="table" w:customStyle="1" w:styleId="Сеткатаблицы2">
    <w:name w:val="Сетка таблицы2"/>
    <w:basedOn w:val="NormalTable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Заголовок1Знак">
    <w:name w:val="Заголовок 1 Знак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f81bd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>
      <w:numPr>
        <w:ilvl w:val="1"/>
        <w:numId w:val="0"/>
      </w:numPr>
    </w:pPr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 w:themeColor="accent1"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Envelopeaddress">
    <w:name w:val="Envelope address"/>
    <w:basedOn w:val="Normal"/>
    <w:uiPriority w:val="99"/>
    <w:unhideWhenUsed w:val="on"/>
    <w:unhideWhenUsed w:val="on"/>
    <w:pPr>
      <w:spacing w:after="0" w:line="240" w:lineRule="auto"/>
      <w:ind w:left="2880"/>
    </w:pPr>
    <w:rPr>
      <w:rFonts w:asciiTheme="majorHAnsi" w:cstheme="majorBidi" w:eastAsiaTheme="majorEastAsia" w:hAnsiTheme="majorHAnsi"/>
      <w:sz w:val="24"/>
    </w:rPr>
  </w:style>
  <w:style w:type="paragraph" w:styleId="Envelopereturn">
    <w:name w:val="Envelope return"/>
    <w:basedOn w:val="Normal"/>
    <w:uiPriority w:val="99"/>
    <w:unhideWhenUsed w:val="on"/>
    <w:unhideWhenUsed w:val="on"/>
    <w:pPr>
      <w:spacing w:after="0" w:line="240" w:lineRule="auto"/>
    </w:pPr>
    <w:rPr>
      <w:rFonts w:asciiTheme="majorHAnsi" w:cstheme="majorBidi" w:eastAsiaTheme="majorEastAsia" w:hAnsiTheme="majorHAnsi"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545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DF646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7A2C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9"/>
    <w:rsid w:val="00DF6465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a4">
    <w:name w:val="Body Text Indent"/>
    <w:basedOn w:val="a"/>
    <w:link w:val="a5"/>
    <w:uiPriority w:val="99"/>
    <w:rsid w:val="002510B0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2510B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376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76F24"/>
  </w:style>
  <w:style w:type="paragraph" w:styleId="a8">
    <w:name w:val="footer"/>
    <w:basedOn w:val="a"/>
    <w:link w:val="a9"/>
    <w:uiPriority w:val="99"/>
    <w:unhideWhenUsed/>
    <w:rsid w:val="00376F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76F24"/>
  </w:style>
  <w:style w:type="table" w:styleId="aa">
    <w:name w:val="Table Grid"/>
    <w:basedOn w:val="a1"/>
    <w:uiPriority w:val="59"/>
    <w:rsid w:val="00445C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Body Text 3"/>
    <w:basedOn w:val="a"/>
    <w:link w:val="32"/>
    <w:uiPriority w:val="99"/>
    <w:unhideWhenUsed/>
    <w:rsid w:val="00D36B79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D36B79"/>
    <w:rPr>
      <w:sz w:val="16"/>
      <w:szCs w:val="16"/>
    </w:rPr>
  </w:style>
  <w:style w:type="character" w:customStyle="1" w:styleId="blindlabel">
    <w:name w:val="blind_label"/>
    <w:basedOn w:val="a0"/>
    <w:rsid w:val="00C52002"/>
  </w:style>
  <w:style w:type="paragraph" w:styleId="ab">
    <w:name w:val="Balloon Text"/>
    <w:basedOn w:val="a"/>
    <w:link w:val="ac"/>
    <w:uiPriority w:val="99"/>
    <w:semiHidden/>
    <w:unhideWhenUsed/>
    <w:rsid w:val="00C520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52002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1E52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f"/>
    <w:uiPriority w:val="99"/>
    <w:unhideWhenUsed/>
    <w:rsid w:val="00D61A83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rsid w:val="00D61A83"/>
  </w:style>
  <w:style w:type="table" w:customStyle="1" w:styleId="11">
    <w:name w:val="Сетка таблицы1"/>
    <w:basedOn w:val="a1"/>
    <w:next w:val="aa"/>
    <w:uiPriority w:val="59"/>
    <w:rsid w:val="00352B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Strong"/>
    <w:basedOn w:val="a0"/>
    <w:uiPriority w:val="22"/>
    <w:qFormat/>
    <w:rsid w:val="00E837CC"/>
    <w:rPr>
      <w:b/>
      <w:bCs/>
    </w:rPr>
  </w:style>
  <w:style w:type="character" w:styleId="af1">
    <w:name w:val="Hyperlink"/>
    <w:basedOn w:val="a0"/>
    <w:uiPriority w:val="99"/>
    <w:semiHidden/>
    <w:unhideWhenUsed/>
    <w:rsid w:val="00DC5B6F"/>
    <w:rPr>
      <w:color w:val="0000FF"/>
      <w:u w:val="single"/>
    </w:rPr>
  </w:style>
  <w:style w:type="table" w:customStyle="1" w:styleId="2">
    <w:name w:val="Сетка таблицы2"/>
    <w:basedOn w:val="a1"/>
    <w:next w:val="aa"/>
    <w:uiPriority w:val="59"/>
    <w:rsid w:val="00855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65456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23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984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8" w:space="11" w:color="EDEEF0"/>
                            <w:right w:val="none" w:sz="0" w:space="0" w:color="auto"/>
                          </w:divBdr>
                          <w:divsChild>
                            <w:div w:id="1916234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00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9054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471006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2261365">
          <w:marLeft w:val="-15"/>
          <w:marRight w:val="0"/>
          <w:marTop w:val="0"/>
          <w:marBottom w:val="0"/>
          <w:divBdr>
            <w:top w:val="none" w:sz="0" w:space="0" w:color="auto"/>
            <w:left w:val="single" w:sz="6" w:space="0" w:color="EDEEF0"/>
            <w:bottom w:val="single" w:sz="48" w:space="0" w:color="EDEEF0"/>
            <w:right w:val="single" w:sz="12" w:space="0" w:color="EDEEF0"/>
          </w:divBdr>
          <w:divsChild>
            <w:div w:id="315576920">
              <w:marLeft w:val="0"/>
              <w:marRight w:val="0"/>
              <w:marTop w:val="0"/>
              <w:marBottom w:val="0"/>
              <w:divBdr>
                <w:top w:val="single" w:sz="6" w:space="6" w:color="CFD9E1"/>
                <w:left w:val="single" w:sz="6" w:space="25" w:color="CFD9E1"/>
                <w:bottom w:val="single" w:sz="6" w:space="6" w:color="CFD9E1"/>
                <w:right w:val="single" w:sz="6" w:space="11" w:color="CFD9E1"/>
              </w:divBdr>
            </w:div>
            <w:div w:id="156614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252124">
                  <w:marLeft w:val="450"/>
                  <w:marRight w:val="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304062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0" w:color="D3D9DE"/>
                        <w:left w:val="single" w:sz="6" w:space="0" w:color="D3D9DE"/>
                        <w:bottom w:val="single" w:sz="6" w:space="0" w:color="D3D9DE"/>
                        <w:right w:val="single" w:sz="6" w:space="0" w:color="D3D9DE"/>
                      </w:divBdr>
                      <w:divsChild>
                        <w:div w:id="1050346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783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5D0DB"/>
                                <w:left w:val="single" w:sz="6" w:space="0" w:color="C5D0DB"/>
                                <w:bottom w:val="single" w:sz="6" w:space="0" w:color="C5D0DB"/>
                                <w:right w:val="single" w:sz="6" w:space="0" w:color="C5D0DB"/>
                              </w:divBdr>
                              <w:divsChild>
                                <w:div w:id="1816099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4649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0742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19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34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2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1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33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95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906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48" w:space="11" w:color="EDEEF0"/>
                            <w:right w:val="none" w:sz="0" w:space="0" w:color="auto"/>
                          </w:divBdr>
                          <w:divsChild>
                            <w:div w:id="1808011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3611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173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4049554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495932">
          <w:marLeft w:val="-15"/>
          <w:marRight w:val="0"/>
          <w:marTop w:val="0"/>
          <w:marBottom w:val="0"/>
          <w:divBdr>
            <w:top w:val="none" w:sz="0" w:space="0" w:color="auto"/>
            <w:left w:val="single" w:sz="6" w:space="0" w:color="EDEEF0"/>
            <w:bottom w:val="single" w:sz="48" w:space="0" w:color="EDEEF0"/>
            <w:right w:val="single" w:sz="12" w:space="0" w:color="EDEEF0"/>
          </w:divBdr>
          <w:divsChild>
            <w:div w:id="1422531349">
              <w:marLeft w:val="0"/>
              <w:marRight w:val="0"/>
              <w:marTop w:val="0"/>
              <w:marBottom w:val="0"/>
              <w:divBdr>
                <w:top w:val="single" w:sz="6" w:space="6" w:color="CFD9E1"/>
                <w:left w:val="single" w:sz="6" w:space="25" w:color="CFD9E1"/>
                <w:bottom w:val="single" w:sz="6" w:space="6" w:color="CFD9E1"/>
                <w:right w:val="single" w:sz="6" w:space="11" w:color="CFD9E1"/>
              </w:divBdr>
            </w:div>
            <w:div w:id="123994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525491">
                  <w:marLeft w:val="450"/>
                  <w:marRight w:val="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246974">
                      <w:marLeft w:val="0"/>
                      <w:marRight w:val="0"/>
                      <w:marTop w:val="0"/>
                      <w:marBottom w:val="180"/>
                      <w:divBdr>
                        <w:top w:val="single" w:sz="6" w:space="0" w:color="D3D9DE"/>
                        <w:left w:val="single" w:sz="6" w:space="0" w:color="D3D9DE"/>
                        <w:bottom w:val="single" w:sz="6" w:space="0" w:color="D3D9DE"/>
                        <w:right w:val="single" w:sz="6" w:space="0" w:color="D3D9DE"/>
                      </w:divBdr>
                      <w:divsChild>
                        <w:div w:id="1656370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631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C5D0DB"/>
                                <w:left w:val="single" w:sz="6" w:space="0" w:color="C5D0DB"/>
                                <w:bottom w:val="single" w:sz="6" w:space="0" w:color="C5D0DB"/>
                                <w:right w:val="single" w:sz="6" w:space="0" w:color="C5D0DB"/>
                              </w:divBdr>
                              <w:divsChild>
                                <w:div w:id="84273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81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69605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032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19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8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5" Type="http://schemas.openxmlformats.org/officeDocument/2006/relationships/settings" Target="settings.xml"/><Relationship Id="rId58" Type="http://schemas.openxmlformats.org/officeDocument/2006/relationships/header" Target="header1.xml"/><Relationship Id="rId59" Type="http://schemas.openxmlformats.org/officeDocument/2006/relationships/footer" Target="footer1.xml"/><Relationship Id="rId60" Type="http://schemas.openxmlformats.org/officeDocument/2006/relationships/fontTable" Target="fontTable.xml"/><Relationship Id="rId61" Type="http://schemas.openxmlformats.org/officeDocument/2006/relationships/theme" Target="theme/theme1.xml"/><Relationship Id="rId62" Type="http://schemas.openxmlformats.org/officeDocument/2006/relationships/image" Target="media/image1.jpeg"/><Relationship Id="rId63" Type="http://schemas.openxmlformats.org/officeDocument/2006/relationships/image" Target="media/image2.jpeg"/><Relationship Id="rId64" Type="http://schemas.openxmlformats.org/officeDocument/2006/relationships/image" Target="media/image3.jpeg"/><Relationship Id="rId65" Type="http://schemas.openxmlformats.org/officeDocument/2006/relationships/header" Target="header1.xml"/><Relationship Id="rId66" Type="http://schemas.openxmlformats.org/officeDocument/2006/relationships/footer" Target="footer1.xml"/><Relationship Id="rId67" Type="http://schemas.openxmlformats.org/officeDocument/2006/relationships/image" Target="media/image1.jpeg"/><Relationship Id="rId68" Type="http://schemas.openxmlformats.org/officeDocument/2006/relationships/image" Target="media/image2.jpeg"/><Relationship Id="rId69" Type="http://schemas.openxmlformats.org/officeDocument/2006/relationships/image" Target="media/image3.jpeg"/><Relationship Id="rId7" Type="http://schemas.openxmlformats.org/officeDocument/2006/relationships/footnotes" Target="footnotes.xml"/><Relationship Id="rId70" Type="http://schemas.openxmlformats.org/officeDocument/2006/relationships/image" Target="media/image4.jpeg"/><Relationship Id="rId71" Type="http://schemas.openxmlformats.org/officeDocument/2006/relationships/header" Target="header1.xml"/><Relationship Id="rId72" Type="http://schemas.openxmlformats.org/officeDocument/2006/relationships/footer" Target="footer1.xml"/><Relationship Id="rId8" Type="http://schemas.openxmlformats.org/officeDocument/2006/relationships/endnotes" Target="endnotes.xml"/><Relationship Id="rId1" Type="http://schemas.openxmlformats.org/officeDocument/2006/relationships/customXml" Target="../customXml/item1.xml"/><Relationship Id="rId4" Type="http://schemas.microsoft.com/office/2007/relationships/stylesWithEffects" Target="stylesWithEffects.xml"/><Relationship Id="rId6" Type="http://schemas.openxmlformats.org/officeDocument/2006/relationships/webSettings" Target="webSettings.xml"/><Relationship Id="rId9" Type="http://schemas.openxmlformats.org/officeDocument/2006/relationships/image" Target="media/image1.wmf"/><Relationship Id="rId10" Type="http://schemas.openxmlformats.org/officeDocument/2006/relationships/oleObject" Target="embeddings/oleObject1.bin"/><Relationship Id="rId11" Type="http://schemas.openxmlformats.org/officeDocument/2006/relationships/image" Target="media/image2.wmf"/><Relationship Id="rId12" Type="http://schemas.openxmlformats.org/officeDocument/2006/relationships/oleObject" Target="embeddings/oleObject2.bin"/><Relationship Id="rId13" Type="http://schemas.openxmlformats.org/officeDocument/2006/relationships/image" Target="media/image3.wmf"/><Relationship Id="rId14" Type="http://schemas.openxmlformats.org/officeDocument/2006/relationships/oleObject" Target="embeddings/oleObject3.bin"/><Relationship Id="rId15" Type="http://schemas.openxmlformats.org/officeDocument/2006/relationships/image" Target="media/image4.wmf"/><Relationship Id="rId16" Type="http://schemas.openxmlformats.org/officeDocument/2006/relationships/oleObject" Target="embeddings/oleObject4.bin"/><Relationship Id="rId17" Type="http://schemas.openxmlformats.org/officeDocument/2006/relationships/oleObject" Target="embeddings/oleObject5.bin"/><Relationship Id="rId18" Type="http://schemas.openxmlformats.org/officeDocument/2006/relationships/oleObject" Target="embeddings/oleObject6.bin"/><Relationship Id="rId19" Type="http://schemas.openxmlformats.org/officeDocument/2006/relationships/image" Target="media/image5.wmf"/><Relationship Id="rId20" Type="http://schemas.openxmlformats.org/officeDocument/2006/relationships/oleObject" Target="embeddings/oleObject7.bin"/><Relationship Id="rId21" Type="http://schemas.openxmlformats.org/officeDocument/2006/relationships/image" Target="media/image6.wmf"/><Relationship Id="rId22" Type="http://schemas.openxmlformats.org/officeDocument/2006/relationships/oleObject" Target="embeddings/oleObject8.bin"/><Relationship Id="rId23" Type="http://schemas.openxmlformats.org/officeDocument/2006/relationships/image" Target="media/image7.wmf"/><Relationship Id="rId24" Type="http://schemas.openxmlformats.org/officeDocument/2006/relationships/oleObject" Target="embeddings/oleObject9.bin"/><Relationship Id="rId25" Type="http://schemas.openxmlformats.org/officeDocument/2006/relationships/image" Target="media/image8.wmf"/><Relationship Id="rId26" Type="http://schemas.openxmlformats.org/officeDocument/2006/relationships/oleObject" Target="embeddings/oleObject10.bin"/><Relationship Id="rId27" Type="http://schemas.openxmlformats.org/officeDocument/2006/relationships/oleObject" Target="embeddings/oleObject11.bin"/><Relationship Id="rId28" Type="http://schemas.openxmlformats.org/officeDocument/2006/relationships/oleObject" Target="embeddings/oleObject12.bin"/><Relationship Id="rId29" Type="http://schemas.openxmlformats.org/officeDocument/2006/relationships/oleObject" Target="embeddings/oleObject13.bin"/><Relationship Id="rId30" Type="http://schemas.openxmlformats.org/officeDocument/2006/relationships/image" Target="media/image9.wmf"/><Relationship Id="rId31" Type="http://schemas.openxmlformats.org/officeDocument/2006/relationships/oleObject" Target="embeddings/oleObject14.bin"/><Relationship Id="rId32" Type="http://schemas.openxmlformats.org/officeDocument/2006/relationships/oleObject" Target="embeddings/oleObject15.bin"/><Relationship Id="rId33" Type="http://schemas.openxmlformats.org/officeDocument/2006/relationships/image" Target="media/image10.wmf"/><Relationship Id="rId34" Type="http://schemas.openxmlformats.org/officeDocument/2006/relationships/oleObject" Target="embeddings/oleObject16.bin"/><Relationship Id="rId35" Type="http://schemas.openxmlformats.org/officeDocument/2006/relationships/oleObject" Target="embeddings/oleObject17.bin"/><Relationship Id="rId36" Type="http://schemas.openxmlformats.org/officeDocument/2006/relationships/oleObject" Target="embeddings/oleObject18.bin"/><Relationship Id="rId37" Type="http://schemas.openxmlformats.org/officeDocument/2006/relationships/oleObject" Target="embeddings/oleObject19.bin"/><Relationship Id="rId38" Type="http://schemas.openxmlformats.org/officeDocument/2006/relationships/image" Target="media/image11.wmf"/><Relationship Id="rId39" Type="http://schemas.openxmlformats.org/officeDocument/2006/relationships/oleObject" Target="embeddings/oleObject20.bin"/><Relationship Id="rId40" Type="http://schemas.openxmlformats.org/officeDocument/2006/relationships/oleObject" Target="embeddings/oleObject21.bin"/><Relationship Id="rId41" Type="http://schemas.openxmlformats.org/officeDocument/2006/relationships/image" Target="media/image12.wmf"/><Relationship Id="rId42" Type="http://schemas.openxmlformats.org/officeDocument/2006/relationships/oleObject" Target="embeddings/oleObject22.bin"/><Relationship Id="rId43" Type="http://schemas.openxmlformats.org/officeDocument/2006/relationships/oleObject" Target="embeddings/oleObject23.bin"/><Relationship Id="rId44" Type="http://schemas.openxmlformats.org/officeDocument/2006/relationships/oleObject" Target="embeddings/oleObject24.bin"/><Relationship Id="rId45" Type="http://schemas.openxmlformats.org/officeDocument/2006/relationships/oleObject" Target="embeddings/oleObject25.bin"/><Relationship Id="rId46" Type="http://schemas.openxmlformats.org/officeDocument/2006/relationships/image" Target="media/image13.wmf"/><Relationship Id="rId47" Type="http://schemas.openxmlformats.org/officeDocument/2006/relationships/oleObject" Target="embeddings/oleObject26.bin"/><Relationship Id="rId48" Type="http://schemas.openxmlformats.org/officeDocument/2006/relationships/oleObject" Target="embeddings/oleObject27.bin"/><Relationship Id="rId49" Type="http://schemas.openxmlformats.org/officeDocument/2006/relationships/image" Target="media/image14.wmf"/><Relationship Id="rId50" Type="http://schemas.openxmlformats.org/officeDocument/2006/relationships/oleObject" Target="embeddings/oleObject28.bin"/><Relationship Id="rId51" Type="http://schemas.openxmlformats.org/officeDocument/2006/relationships/hyperlink" Target="https://ru.wikipedia.org/wiki/%D0%9C%D0%BE%D1%87%D0%B5%D0%B2%D0%BE%D0%B9_%D0%BF%D1%83%D0%B7%D1%8B%D1%80%D1%8C" TargetMode="External"/><Relationship Id="rId52" Type="http://schemas.openxmlformats.org/officeDocument/2006/relationships/hyperlink" Target="https://ru.wikipedia.org/wiki/%D0%9C%D0%BE%D1%87%D0%B5%D0%B8%D1%81%D0%BF%D1%83%D1%81%D0%BA%D0%B0%D1%82%D0%B5%D0%BB%D1%8C%D0%BD%D1%8B%D0%B9_%D0%BA%D0%B0%D0%BD%D0%B0%D0%BB" TargetMode="External"/><Relationship Id="rId53" Type="http://schemas.openxmlformats.org/officeDocument/2006/relationships/image" Target="media/image15.wmf"/><Relationship Id="rId54" Type="http://schemas.openxmlformats.org/officeDocument/2006/relationships/oleObject" Target="embeddings/oleObject29.bin"/><Relationship Id="rId55" Type="http://schemas.openxmlformats.org/officeDocument/2006/relationships/oleObject" Target="embeddings/oleObject30.bin"/><Relationship Id="rId56" Type="http://schemas.openxmlformats.org/officeDocument/2006/relationships/oleObject" Target="embeddings/oleObject31.bin"/><Relationship Id="rId57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5E75EE-AFFF-4D48-9F81-852A416A98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1580</TotalTime>
  <Pages>66</Pages>
  <Words>11642</Words>
  <Characters>66364</Characters>
  <Application>Microsoft Office Word</Application>
  <DocSecurity>0</DocSecurity>
  <Lines>553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unknown</cp:lastModifiedBy>
</cp:coreProperties>
</file>