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86433" w14:textId="48C302BC" w:rsidR="00F3419C" w:rsidRPr="00804C8F" w:rsidRDefault="00F3419C">
      <w:pPr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>Ответы на ситуационные задачи</w:t>
      </w:r>
    </w:p>
    <w:p w14:paraId="7C4CCEAB" w14:textId="570D24E3" w:rsidR="00F3419C" w:rsidRPr="00804C8F" w:rsidRDefault="00F3419C">
      <w:pPr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 xml:space="preserve">Ординатор </w:t>
      </w:r>
      <w:r w:rsidR="00804C8F" w:rsidRPr="00804C8F">
        <w:rPr>
          <w:rFonts w:ascii="Times New Roman" w:hAnsi="Times New Roman" w:cs="Times New Roman"/>
          <w:sz w:val="24"/>
          <w:szCs w:val="24"/>
        </w:rPr>
        <w:t>Николаенко Дарья Владимировна</w:t>
      </w:r>
      <w:r w:rsidRPr="00804C8F">
        <w:rPr>
          <w:rFonts w:ascii="Times New Roman" w:hAnsi="Times New Roman" w:cs="Times New Roman"/>
          <w:sz w:val="24"/>
          <w:szCs w:val="24"/>
        </w:rPr>
        <w:t xml:space="preserve"> – инфекционные болезни, группа 117</w:t>
      </w:r>
    </w:p>
    <w:p w14:paraId="625060F3" w14:textId="40A43ECB" w:rsidR="00F3419C" w:rsidRPr="00804C8F" w:rsidRDefault="00F3419C">
      <w:pPr>
        <w:rPr>
          <w:rFonts w:ascii="Times New Roman" w:hAnsi="Times New Roman" w:cs="Times New Roman"/>
          <w:sz w:val="24"/>
          <w:szCs w:val="24"/>
        </w:rPr>
      </w:pPr>
    </w:p>
    <w:p w14:paraId="7C7EA8F6" w14:textId="77777777" w:rsidR="00F3419C" w:rsidRPr="00804C8F" w:rsidRDefault="00F3419C" w:rsidP="00F3419C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Дисгормональные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заболевания и рак молочной железы</w:t>
      </w:r>
    </w:p>
    <w:p w14:paraId="7C9A3006" w14:textId="5FF834B5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 xml:space="preserve">Задача 1 </w:t>
      </w:r>
    </w:p>
    <w:p w14:paraId="79B5793C" w14:textId="77777777" w:rsidR="00F3419C" w:rsidRPr="00804C8F" w:rsidRDefault="00F3419C" w:rsidP="00F3419C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</w:t>
      </w:r>
      <w:bookmarkStart w:id="0" w:name="_GoBack"/>
      <w:bookmarkEnd w:id="0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, но и стали постоянными.</w:t>
      </w:r>
    </w:p>
    <w:p w14:paraId="41F8E5D0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1: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Предварительный диагноз?</w:t>
      </w:r>
    </w:p>
    <w:p w14:paraId="04952F83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2: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План обследования?</w:t>
      </w:r>
    </w:p>
    <w:p w14:paraId="6A4C6AFC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3: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Какая клиническая форма рака молочной железы?</w:t>
      </w:r>
    </w:p>
    <w:p w14:paraId="10B140CF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4: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 Выпишите рецепт на нестероидный противовоспалительный препарат (таблетки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кетонала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)?</w:t>
      </w:r>
    </w:p>
    <w:p w14:paraId="7B0FF0F4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5: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Какие ошибки допустил невролог?</w:t>
      </w:r>
    </w:p>
    <w:p w14:paraId="500AE9CE" w14:textId="15DFE11F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6C4BA325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1) Рак молочной железы IV стадии </w:t>
      </w:r>
      <w:proofErr w:type="gram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 так</w:t>
      </w:r>
      <w:proofErr w:type="gram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как скорее всего есть отдаленные метастазы)</w:t>
      </w:r>
    </w:p>
    <w:p w14:paraId="2CBEBE26" w14:textId="117576BD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2) Маммография, ФЛГ, УЗИ молочных желез, УЗИ органов брюшной полост</w:t>
      </w:r>
      <w:r w:rsid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и, </w:t>
      </w:r>
      <w:proofErr w:type="spellStart"/>
      <w:r w:rsid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сцинтиграфия</w:t>
      </w:r>
      <w:proofErr w:type="spellEnd"/>
      <w:r w:rsid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костей скелета.</w:t>
      </w:r>
    </w:p>
    <w:p w14:paraId="2C918D73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 Диффузный рак молочной железы (панцирная форма)</w:t>
      </w:r>
    </w:p>
    <w:p w14:paraId="66EC3FDA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4)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Rp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Tabl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Ketonali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0,01 N.20 D.S. Внутрь 1 таблетке 2 раз в сутки</w:t>
      </w:r>
    </w:p>
    <w:p w14:paraId="105A8E8D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5) Длительное наблюдение и консервативное лечение, назначение физиотерапии</w:t>
      </w:r>
    </w:p>
    <w:p w14:paraId="48CC20FA" w14:textId="7D1B7077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20B67CBE" w14:textId="13DC5413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06922895" w14:textId="262EF0D5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>Задача 2</w:t>
      </w:r>
    </w:p>
    <w:p w14:paraId="4879AAC0" w14:textId="77777777" w:rsidR="00F3419C" w:rsidRPr="00804C8F" w:rsidRDefault="00F3419C" w:rsidP="00F3419C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Пальпаторно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в </w:t>
      </w:r>
      <w:proofErr w:type="gram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верхне-наружных</w:t>
      </w:r>
      <w:proofErr w:type="gram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тяжистость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тканей.</w:t>
      </w:r>
    </w:p>
    <w:p w14:paraId="7E986F86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1: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Предполагаемый диагноз?</w:t>
      </w:r>
    </w:p>
    <w:p w14:paraId="38FB5779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2: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 При каком заболевании у мужчин могут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нагрубать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грудные железы и выделяться молозиво?</w:t>
      </w:r>
    </w:p>
    <w:p w14:paraId="1D579719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3: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Какие факторы усиливают клинические проявления данного заболевания в этом случае?</w:t>
      </w:r>
    </w:p>
    <w:p w14:paraId="444C6144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4: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 Выпишите рецепт на препарат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адеметионин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для улучшения функции печени?</w:t>
      </w:r>
    </w:p>
    <w:p w14:paraId="413C369C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5: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К какой диспансерной группе относится пациентка?</w:t>
      </w:r>
    </w:p>
    <w:p w14:paraId="71D9DA04" w14:textId="03F98028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7E99B294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 Диффузная мастопатия</w:t>
      </w:r>
    </w:p>
    <w:p w14:paraId="6964D904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2) Гинекомастия</w:t>
      </w:r>
    </w:p>
    <w:p w14:paraId="5CE65507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3) Хронический вирусный гепатит В, злоупотребление кофе</w:t>
      </w:r>
    </w:p>
    <w:p w14:paraId="0B58E0F0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Rp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.:</w:t>
      </w:r>
      <w:proofErr w:type="gram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Tabl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Ademetionini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0,4 N.10 D.S. Внутрь по 1 таблетке 2 раза в день</w:t>
      </w:r>
    </w:p>
    <w:p w14:paraId="6BBA002C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5)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Iа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группа</w:t>
      </w:r>
    </w:p>
    <w:p w14:paraId="15B6226D" w14:textId="59A57F89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3D1A85CF" w14:textId="4C3952EB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 xml:space="preserve">Задача 3 </w:t>
      </w:r>
    </w:p>
    <w:p w14:paraId="3560518B" w14:textId="77777777" w:rsidR="00F3419C" w:rsidRPr="00804C8F" w:rsidRDefault="00F3419C" w:rsidP="00F3419C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У больной 20 лет в </w:t>
      </w:r>
      <w:proofErr w:type="gram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верхне-наружном</w:t>
      </w:r>
      <w:proofErr w:type="gram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softHyphen/>
        <w:t>личены. Опухоль больная заметила месяц назад.</w:t>
      </w:r>
    </w:p>
    <w:p w14:paraId="4B2520CE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1: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Между какими заболеваниями Вы будете проводить дифференциальную диагности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softHyphen/>
        <w:t>ку?</w:t>
      </w:r>
    </w:p>
    <w:p w14:paraId="6A685A79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2: 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Каков алгоритм обследования?</w:t>
      </w:r>
    </w:p>
    <w:p w14:paraId="4063B36A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3: 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Наиболее вероятный диагноз?</w:t>
      </w:r>
    </w:p>
    <w:p w14:paraId="4BE6D315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4: 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Консультация какого специалиста необходима?</w:t>
      </w:r>
    </w:p>
    <w:p w14:paraId="713CA3D8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5: 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Какая операция предпочтительна в данной ситуации?</w:t>
      </w:r>
    </w:p>
    <w:p w14:paraId="4E2EE6F9" w14:textId="5F28B478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37A036E3" w14:textId="78481FB5" w:rsidR="00F3419C" w:rsidRPr="00804C8F" w:rsidRDefault="00F3419C" w:rsidP="00F3419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Фиброзно-кистозная мастопатия (киста? фиброаденома?), злокачественное новообразование</w:t>
      </w:r>
      <w:r w:rsidRPr="00804C8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2) УЗИ молочных желез, ФЛГ, ОАК, УЗТ органов брюшной полости, консультация гинеколога, онколога</w:t>
      </w:r>
      <w:r w:rsidRPr="00804C8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3) Фиброаденома</w:t>
      </w:r>
      <w:r w:rsidRPr="00804C8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4) консультация онколога-маммолога</w:t>
      </w:r>
      <w:r w:rsidRPr="00804C8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5) Секторальная резекция молочной железы</w:t>
      </w:r>
    </w:p>
    <w:p w14:paraId="4685061B" w14:textId="198A48DB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6919C383" w14:textId="1C6E5D25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50F82523" w14:textId="5AB5A19B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3725FBA6" w14:textId="77777777" w:rsidR="00F3419C" w:rsidRPr="00804C8F" w:rsidRDefault="00F3419C" w:rsidP="00F3419C">
      <w:pPr>
        <w:pStyle w:val="3"/>
        <w:shd w:val="clear" w:color="auto" w:fill="FFFFFF"/>
        <w:spacing w:before="0" w:beforeAutospacing="0"/>
        <w:rPr>
          <w:b w:val="0"/>
          <w:bCs w:val="0"/>
          <w:color w:val="1D2125"/>
          <w:sz w:val="24"/>
          <w:szCs w:val="24"/>
        </w:rPr>
      </w:pPr>
      <w:r w:rsidRPr="00804C8F">
        <w:rPr>
          <w:b w:val="0"/>
          <w:bCs w:val="0"/>
          <w:color w:val="1D2125"/>
          <w:sz w:val="24"/>
          <w:szCs w:val="24"/>
        </w:rPr>
        <w:t>Рак предстательной железы</w:t>
      </w:r>
    </w:p>
    <w:p w14:paraId="050594C0" w14:textId="22B68680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>Задача</w:t>
      </w:r>
    </w:p>
    <w:p w14:paraId="6BA21006" w14:textId="77777777" w:rsidR="00F3419C" w:rsidRPr="00804C8F" w:rsidRDefault="00F3419C" w:rsidP="00F3419C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омник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,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финастерид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proofErr w:type="gram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ф.кл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.,</w:t>
      </w:r>
      <w:proofErr w:type="gram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Per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rectum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гистол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заключение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ххх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: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мелкоацинарная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аденокарцинома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, индекс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Глисона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– 6, около 40% опухолевой ткани в положительных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биоптатах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ПСА 8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нг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эхогенности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10х12х10 мм. Объем остаточной мочи – 25 мл.</w:t>
      </w:r>
    </w:p>
    <w:p w14:paraId="434D9A22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1: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Диагноз?</w:t>
      </w:r>
    </w:p>
    <w:p w14:paraId="131EF02F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lastRenderedPageBreak/>
        <w:t>Вопрос 2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: О чем говорит индекс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Глиссона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?</w:t>
      </w:r>
    </w:p>
    <w:p w14:paraId="24F0E8C8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3: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Какие факторы могли повлиять на уровень ПСА у данного пациента?</w:t>
      </w:r>
    </w:p>
    <w:p w14:paraId="491F12DA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4: 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Какие дополнительные методы обследования необходимы для уточнения диагноза при появлении болей в костях?</w:t>
      </w:r>
    </w:p>
    <w:p w14:paraId="48231900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5: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План лечения?</w:t>
      </w:r>
    </w:p>
    <w:p w14:paraId="4F52A182" w14:textId="42CA1A88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217BEBF3" w14:textId="77777777" w:rsidR="00F3419C" w:rsidRPr="00804C8F" w:rsidRDefault="00F3419C" w:rsidP="00F3419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 Рак предстательной T2аN0M</w:t>
      </w: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2) О степени злокачественности (дифференцировки и вероятности распространения) опухоли - опухоли с суммой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Глисона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равной 6 баллам и менее, часто называют менее злокачественными (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low-grade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Gleason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score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3) Прием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финастерида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У пациентов, длительно принимающих ингибиторы 5-альфа-редуктазы, ПСА </w:t>
      </w:r>
      <w:proofErr w:type="gram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снижается.;</w:t>
      </w:r>
      <w:proofErr w:type="gram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4)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Остеосцинтиграфия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сцинтиграфия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скелета), ПЭТ-КТ</w:t>
      </w: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5) Наиболее целесообразным является проведение пациенту лучевой терапии (брахитерапии) с полной андрогенной блокадой</w:t>
      </w:r>
    </w:p>
    <w:p w14:paraId="2A177EED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5E68B509" w14:textId="3A4E12D7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59F7C322" w14:textId="77777777" w:rsidR="00F3419C" w:rsidRPr="00804C8F" w:rsidRDefault="00F3419C" w:rsidP="00F3419C">
      <w:pPr>
        <w:pStyle w:val="3"/>
        <w:shd w:val="clear" w:color="auto" w:fill="FFFFFF"/>
        <w:spacing w:before="0" w:beforeAutospacing="0"/>
        <w:rPr>
          <w:b w:val="0"/>
          <w:bCs w:val="0"/>
          <w:color w:val="1D2125"/>
          <w:sz w:val="24"/>
          <w:szCs w:val="24"/>
        </w:rPr>
      </w:pPr>
      <w:proofErr w:type="spellStart"/>
      <w:r w:rsidRPr="00804C8F">
        <w:rPr>
          <w:b w:val="0"/>
          <w:bCs w:val="0"/>
          <w:color w:val="1D2125"/>
          <w:sz w:val="24"/>
          <w:szCs w:val="24"/>
        </w:rPr>
        <w:t>Колоректальный</w:t>
      </w:r>
      <w:proofErr w:type="spellEnd"/>
      <w:r w:rsidRPr="00804C8F">
        <w:rPr>
          <w:b w:val="0"/>
          <w:bCs w:val="0"/>
          <w:color w:val="1D2125"/>
          <w:sz w:val="24"/>
          <w:szCs w:val="24"/>
        </w:rPr>
        <w:t xml:space="preserve"> рак</w:t>
      </w:r>
    </w:p>
    <w:p w14:paraId="60359367" w14:textId="719451FB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6219F75A" w14:textId="640AE2CC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>Задача</w:t>
      </w:r>
    </w:p>
    <w:p w14:paraId="4C8AD12B" w14:textId="77777777" w:rsidR="00F3419C" w:rsidRPr="00804C8F" w:rsidRDefault="00F3419C" w:rsidP="00F3419C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Больной С., 59 лет обратился в поликлинику по месту жительства с </w:t>
      </w:r>
      <w:proofErr w:type="gram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жалобами  на</w:t>
      </w:r>
      <w:proofErr w:type="gram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фиброколоноскопии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в печеночном углу ободочной кишки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экзофитная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04873EAF" w14:textId="77777777" w:rsidR="00F3419C" w:rsidRPr="00804C8F" w:rsidRDefault="00F3419C" w:rsidP="00F3419C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Укажите клиническую форму рака ободочной кишки?</w:t>
      </w:r>
    </w:p>
    <w:p w14:paraId="537C6DCE" w14:textId="77777777" w:rsidR="00F3419C" w:rsidRPr="00804C8F" w:rsidRDefault="00F3419C" w:rsidP="00F3419C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Какой предраковый процесс чаще предшествует раку ободочной кишки?</w:t>
      </w:r>
    </w:p>
    <w:p w14:paraId="678D5472" w14:textId="77777777" w:rsidR="00F3419C" w:rsidRPr="00804C8F" w:rsidRDefault="00F3419C" w:rsidP="00F3419C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Назовите самый информативный скрининг-тест на скрытую кровь при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колоректальном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раке?</w:t>
      </w:r>
    </w:p>
    <w:p w14:paraId="33ED86BC" w14:textId="77777777" w:rsidR="00F3419C" w:rsidRPr="00804C8F" w:rsidRDefault="00F3419C" w:rsidP="00F3419C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Объем оперативного лечения?</w:t>
      </w:r>
    </w:p>
    <w:p w14:paraId="3A56B4A9" w14:textId="2E107F3F" w:rsidR="00F3419C" w:rsidRPr="00804C8F" w:rsidRDefault="00F3419C" w:rsidP="00F3419C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Назовите наиболее распространенные схемы химиотерапии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колоректального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рака?</w:t>
      </w:r>
    </w:p>
    <w:p w14:paraId="49EE58AC" w14:textId="77777777" w:rsidR="00F3419C" w:rsidRPr="00804C8F" w:rsidRDefault="00F3419C" w:rsidP="00F3419C">
      <w:pPr>
        <w:shd w:val="clear" w:color="auto" w:fill="F8F9FA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14:paraId="10AB892C" w14:textId="372B7CC9" w:rsidR="00F3419C" w:rsidRPr="00804C8F" w:rsidRDefault="00F3419C" w:rsidP="00F3419C">
      <w:pPr>
        <w:pStyle w:val="a3"/>
        <w:numPr>
          <w:ilvl w:val="1"/>
          <w:numId w:val="3"/>
        </w:num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Токсико-анемическая форма</w:t>
      </w:r>
      <w:r w:rsidRPr="00804C8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2)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Аденоматозные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полипы, семейный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полипоз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ворсинчатые опухоли</w:t>
      </w:r>
      <w:r w:rsidRPr="00804C8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3) Иммунохимический тест определения скрытой крови IFOBT (FIT)</w:t>
      </w:r>
      <w:r w:rsidRPr="00804C8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4) Расширенная правосторонняя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гемиколэктомия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(с резекцией печеночного угла ободочной кишки)</w:t>
      </w:r>
      <w:r w:rsidRPr="00804C8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5) На 1-2 стадиях показаны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адъювантные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химиотерапевтические курсы режимов XELOX (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капецитабин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кселода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 +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оксалиплатин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 или FOLFOX (кальция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фолинат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лейковорин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 +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фторурацил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+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оксалиплатин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). В минимальном объеме химиотерапия при раке прямой кишки 3 </w:t>
      </w: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стадия проводится с использованием комбинации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фторпиримидинов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лейковорин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+ 5-фторурацил) или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таблетированного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капецитабина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Pr="00804C8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 терминальной стадии назначается паллиативная химиотерапия редуцированными дозами препаратов. Лечение направлено на ослабление болезненных симптомов, улучшение и продление жизни пациента. К используемым ранее режимам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фолинат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кальция (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лейковорин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 + 5-фторурацил +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иринотекан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 может добавляться поддерживающая терапия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оксалиплатином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фторпиримидином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или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иринотеканом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Pr="00804C8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последние годы доказана высокая эффективность препаратов из группы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моноклональных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антител (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бевацизумаб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панитумумаб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или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цетуксимаб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). Кроме того, используются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моноклональные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антитела, угнетающе действующие на фактор роста сосудистого эндотелия, обеспечивающий образование сосудов, ответственных за кровоснабжение опухоли (VEGF), например,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рамуцирумаб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или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афлиберцепт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65788ACE" w14:textId="0F4A44C8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2F3D5C50" w14:textId="600B309E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5856B908" w14:textId="77777777" w:rsidR="00F3419C" w:rsidRPr="00804C8F" w:rsidRDefault="00F3419C" w:rsidP="00F3419C">
      <w:pPr>
        <w:pStyle w:val="3"/>
        <w:shd w:val="clear" w:color="auto" w:fill="FFFFFF"/>
        <w:spacing w:before="0" w:beforeAutospacing="0"/>
        <w:rPr>
          <w:b w:val="0"/>
          <w:bCs w:val="0"/>
          <w:color w:val="1D2125"/>
          <w:sz w:val="24"/>
          <w:szCs w:val="24"/>
        </w:rPr>
      </w:pPr>
      <w:r w:rsidRPr="00804C8F">
        <w:rPr>
          <w:b w:val="0"/>
          <w:bCs w:val="0"/>
          <w:color w:val="1D2125"/>
          <w:sz w:val="24"/>
          <w:szCs w:val="24"/>
        </w:rPr>
        <w:t>Рак кожи, меланома</w:t>
      </w:r>
    </w:p>
    <w:p w14:paraId="28550926" w14:textId="12054379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6EFA2B15" w14:textId="56388E51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>Задача 1</w:t>
      </w:r>
    </w:p>
    <w:p w14:paraId="367140C1" w14:textId="77777777" w:rsidR="00F3419C" w:rsidRPr="00804C8F" w:rsidRDefault="00F3419C" w:rsidP="00F3419C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невус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в диаметре 0,7 см, неправильной формы, темно коричневого цвета с венчиком гиперемии.</w:t>
      </w:r>
    </w:p>
    <w:p w14:paraId="31CE0CFF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1: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Диагноз?</w:t>
      </w:r>
    </w:p>
    <w:p w14:paraId="48D56728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2: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Способ гистологической диагностики пигментной опухоли?</w:t>
      </w:r>
    </w:p>
    <w:p w14:paraId="3DE33F2D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3: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Тактика при доброкачественном характере пигментного образования?</w:t>
      </w:r>
    </w:p>
    <w:p w14:paraId="51FB6C6D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4: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Выписать рецепт на антисептик для наружного применения (этиловый спирт) при перевязках после операции?</w:t>
      </w:r>
    </w:p>
    <w:p w14:paraId="357B6B96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5: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Вариант профилактики у данного больного?</w:t>
      </w:r>
    </w:p>
    <w:p w14:paraId="52B89F41" w14:textId="297FF765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5B8FD66C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1) Пигментный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невус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кожи щеки, механическая </w:t>
      </w:r>
      <w:proofErr w:type="gram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травма.;</w:t>
      </w:r>
      <w:proofErr w:type="gramEnd"/>
    </w:p>
    <w:p w14:paraId="3821E100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2)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Эксцизионная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биопсия под местной анестезий со срочным гистологическим </w:t>
      </w:r>
      <w:proofErr w:type="gram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исследованием.;</w:t>
      </w:r>
      <w:proofErr w:type="gramEnd"/>
    </w:p>
    <w:p w14:paraId="06C188D5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3) Ограничение объема операции тотальной биопсией </w:t>
      </w:r>
      <w:proofErr w:type="gram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опухоли.;</w:t>
      </w:r>
      <w:proofErr w:type="gramEnd"/>
    </w:p>
    <w:p w14:paraId="49AAFFF6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Rp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.:</w:t>
      </w:r>
      <w:proofErr w:type="gram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Sol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Ethanoli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95%-100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ml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N.1 S. Применять для приготовления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полуспиртовых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повязок.;</w:t>
      </w:r>
    </w:p>
    <w:p w14:paraId="402A5D21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5) Вторичная профилактика.</w:t>
      </w:r>
    </w:p>
    <w:p w14:paraId="2D42B775" w14:textId="34438FE2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1EF3A33A" w14:textId="03C99E8C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68D4165B" w14:textId="523825BA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>Задача 2</w:t>
      </w:r>
      <w:r w:rsidRPr="00804C8F">
        <w:rPr>
          <w:rFonts w:ascii="Times New Roman" w:hAnsi="Times New Roman" w:cs="Times New Roman"/>
          <w:sz w:val="24"/>
          <w:szCs w:val="24"/>
        </w:rPr>
        <w:br/>
      </w:r>
    </w:p>
    <w:p w14:paraId="5D7BFBB8" w14:textId="77777777" w:rsidR="00F3419C" w:rsidRPr="00804C8F" w:rsidRDefault="00F3419C" w:rsidP="00F3419C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lastRenderedPageBreak/>
        <w:t xml:space="preserve">которое за прошедший месяц увеличилось в 2 раза. В паховой области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пальпаторно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определяются плотные, не спаянные с кожей, безболезненные лимфатические узлы диаметром 1,5 см.</w:t>
      </w:r>
    </w:p>
    <w:p w14:paraId="7874A7E5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1: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Диагноз?</w:t>
      </w:r>
    </w:p>
    <w:p w14:paraId="2E59E52B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2: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Клиническая форма и гистологический вариант опухоли?</w:t>
      </w:r>
    </w:p>
    <w:p w14:paraId="49B96887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3: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 Методы морфологической верификации первичного очага и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лимфогенных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метастазов?</w:t>
      </w:r>
    </w:p>
    <w:p w14:paraId="68EBEEF0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4: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Выпишите рецепт на кожный антисептик (хлоргексидин) для обработки операционного поля?</w:t>
      </w:r>
    </w:p>
    <w:p w14:paraId="3E3A5C9B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5: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Объем операции у данного пациента?</w:t>
      </w:r>
    </w:p>
    <w:p w14:paraId="4F0C36FF" w14:textId="0A0AEC2A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0F268575" w14:textId="614F14BA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</w:t>
      </w:r>
      <w:r w:rsid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Рак кожи.</w:t>
      </w:r>
    </w:p>
    <w:p w14:paraId="53DA9B37" w14:textId="390A78E3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2)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Фунгоз</w:t>
      </w:r>
      <w:r w:rsid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ная</w:t>
      </w:r>
      <w:proofErr w:type="spellEnd"/>
      <w:r w:rsid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форма, плоскоклеточный рак.</w:t>
      </w:r>
    </w:p>
    <w:p w14:paraId="0481724A" w14:textId="7A34336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3) Выполнить соскоб с поверхности опухоли и пункцию лимфатического узла </w:t>
      </w:r>
      <w:r w:rsid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цитологическим исследованием.</w:t>
      </w:r>
    </w:p>
    <w:p w14:paraId="750A242C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Rp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.:</w:t>
      </w:r>
      <w:proofErr w:type="gram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Sol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Chlorhexidini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Bigluconati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20% - 100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ml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D.S. Для обработки операционного поля разводят 20% раствор спиртом в соотношении 1:40. Полученным 0,5% водно-спиртовым раствором хлоргексидина обрабатывают операционное поле 2 раза с интервалом 2 мин.;</w:t>
      </w:r>
    </w:p>
    <w:p w14:paraId="211A9B08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5) Широкое иссечение опухоли кожи бедра с пластикой свободным кожным лоскутом, операция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Дюкена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6012B4BD" w14:textId="14BA3CE1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47BE3557" w14:textId="67112DE2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191A2ACB" w14:textId="1BE8729C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3F817B60" w14:textId="6566EE42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10B3F3CE" w14:textId="77777777" w:rsidR="00F3419C" w:rsidRPr="00804C8F" w:rsidRDefault="00F3419C" w:rsidP="00F3419C">
      <w:pPr>
        <w:pStyle w:val="3"/>
        <w:shd w:val="clear" w:color="auto" w:fill="FFFFFF"/>
        <w:spacing w:before="0" w:beforeAutospacing="0"/>
        <w:rPr>
          <w:b w:val="0"/>
          <w:bCs w:val="0"/>
          <w:color w:val="1D2125"/>
          <w:sz w:val="24"/>
          <w:szCs w:val="24"/>
        </w:rPr>
      </w:pPr>
      <w:r w:rsidRPr="00804C8F">
        <w:rPr>
          <w:b w:val="0"/>
          <w:bCs w:val="0"/>
          <w:color w:val="1D2125"/>
          <w:sz w:val="24"/>
          <w:szCs w:val="24"/>
        </w:rPr>
        <w:t>Рак шейки матки</w:t>
      </w:r>
    </w:p>
    <w:p w14:paraId="38CF58C2" w14:textId="4EA3E56F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>Задача</w:t>
      </w:r>
    </w:p>
    <w:p w14:paraId="41DD0E5A" w14:textId="77777777" w:rsidR="00F3419C" w:rsidRPr="00804C8F" w:rsidRDefault="00F3419C" w:rsidP="00F3419C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параметрий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587C69D6" w14:textId="77777777" w:rsidR="00F3419C" w:rsidRPr="00804C8F" w:rsidRDefault="00F3419C" w:rsidP="00F3419C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37F51A19" w14:textId="77777777" w:rsidR="00F3419C" w:rsidRPr="00804C8F" w:rsidRDefault="00F3419C" w:rsidP="00F3419C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параметрий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и смежные органы?</w:t>
      </w:r>
    </w:p>
    <w:p w14:paraId="50F70560" w14:textId="77777777" w:rsidR="00F3419C" w:rsidRPr="00804C8F" w:rsidRDefault="00F3419C" w:rsidP="00F3419C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 какой группе заболеваний нужно отнести эрозию шейки матки?</w:t>
      </w:r>
    </w:p>
    <w:p w14:paraId="2F961AFA" w14:textId="77777777" w:rsidR="00F3419C" w:rsidRPr="00804C8F" w:rsidRDefault="00F3419C" w:rsidP="00F3419C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Назовите стандарт цервикального скрининга шейки матки на поликлиническом уровне?</w:t>
      </w:r>
    </w:p>
    <w:p w14:paraId="2C95C043" w14:textId="77777777" w:rsidR="00F3419C" w:rsidRPr="00804C8F" w:rsidRDefault="00F3419C" w:rsidP="00F3419C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lastRenderedPageBreak/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параметрий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?</w:t>
      </w:r>
    </w:p>
    <w:p w14:paraId="05E73D59" w14:textId="77777777" w:rsidR="00F3419C" w:rsidRPr="00804C8F" w:rsidRDefault="00F3419C" w:rsidP="00F3419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2C86B848" w14:textId="77777777" w:rsidR="00F3419C" w:rsidRPr="00804C8F" w:rsidRDefault="00F3419C" w:rsidP="00F3419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22B9F4F4" w14:textId="13292540" w:rsidR="00F3419C" w:rsidRPr="00804C8F" w:rsidRDefault="00F3419C" w:rsidP="00F3419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1) Рак шейки матки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Тх</w:t>
      </w:r>
      <w:proofErr w:type="spellEnd"/>
    </w:p>
    <w:p w14:paraId="52F6F0E2" w14:textId="77777777" w:rsidR="00F3419C" w:rsidRPr="00804C8F" w:rsidRDefault="00F3419C" w:rsidP="00F3419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2) Морфологический метод (гистологическое исследование препаратов при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конизации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шейки матки</w:t>
      </w:r>
      <w:proofErr w:type="gram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).;</w:t>
      </w:r>
      <w:proofErr w:type="gramEnd"/>
    </w:p>
    <w:p w14:paraId="6683E970" w14:textId="77777777" w:rsidR="00F3419C" w:rsidRPr="00804C8F" w:rsidRDefault="00F3419C" w:rsidP="00F3419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 Фоновое заболевание </w:t>
      </w:r>
    </w:p>
    <w:p w14:paraId="6D9F57A2" w14:textId="77777777" w:rsidR="00F3419C" w:rsidRPr="00804C8F" w:rsidRDefault="00F3419C" w:rsidP="00F3419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4) Цитологическое исследование мазков с шейки матки и из цервикального </w:t>
      </w:r>
      <w:proofErr w:type="gram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канала.;</w:t>
      </w:r>
      <w:proofErr w:type="gramEnd"/>
    </w:p>
    <w:p w14:paraId="14F1DBEA" w14:textId="6258FD3C" w:rsidR="00F3419C" w:rsidRPr="00804C8F" w:rsidRDefault="00F3419C" w:rsidP="00F3419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5)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Трахелэктомия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начальных стадиях опухолевого процесса. Высокая конусовидная ампутация шейки матки; экстирпация матки с придатками; операция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Вертгейма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или расширенная экстирпация матки с транспозицией яичников; тазовая </w:t>
      </w:r>
      <w:proofErr w:type="spellStart"/>
      <w:proofErr w:type="gram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лимфаденэктомия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.;</w:t>
      </w:r>
      <w:proofErr w:type="gram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Сочетанная лучевая терапия </w:t>
      </w:r>
    </w:p>
    <w:p w14:paraId="31D4C844" w14:textId="77777777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51E385C1" w14:textId="77777777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sectPr w:rsidR="00F3419C" w:rsidRPr="0080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E0F"/>
    <w:multiLevelType w:val="hybridMultilevel"/>
    <w:tmpl w:val="6CCC4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5C24"/>
    <w:multiLevelType w:val="multilevel"/>
    <w:tmpl w:val="3782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47457"/>
    <w:multiLevelType w:val="multilevel"/>
    <w:tmpl w:val="E2F6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15E3C"/>
    <w:multiLevelType w:val="hybridMultilevel"/>
    <w:tmpl w:val="D700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9C"/>
    <w:rsid w:val="00804C8F"/>
    <w:rsid w:val="00F3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2AC5"/>
  <w15:chartTrackingRefBased/>
  <w15:docId w15:val="{1D13DBFE-3CC7-4968-B65E-FCC150B8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4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1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34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3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4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Дмитриев</dc:creator>
  <cp:keywords/>
  <dc:description/>
  <cp:lastModifiedBy>Даша Николаенко</cp:lastModifiedBy>
  <cp:revision>2</cp:revision>
  <dcterms:created xsi:type="dcterms:W3CDTF">2024-03-25T02:10:00Z</dcterms:created>
  <dcterms:modified xsi:type="dcterms:W3CDTF">2024-03-25T02:10:00Z</dcterms:modified>
</cp:coreProperties>
</file>