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74" w:rsidRPr="00F73B74" w:rsidRDefault="00F73B74" w:rsidP="00F73B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F73B74">
        <w:rPr>
          <w:rFonts w:ascii="Times New Roman" w:eastAsia="Calibri" w:hAnsi="Times New Roman" w:cs="Times New Roman"/>
          <w:sz w:val="20"/>
          <w:szCs w:val="20"/>
        </w:rPr>
        <w:t>Войно-Ясенецкого</w:t>
      </w:r>
      <w:proofErr w:type="spellEnd"/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» Министерства здравоохранения Российской Федерации 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F73B74"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209136D" wp14:editId="013B0A61">
            <wp:extent cx="1228953" cy="1228953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D4yDCo_400x4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41" cy="122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B74" w:rsidRPr="00F73B74" w:rsidRDefault="00F73B74" w:rsidP="00F73B7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F73B74" w:rsidRPr="00F73B74" w:rsidRDefault="00F73B74" w:rsidP="00F73B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F73B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Кафедра терапии ИПО</w:t>
      </w:r>
    </w:p>
    <w:p w:rsidR="00F73B74" w:rsidRPr="00F73B74" w:rsidRDefault="00F73B74" w:rsidP="00F73B7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F73B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73B74" w:rsidRPr="00F73B74" w:rsidRDefault="00F73B74" w:rsidP="00F73B7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3B74">
        <w:rPr>
          <w:rFonts w:ascii="Times New Roman" w:eastAsia="Calibri" w:hAnsi="Times New Roman" w:cs="Times New Roman"/>
          <w:b/>
          <w:sz w:val="20"/>
          <w:szCs w:val="20"/>
        </w:rPr>
        <w:t xml:space="preserve">РЕФЕРАТ 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B74">
        <w:rPr>
          <w:rFonts w:ascii="Times New Roman" w:eastAsia="Calibri" w:hAnsi="Times New Roman" w:cs="Times New Roman"/>
          <w:b/>
          <w:sz w:val="24"/>
          <w:szCs w:val="24"/>
        </w:rPr>
        <w:t xml:space="preserve"> тема </w:t>
      </w:r>
      <w:proofErr w:type="gramStart"/>
      <w:r w:rsidRPr="00F73B74">
        <w:rPr>
          <w:rFonts w:ascii="Times New Roman" w:eastAsia="Calibri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обследование гематологических больных</w:t>
      </w:r>
      <w:r w:rsidRPr="00F73B7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Выполнила ординатор </w:t>
      </w:r>
      <w:r>
        <w:rPr>
          <w:rFonts w:ascii="Times New Roman" w:eastAsia="Calibri" w:hAnsi="Times New Roman" w:cs="Times New Roman"/>
          <w:sz w:val="20"/>
          <w:szCs w:val="20"/>
        </w:rPr>
        <w:t>второго</w:t>
      </w:r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 года обучения </w:t>
      </w:r>
    </w:p>
    <w:p w:rsidR="00F73B74" w:rsidRPr="00F73B74" w:rsidRDefault="00F73B74" w:rsidP="00F73B74">
      <w:pPr>
        <w:spacing w:after="16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3B74">
        <w:rPr>
          <w:rFonts w:ascii="Times New Roman" w:eastAsia="Calibri" w:hAnsi="Times New Roman" w:cs="Times New Roman"/>
          <w:sz w:val="20"/>
          <w:szCs w:val="20"/>
        </w:rPr>
        <w:t>Смирнова Екатерина Александровна</w:t>
      </w: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3B74" w:rsidRPr="00F73B74" w:rsidRDefault="00F73B74" w:rsidP="00F73B74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30988" w:rsidRPr="005E1227" w:rsidRDefault="00F73B74" w:rsidP="00F73B74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73B7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КРАСНОЯРСК 2020</w:t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1344291595"/>
        <w:docPartObj>
          <w:docPartGallery w:val="Table of Contents"/>
          <w:docPartUnique/>
        </w:docPartObj>
      </w:sdtPr>
      <w:sdtEndPr/>
      <w:sdtContent>
        <w:p w:rsidR="005E1227" w:rsidRDefault="005E1227">
          <w:pPr>
            <w:pStyle w:val="a8"/>
            <w:rPr>
              <w:rFonts w:ascii="Times New Roman" w:hAnsi="Times New Roman" w:cs="Times New Roman"/>
              <w:color w:val="000000" w:themeColor="text1"/>
            </w:rPr>
          </w:pPr>
          <w:r w:rsidRPr="005E1227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5E1227" w:rsidRPr="005E1227" w:rsidRDefault="005E1227" w:rsidP="005E1227">
          <w:pPr>
            <w:rPr>
              <w:lang w:eastAsia="ru-RU"/>
            </w:rPr>
          </w:pPr>
        </w:p>
        <w:p w:rsidR="005E1227" w:rsidRPr="005E1227" w:rsidRDefault="005E122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E122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5E122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E122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9428862" w:history="1">
            <w:r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Объективное обследование больного</w:t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_Toc39428862 \h </w:instrText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F73B7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9428863" w:history="1">
            <w:r w:rsidR="005E1227"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Лабораторные и инструментальные методы исследования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_Toc39428863 \h </w:instrTex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F73B7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9428864" w:history="1">
            <w:r w:rsidR="005E1227"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Иммунологические методы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_Toc39428864 \h </w:instrTex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F73B7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9428865" w:history="1">
            <w:r w:rsidR="005E1227"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Молекулярно-биологические методы исследования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_Toc39428865 \h </w:instrTex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F73B7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9428866" w:history="1">
            <w:r w:rsidR="005E1227"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Методы исследования гемостаза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_Toc39428866 \h </w:instrTex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F73B7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9428867" w:history="1">
            <w:r w:rsidR="005E1227" w:rsidRPr="005E1227">
              <w:rPr>
                <w:rStyle w:val="a9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_Toc39428867 \h </w:instrTex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5E1227" w:rsidRPr="005E122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5E1227" w:rsidRPr="005E1227" w:rsidRDefault="005E122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E122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730988" w:rsidP="00730988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0988" w:rsidRPr="005E1227" w:rsidRDefault="005E1227" w:rsidP="00730988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39428862"/>
      <w:r w:rsidRPr="005E1227">
        <w:rPr>
          <w:rFonts w:ascii="Times New Roman" w:hAnsi="Times New Roman" w:cs="Times New Roman"/>
          <w:color w:val="000000" w:themeColor="text1"/>
        </w:rPr>
        <w:t>О</w:t>
      </w:r>
      <w:r w:rsidR="003B73BF" w:rsidRPr="005E1227">
        <w:rPr>
          <w:rFonts w:ascii="Times New Roman" w:hAnsi="Times New Roman" w:cs="Times New Roman"/>
          <w:color w:val="000000" w:themeColor="text1"/>
        </w:rPr>
        <w:t>бъективное обследование больного</w:t>
      </w:r>
      <w:bookmarkEnd w:id="1"/>
    </w:p>
    <w:p w:rsidR="00730988" w:rsidRPr="005E1227" w:rsidRDefault="00730988" w:rsidP="007309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Общее состояние, питание, цвет кожных покровов, наличие на коже петехий, подкожных кровоизлияний и т. д. </w:t>
      </w: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Состояние лимфатических узлов. </w:t>
      </w: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Осмотр полости рта, языка, зева. </w:t>
      </w: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Пальпация селезёнки, определение ее размеров на спине, на правом боку. </w:t>
      </w: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Перкуссия селезёнки имеет ограниченное значение используется лишь для ориентировочного определения размеров селезёнки (размеры селезёнки этим методом точно определить невозможно, т. к. селезёнка окружена полыми органами желудок, кишечник).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Длинник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6-8 см между (IX и XI рёбрами), ширина 4-6 см (по X ребру). </w:t>
      </w:r>
    </w:p>
    <w:p w:rsidR="00730988" w:rsidRPr="005E1227" w:rsidRDefault="003B73BF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Пальпация живота: наличие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регидносги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брюшной стенки, определение болезненности и её локализации, опухолевидных образований (лимфоузлов). </w:t>
      </w:r>
    </w:p>
    <w:p w:rsidR="00730988" w:rsidRPr="005E1227" w:rsidRDefault="003B73BF" w:rsidP="00730988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_Toc39428863"/>
      <w:r w:rsidRPr="005E1227">
        <w:rPr>
          <w:rFonts w:ascii="Times New Roman" w:hAnsi="Times New Roman" w:cs="Times New Roman"/>
          <w:color w:val="000000" w:themeColor="text1"/>
        </w:rPr>
        <w:t>Лабораторные и инструментальные методы исследования</w:t>
      </w:r>
      <w:bookmarkEnd w:id="2"/>
    </w:p>
    <w:p w:rsidR="00730988" w:rsidRPr="005E1227" w:rsidRDefault="00730988" w:rsidP="007309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7309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диагноза заболевания крови предполагает исследование клеток крови и органов кроветворения с помощью морфологических, иммунологических, цитогенетических и молекулярно-биологических методов. </w:t>
      </w:r>
    </w:p>
    <w:p w:rsidR="00730988" w:rsidRPr="005E1227" w:rsidRDefault="00730988" w:rsidP="0073098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Морфологические методы </w:t>
      </w:r>
    </w:p>
    <w:p w:rsidR="00730988" w:rsidRPr="005E1227" w:rsidRDefault="00730988" w:rsidP="0073098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Морфологические методы включают цитологические и гистологические исследования. Объектом цитологического исследования является взвесь клеток периферической крови, костного мозга и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биологических жидкостей (спинномозговой, плевральной и др.). Основные виды цитологического исследования в гематологии: клинический анализ крови, подсчет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миелограммы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цитохимические исследования клеток крови и костного мозга. Материал для цитологического исследования получают при венепункции или пункции костного мозга (аспирационная биопсия). Гистологические исследования — это прежде всего исследование биоптата костного мозга, взятого посредством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трепанобиопсии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ткани лимфатических узлов, полученной посредством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эксцизионной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биопсии.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Клинический анализ крови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: цель клинического анализа крови — диагностика количественных и качественных изменений клеток крови (эритроцитов, 57 лейкоцитов и тромбоцитов). Количественные и качественные изменения клеток крови могут носить реактивный характер или быть следствием заб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олевания системы кроветворения.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Гематологические анализаторы подразделяются на несколько технологических типов. Наиболее широкое распространение получили два из них: оптические анализаторы, использующие различия в рассеивании света, и апертурно-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импедансные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счетчики, реагирующие на изменение сопротивления электрическому току. Устройство оптических анализаторов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Technicon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Bayer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Diagnostic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») предполагает прохождение клеточного потока через узкий фокусированный световой луч (чаще лазерный). Клетки, проходя через луч света, прерывают его или преломляют, что генерирует электрический импульс, регистрируемый счетным устройством. Рассеивание света изменяется в зависимости от размера, объема и формы клеток. Примером апертурно-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импедансных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счетчиков являются анализаторы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Coulter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Sysmex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только единичная клетка проходит через специальное отверстие в тонкой трубке, она меняет сопротивление электрическому току между двумя платиновыми электродами, генерируя электрический импульс. Каждый импульс записывается электронным устройством. Величина импульса пропорциональна объему клеток, что и лежит в основе их дифференциации. Результат подсчета клеток крови выводится на бумагу. Гематологические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анализаторы в зависимости от своего класса имеют различия по числу определяемых параметров. </w:t>
      </w:r>
    </w:p>
    <w:p w:rsidR="002D0BD9" w:rsidRPr="005E1227" w:rsidRDefault="00730988" w:rsidP="002D0B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 периферической крови, минимально определяемые автоматическим гематологическим анализатором:</w:t>
      </w:r>
    </w:p>
    <w:p w:rsidR="002D0BD9" w:rsidRPr="005E1227" w:rsidRDefault="00730988" w:rsidP="002D0B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Абсолютное количество в единице объема крови эритроцитов (RBC), тромбоцитов (PLT), лейкоцитов (WBC) и отдельных видов лейкоцитов (гранулоцитов,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Gran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лимфоцитов,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Lym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моноцитов,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Mon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процентах и абсолютных цифрах. </w:t>
      </w:r>
    </w:p>
    <w:p w:rsidR="002D0BD9" w:rsidRPr="005E1227" w:rsidRDefault="00730988" w:rsidP="002D0B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Количество гемоглобина (HGB) в единице объема крови. 3.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Эритроцитарные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индексы: HCT — гематокрит, MCV — средний объем эритроцита, MCH — среднее содержание гемоглобина в эритроците, MCHC — средняя концентрация гемоглобина в эритроците, RDW — распределение эритроцитов по ширине (показатель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анизоцитоза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эритроцитов). </w:t>
      </w:r>
    </w:p>
    <w:p w:rsidR="002D0BD9" w:rsidRPr="005E1227" w:rsidRDefault="00730988" w:rsidP="002D0BD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Тромбоцитарные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индексы: MPV — средний объем тромбоцитов, PDW — распределение тромбоцитов по ширине (показатель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анизоцитоза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тромбоцитов). Существуют анализаторы, которые обеспечивают автоматический подсчет в том числе и разновидностей гранулоцитов (незрелых и зрелых нейтрофилов), эозинофилов, базофилов, а также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бластных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клеток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ретикулоцитов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Автоматический подсчет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эритроцитарных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тромбоцитарных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индексов является преимуществом анализаторного исследования крови. Индексы эритроцитов — это цифровые характеристики морфологических изменений в клетках при нарушениях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генеза. Особенно ярко морфологические изменения эритроцитов проявляются в колебаниях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эритроцитарных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индексов при дефиците железа, протекающем с нарушением синтеза гемоглобина, и при дефиците витамина В12 или фолиевой кислоты, вызывающем нарушения в процессе деления клеток, а также при различных гемолитических анемиях.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Наиболее значимые 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личест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ве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ые изменения состав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периферической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крови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показателей периферической крови: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Анемия: у мужчин гемоглобин (HGB) менее 130 г/л; у женщин — 120 г/л.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Тромбоцитопения: тромбоцитов (PLТ) менее 150,0×109 /л, тромбоцитопения с высоким риском спонтанных кровотечений — PLТ менее 20,0×109 /л.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Нейтропения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: абсолютное количество гранулоцитов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Gran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менее 2,5×109 /л. Критериями клинически значимой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нейтропении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(высокий риск развития инфекционных осложнений) считают уровень гранулоцитов менее 1,5×109 /л,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жизнеугрожающей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нейтропении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агранулоцитоз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— уровень гранулоцитов менее 0,5×109 /л.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Лимфоцитопения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: абсолютное количество лимфоцитов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Lym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ниже 1,5×109 /л.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показателей периферической крови: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Эритроцитоз (эритремия): у мужчин эритроцитов (RBC) более 6,5×1012/л, гемоглобин (HGB) более 185 г/л, гематокрит (HCT) выше 52%; у женщин — эритроцитов (RBC) более  5,5×1012/л, гемоглобин (HGB) более 165 г/л, гематокрит (HCT) более 48%.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Тромбоцитоз: тромбоцитов более 450,0×109 /л (реактивное состояние или неопластическое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новообразования).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Абсолютный лимфоцитоз: абсолютное количество лимфоцитов более 5,0×109 /л (первичный абсолютный критерий возможного хронического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лимфолейкоза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Абсолютный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моноцитоз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моноцитов более 1,0×109 /л (первичный критерий возможного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гемопоэза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Нейтрофилез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гранулоцитов (нейтрофилов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палочкоядерных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сегментоядерных) больше 7,5×109 /л (воспалительное состояние, возможно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миелопролиферативное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гемопоэза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Эозинофилия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эозинофилов более 1,5×109 /л (паразитарные инфекции,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новообразования).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анализе крови могут быть и другие количественные или качественные изменения сос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тава форменных элементов крови.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Самым частым патологическим изменением в анализе крови является анемия. В связи с этим алгоритм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полного клинического анализа крови включает следующие этапы: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установление наличия анемии и степени ее тяжести;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определение морфологического типа анемии;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определение регенераторной активности костного мозга;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4) определение отсутствия или наличия количественных изменений тромбоцитов и лейкоцитов с учетом абсолютного количества отдельных видов лейкоцитов, особенно нейтрофилов и лимфоцитов.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proofErr w:type="spellStart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пунктата</w:t>
      </w:r>
      <w:proofErr w:type="spellEnd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костного мозга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 для цитологического исследования костного мозга получают посредством пункционной (аспирационной) биопсии плоских костей. Наиболее доступными и безопасными для данной манипуляции являются грудина и подвздошные кости.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Пункцию проводят специальной иглой с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мандреном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извлечения последнего осуществляют аспирацию костного мозга шприцем. Костномозговая взвесь включает эритроциты периферической крови,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жировую ткань костного мозга, ядросодержащие клетки паренхимы и стромы костного мозга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миелокариоциты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мегакариоциты). Часть полученной взвеси костномозговых клеток используют для подсчета абсолютного количества ядросодержащих клеток костного мозга: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миелокариоцитов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» — костномозговая, «карио» — ядросодержащая, «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цит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— клетка) и мегакариоцитов (предшественники тромбоцитов). Мегакариоциты являются самыми крупными клетками костного мозга, хорошо дифференцируются по размеру и форме при малом увеличении микроскопа. Мегакариоцитов в 1000 раз меньше, чем других ядросодержащих клеток костного мозга. Эти два фактора являются основанием подсчитывать количество мегакариоцитов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миелокариоцитов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раздельно. Из оставшейся части костномозговой взвеси делают мазки на предметных стеклах. Мазки с клетками костного мозга фиксируют, окрашивают по Романовскому–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Гимзе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исследуют с помощью светового микроскопа с подсчетом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миелограммы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250–500 клеток.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Миелограмма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процентное содержание различных видов ядросодержащих клеток костного мозга соответствующих рядов (линий) кроветворения. Изучению костного мозга в микроскопе с иммерсионной системой для подсчета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миелограммы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предшествует просмотр препарата на малом увеличении. Это позволяет установить, на сколько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пунктат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 клеточными элементами, определить состояние мегакариоцитарного аппарата, х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орошо различимого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малом увеличении, обнаружить скопление клеток, похожих на опухолевые, и пр. Определение процентного клеточного состава костного мозга требует подсчета не менее 250 клеток. В этом случае количество клеток каждого вида умножают на 2 и полученное число делят на 5. При подсчете 500 клеток количество клеток каждого вида делят на 5.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оценки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миелограммы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Оценка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клеточности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пунктата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абсолютного количества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миелокариоцитов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мегакариоцитов.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Определение наличия или отсутствия патологических клеток костного мозга.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Подсчет суммарного количества клеток каждой линии дифференцировки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гранулоцитопоэза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моноцитопоэза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Оценка процентного соотношения клеток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гранулоцитопоэза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(индекс «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лейко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Оценка процентного состава клеток разных стадий дифференцировки внутри каждой из линий (ростков) дифференцировки.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Выявление признаков дисплазии кроветворения. Цитохимическое исследование клеток крови и костного мозга имеет большое диагностическое значение в начальной дифференциации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бластных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клеток при остром лейкозе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цитохимическая реакция с берлинской лазурью служит способом выявления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сидеробластов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сидероцитов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эритрокариоцитов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эритроцитов, содержащих гранулы железа. В случаях наличия 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эритрокариоците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5 гранул железа, радиально расположенных вокруг ядра, эту клетку называют кольцевидным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сидеробластом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Кольцевидные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сидеробласты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признак перегрузки железом и/или дисплазии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цитохимии клеток крови и костного мозга лежит использование цветных химических реакций для определения в клетке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метаболически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энзимов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(ферментов) и субстратов (веществ). Материалом для исследований служат фиксированные мазки крови и костного мозга. Цитохимическая диагностика острых лейкозов базируется на том, что лейкозные клетки, особенно до начала химиотерапии, сохраняют особенности метаболизма (ферменты и субстраты), присущие их нормальным аналогам. Наибольшее диагностическое значение в цитохимической диагностике имеют ферменты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миелопероксидаза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кислая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щелочная фосфатаза, неспецифические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эстеразы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субстраты — липиды и углеводы.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Гистологическое исследование костного мозга и лимфоидных органов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Образец костного мозга для гистологического исследования забирают посредством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трепанобиопсии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подвздошных костей с помощью специального инструмента — трепана или одноразовой иглы костномозговой универсальной, позволяющих получить столбик кости. Гистологическое исследование костного мозга дает наиболее информативную картину костномозгового кроветворения. Абсолютным показанием для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трепанобиопсии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низкая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клеточность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пунктата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костного мозга. При этом исключают аплазию, метаплазию и дисплазию кроветворения, а также подозрение на опухолевое поражение костного мозга с очаговой инфильтрацией опухолевыми клетками.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гистологическом препарате костного мозга оценивают: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состояние четырех типов тканей: костной, соединительной, жировой (желтый костный мозг) и гемопоэтической, или кроветворной (красный костный мозг);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характер клеточного состава кроветворной ткани: полиморфный, мономорфный; наличие патологических клеток (лейкозные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бласты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клетки Березовского–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Штернберга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метастазы рака в костный мозг и др.);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особенности роста, распределения клеток костного мозга, включая признаки дисплазии кроветворения;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характер инфильтративного роста опухолевых клеток гемопоэтического происхождения (диффузная инфильтрация,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нодулярная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очаговая, с образованием лимфоидных фолликулов);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морфологические признаки опухолевых клеток.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Ткань лимфатических узлов для гистологического исследования получают посредством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эксцизионной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биопсии лимфатического узла. Гистологическое исследование селезенки становится возможным после оперативного удаления данного органа.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гистологическом исследовании биоптата лимфатического узла, селезенки оценивают: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степень сохранности морфологической структуры органа (или полное исчезновение);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характер инфильтративного роста опухолевых клеток гемопоэтического происхождения (диффузная инфильтрация,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нодулярная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очаговая, с образованием лимфоидных фолликулов);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морфологические признаки опухолевых клеток.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9428864"/>
      <w:r w:rsidRPr="005E1227">
        <w:rPr>
          <w:rStyle w:val="10"/>
          <w:rFonts w:ascii="Times New Roman" w:hAnsi="Times New Roman" w:cs="Times New Roman"/>
          <w:color w:val="000000" w:themeColor="text1"/>
        </w:rPr>
        <w:t>Иммунологические методы</w:t>
      </w:r>
      <w:bookmarkEnd w:id="3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существуют три разновидности иммунологических методов исследования: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радиоиммунологический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(РИА);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иммуноферментный анализ (ИФА);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метод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Радиоиммунологический</w:t>
      </w:r>
      <w:proofErr w:type="spellEnd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(РИА)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Radioimmunoassay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(RIA), или изотопный иммунологический анализ, позволяет осуществлять количественное определение биологически активных веществ, меченных радионуклидом, в биологических жидкостях с последующей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детекцией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специальным счетчиком — радиоспектрометром. </w:t>
      </w:r>
    </w:p>
    <w:p w:rsidR="002D0BD9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Иммуноферментный анализ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(ИФА), или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enzyme-linked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immunosorbent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assay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(ELISA) — лабораторный иммунологический метод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качественного 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коли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чественного измерения антигенов и антител. В основе ИФА лежит принцип специфического взаимодействия между антигеном и соответствующим антителом. Выявление образовавшегося комплекса осуществляют с помощью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конъюгата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представляет собой анти-антитело, соединённое с ферментной меткой. На заключительном этапе в присутствии перекиси водорода проходит ферментативная реакция (цветная реакция). Результат ее оценивается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спектрофотометрически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визуально. Интенсивность окрашивания зависит от количества выявленных специфических антител. ИФА используется в диагностике ВИЧ, вирусных гепатитов,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цитомегаловирусной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герпетической,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токсоплазменной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инфекций. ИФА может быть осуществлен на лунках тест-планшета вручную. Кроме того, в настоящее время широко распространены автоматические ИФА-анализаторы. Они позволяют определять не только маркеры различных инфекций, но и концентрации гормонов, в том числе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эритропоэтина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других метаболитов, участвующих в процессе кроветворения. В частности, это касается определения концентрации в сыворотке крови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ферритина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(белка, представляющего собой обратимую форму депонирования железа), витамина В12, фолиевой кислоты</w:t>
      </w:r>
      <w:r w:rsidR="002D0BD9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один из методов дифференциации клеток в образцах крови, костного мозга, лимфатических узлов и других органов и тканей. При помощи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флюоресцентно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меченных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моноклональных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антител или каких-либо других зондов на основе реакции «антиген–антитело» определяют тип и функциональное состояние клетки по наличию определенного набора клеточных маркеров — рецепторов, антигенов, кластеров дифференцировки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cluster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differentiation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antigens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CD) на поверхности или внутри клетки.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Флюоресцентную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метку, проявляющую состоявшуюся реакцию «антиген–антитело», обнаруживают с помощью специальных приборов — проточного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цитофлюориметра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люминесцентного микроскопа. Разработана систематизированная номенклатура маркерных молекул, обозначаемых символом CD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Claster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Designation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Claster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Differentiation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Она была предложена для практики в 1982 г. для идентификации и исследования поверхностных мембранных белков лейкоцитов. CD-антигенами (или иначе CD-маркерами) могут быть белки, которые служат рецепторами или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лигандами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участвующими во взаимодействии клеток между собой и являющихся компонентами каскада определённых сигнальных путей, а также они могут быть белками, выполняющими другие функции (например, белки клеточной адгезии). Список CD-антигенов, внесённых в номенклатуру, постоянно пополняется и в настоящее время содержит более 320 CD-антигенов и их подтипов. Антитела против клеточных антигенов получают из сыворотки крови животных, иммунизированных интересующим антигеном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поликлональные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или от культуры ткани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гибридомы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Гибридому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 слиянием «бессмертных» клеток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плазмоцитарной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опухоли (миеломы) с активированными интересующим антигеном В-лимфоцитами. Уникальность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гибридомного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 состоит в том, что все клетки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гибридомы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потомками одной-единственной клетки и поэтому синтезируют абсолютно идентичные молекулы антител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моноклональные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антитела. В настоящее время для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иммунофенотипической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дифференциации гемопоэтических клеток известно как минимум 166 CD, являющихся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дифференцировочными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антигенами или маркерами клеточной активации. Метод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fluorescent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antibody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techniques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включает две технические разновидности исследований: проточную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флюориметрию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иммуногистохимию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Методом проточной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иммунофлюоресценции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лейкоцитов периферической крови, ядросодержащих клеток костного мозга. Методом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типирование клеток в гистологических препаратах костного мозга, лимфатических узлов,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биоптатов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 тканей.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проточной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цитофлюориметрии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ряд неоспоримых преимуществ благодаря большей точности, скорости, возможности одновременной регистрации нескольких антигенов на одной клетке. </w:t>
      </w:r>
      <w:r w:rsidR="00076D6E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Показанием для </w:t>
      </w:r>
      <w:proofErr w:type="spellStart"/>
      <w:r w:rsidR="00076D6E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нофенотипирования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методом проточной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цитофлюориметрии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прежде всего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лимфопролиферативные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и острые лейкозы, сопровождающиеся поражением костного мозга с выходом опухолевых клеток в периферическую кровь, а также врожденные и приобретенные иммунодефициты.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Иммуногистохимия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метод, сочетающий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морфологическую диагностику. Это существенно повышает диагностическую значимость данного вида исследования. В основе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лежит визуализация и оценка с помощью микроскопа результатов реакции «антиген–антитело» на клетках в срезах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биопсированной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ткани. В качестве антигена выступают компоненты клеточных структур или межклеточного вещества ткани. Первоначальным способом выявления реакции «антиген–антитело» также была флюоресцирующая метка. Следующий шаг в развитии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связан с разработкой антител, меченных не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флюорохромами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а ферментами. Для обнаружения места связывания меченных ферментом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пероксидаза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кислая фосфатаза) антител применяют субстрат, который под воздействием ферментных меток образует окрашенные продукты. Преимущество ферментных меток состоит в возможности получения длительно хранящихся гистологических препаратов, в которых результаты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иммуногистохимической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реакции могут быть оценены с учетом морфологической структуры ткани и отдельных клеток. Принципиальным отличием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иммуногистохимии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других методов иммунологической диагностики, использующих реакцию «антиген–антитело», является структурная специфичность исследования. В реакции оценивают не только наличие сигнала (есть окрашивание или нет) и его силу (интенсивность окрашивания), но и пространственное распределение сигнала в гистологическом препарате (окрашивание мембран клеток, цитоплазмы, ядра и других структурных элементов).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Иммуногистохимические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методы, кроме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иммунофенотипирования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опухолей кроветворной и лимфоидной тканей, позволяют решать и другие задачи: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• уточнение гистогенеза опухолей;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уточнение источника метастазирования;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оценка функционального состояния клеток опухоли;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определение показаний к иммунотерапии (использованию лекарственных препаратов с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антительным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механизмом действия);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диагностика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иммунокомплексных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аутоиммунных заболеваний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гломерулопатии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буллезные дерматозы, синдром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Гудпасчера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поиск инфекционных агентов (токсоплазма, микобактерии, хламидии, вирусы и др.).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Toc39428865"/>
      <w:r w:rsidRPr="005E1227">
        <w:rPr>
          <w:rStyle w:val="10"/>
          <w:rFonts w:ascii="Times New Roman" w:hAnsi="Times New Roman" w:cs="Times New Roman"/>
          <w:color w:val="000000" w:themeColor="text1"/>
        </w:rPr>
        <w:t>Молекулярно-биологические методы исследования</w:t>
      </w:r>
      <w:bookmarkEnd w:id="4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 использование молекулярно-биологических методов исследования (МБИ) в практической гематологии явилось логичным итогом изучения патогенеза опухолей кроветворной ткани. Закономерным результатом хромосомной аномалии является образование онкогена, а следствием его деятельности — синтез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онкопротеина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непосредственно реализующего механизм онкогенеза на уровне биохимических, а точнее, молекулярно-биологических процессов жизнедеятельности клетки. Обнаружение онкогена,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онкопротеина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популяции клеток костного мозга или периферической крови имеет важное диагностическое значение.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МБИ на этапе первичной диагностики опухолевого заболевания позволяет определять специфические мутации генов в случаях минимальных клинических проявлений посредством исследования периферической крови, не подвергая пациента пункции костного мозга.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Прежде всего, это касается случаев диагностики хронических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на ранних стадиях развития, манифестирующих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нейтрофильным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лейкоцитозом с небольшим левым сдвигом (появлением молодых форм нейтрофилов в периферической крови), тромбоцитозом. Отличием от реактивных изменений в этих случаях становится обнаружение онкогена BRCABL1, специфичного для хронического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миелолейкоза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-позитивного, или онкогена JAK-2, специфичного для семейства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-негативных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миелопролиферативных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неоплазий (первичного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миелофиброза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истинной полицитемии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эссенциальной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тромбоцитемии). Быстрое получение результата МБИ по сравнению с цитогенетикой в метафазных пластинках крайне важно и при диагностике острых лейкозов, когда с позиции морфологических методов исследования диагноз сомнений не вызывает, но выявление специфической цитогенетической аномалии определяет характер химиотерапии. В частности, речь идет об остром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промиелоцитарном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лейкозе и онкогене PMLRARA, наличие которого служит основанием для использования лекарственного препарата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трансретиноевой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кислоты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весанойда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коренным образом меняющего прогноз заболевания. Наибольшее значение МБИ в диагностике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онкогематологических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заболеваний связано с возможностью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детекции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количеств опухолевых клеток в организме, которые не могут быть выявлены ни морфологическими, ни цитогенетическими методами, а именно — в диагностике минимальной остаточной болезни или молекулярного рецидива опухоли. МБИ — основа мониторинга пациентов после достижения гематологической, цитогенетической ремиссии заболевания.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число методов МБИ на сегодняшний день входят 4 основные разновидности: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блоттинг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РНК (гибридизация)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нозерн-блоттинг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блоттинг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ДНК (гибридизация)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саузерн-блоттинг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FISH-гибридизация; • полимеразная цепная реакция (ПЦР).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две методики не получили широкого распространения в практике клинической гематологии.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FISH-гибридизация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флюоресценция в месте гибридизации хромосом. Метод позволяет идентифицировать с помощью флюоресцирующих молекул хромосомные аберрации в ядрах клеток, находящихся вне митотического цикла, т.е. в неделящихся клетках. Данный метод является своего рода мостиком от цитогенетического исследования к молекулярно-биологическому. Идентификация (метка) определенного участка ДНК в геноме клетки осуществляется посредством его гибридизации со специальной комплементарной, меченной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флюоресцентным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веществом, последовательностью ДНК, называемой зондом.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Флюоресцентные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зонды имеют различные цвета. Зондами желтого и синего цвета метят участки ДНК хромосом 9 и 21. Появление зеленого «сливного» цвета свидетельствует о наличии онкогена BCRABL1 (продукта слияния участков этих хромосом). </w:t>
      </w:r>
    </w:p>
    <w:p w:rsidR="00076D6E" w:rsidRPr="005E1227" w:rsidRDefault="00076D6E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FISH-гибридизацию применяют для изучения клеток периферической крови, костного мозга,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биоптатов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опухоли, плаценты, эмбриональных тканей, амниотической жидкости без предварительной их фиксации для выявления количественных и качественных хромосомных аберраций. Меченные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флюоресцентными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метками специфические ДНК-зонды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гибридизуются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хромосомной ДНК как на метафазных, так и 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интерфазных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препаратах. Одновременно можно использовать множественные зонды к разным локусам ДНК. FISH-гибридизация является чувствительным методом для идентификации хромосомных аберраций при количествах лейкозных клеток менее 109 , обеспечивая при этом быстрый анализ большого (&gt;500) числа клеток. Метод обладает высокой точностью для идентификации неизвестных фрагментов хромосомной ДНК. </w:t>
      </w:r>
    </w:p>
    <w:p w:rsidR="00076D6E" w:rsidRPr="005E1227" w:rsidRDefault="00076D6E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39428866"/>
      <w:r w:rsidRPr="005E1227">
        <w:rPr>
          <w:rStyle w:val="10"/>
          <w:rFonts w:ascii="Times New Roman" w:hAnsi="Times New Roman" w:cs="Times New Roman"/>
          <w:color w:val="000000" w:themeColor="text1"/>
        </w:rPr>
        <w:t>Методы исследования гемостаза</w:t>
      </w:r>
      <w:bookmarkEnd w:id="5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лабораторных исследованиях гемостаза следует: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забирать кровь с минимальным использованием жгута, недопустимо взятие крови шприцем или из подключичного катетера;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соблюдать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этапность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первый этап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скрининговые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тесты, второй — пробы, позволяющие уточнить диагноз;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3) проводить повторное обследование для подтверждения результата в случае выявления серьезных нарушений в системе гемостаза;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интерпретировать результаты с учетом возможного влияния принимаемых лекарственных средств и других воздействий.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сосудисто- </w:t>
      </w:r>
      <w:proofErr w:type="spellStart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тромбоцитарного</w:t>
      </w:r>
      <w:proofErr w:type="spellEnd"/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гемостаза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D6E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</w:t>
      </w:r>
      <w:r w:rsidR="00076D6E"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кровотечения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время от момента нанесения стандартной раны кожи до момента прекращения вытекания крови. Оно фиксируется посредством промокания раны фильтровальной бумагой или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калориметрически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цвету жидкости, куда поступает вытекающая из пальца кровь. В норме время кровотечения составляет 3–10 мин. Оно характеризует функциональную активность тромбоцитов и взаимодействие тромбоцитов с сосудистой стенкой, но не выявляет всех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тромбоцитарных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нарушений. Этот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скрининговый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позволяет заподозрить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тромбоцитопатии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генеза, болезнь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Виллебранда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нарушения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проагрегантных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 сосудистой стенки.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Исследование агрегации тромбоцитов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оценка их функциональной активности. Для исследования используют физиологические индукторы агрегации тромбоцитов: тромбин, адреналин, АДФ, коллаген; или специальные индукторы, такие как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ристомицин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Наиболее часто изучают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АДФ-, адреналин-, коллаген-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ристомицин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-индуцированную агрегацию тромбоцитов с графической регистрацией процесса на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агрегометре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Основными параметрами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агрегатограммы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степень агрегации (в процентах) и время агрегации (в минутах). Повышение агрегационной активности тромбоцитов характерно для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претромботических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состояний, тромбозов, атеросклероза,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васкулитов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возможно при беременности. Снижение агрегационной активности тромбоцитов наблюдают при первичных и симптоматических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тромбоцитопатиях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лечении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антиагрегантами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1227" w:rsidRPr="005E1227" w:rsidRDefault="00730988" w:rsidP="005E122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коагуляционного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(плазменного) гемостаза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Активированное частичное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тромбопластиновое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время (АЧТВ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Термин «частичный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тромбопластин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означает, что реактив содержит только фосфолипиды, в нем нет тканевого фактора. Метод используется как тест для оценки внутреннего механизма свертывания крови, прежде всего скрининга на дефицит факторов VIII или IX (гемофилия А и В), волчаночного антикоагулянта и слежения за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антикоагулянтным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действием гепаринов. Каждая лаборатория определяет свой нормальный диапазон АЧТВ с учетом используемых реактивов. Укорочение АЧТВ (активация внутреннего механизма свертывания) обнаруживают при тромбозах, тромбоэмболиях,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ДВСсиндроме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гиперкоагуляционная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фаза), иногда при нормально протекающей беременности. Удлинение АЧТВ имеет место при большом спектре патологических состояний. Прежде всего это дефицит факторов внутреннего пути свертывания: VIII (гемофилия А), IX (гемофилия В), XI, XII при нормальных результатах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теста; дефицит факторов II, V, X в случае сопутствующей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гипокоагуляции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тесте; дефицит фактора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Виллебранда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терапия обычным,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нефракционированным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гепарином, лечение антикоагулянтами непрямого действия, ДВС-синдром (потребление факторов свертывания в фазу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гипокоагуляции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переливания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реополиглюкина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препаратов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гидроксиэтилкрахмала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инфукол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валекам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НЕS), наличие волчаночного антикоагулянта, мутация фактора IX, дефекты при получении крови для исследования (гемолиз, передозировка цитрата натрия, забор крови из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гепаринизированного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катетера).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Протромбиновое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время (по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Квику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), МНО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(ПТВ) — тест для оценки внешнего механизма свертывания крови. ПТВ обычно используется для определения активности фактора VII, контроля за лечением непрямыми антикоагулянтами, при скрининге системы гемостаза, а также для количественной оценки фибриногена в автоматических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коагулометрах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Каждая лаборатория определяет свой нормальный диапазон ПТВ с учетом используемых реактивов. Укорочение ПТВ свидетельствует об активации внешнего механизма свертывания — при ДВС-синдроме, в последние недели беременности, при приеме пероральных контрацептивов, лечении концентратами факторов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Фейба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НовоСевен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Удлинение ПТВ имеет место при дефиците или аномалии факторов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(VII, X, V, II), в случаях приема антикоагулянтов непрямого действия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варфарин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 болезнях печени и желчевыводящей системы, лечении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нефракционированным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гепарином (тест реагирует лишь на сравнительно высокие концентрации антикоагулянта, примерно от 0,5 МЕ/мл крови и выше), ДВС-синдроме (потребление факторов свертывания в переходную фазу и фазу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гипокоагуляции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фоне переливаний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реополиглюкина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препаратов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гидроксиэтилкрахмала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инфукол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валекам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 наличии в крови волчаночного антикоагулянта (возможно), дефектах взятия крови для исследования (гемолиз, передозировка цитрата натрия, забор крови из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гепаринизированного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катетера).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МНО (Международное нормализованное отношение), латинская аббревиатура — INR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Normalized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Ratio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— дополнительный способ представления результатов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протромбинового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теста. Рекомендован комитетом экспертов ВОЗ и другими международными организациями по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стандартизации в гематологии для контроля терапии непрямыми антикоагулянтами. МНО — это отношение ПТВ пациента к ПТВ нормальной плазмы в степени международного индекса чувствительности (МИЧ). МИЧ — коррекционный фактор, специфичный для каждой партии реактивов, рассчитанный на основании стандартов ВОЗ для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тромбопластина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МНО — математическая коррекция, при помощи которой производится стандартизация ПТВ, что позволяет сравнивать результаты, полученные в разных лабораториях. МНО и протромбин по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Квику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коррелируют отрицательно: снижение протромбина по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Квику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повышению МНО. В норме МНО приближается к 1. Терапевтический диапазон МНО 2–3 на фоне терапии непрямыми антикоагулянтами обеспечивает профилактику тромбоза без увеличения риска кровотечения.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Тромбиновое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время (ТВ)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третий по значимости базисный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коагуляционный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тест. Характеризует конечный этап процесса свертывания — превращение фибриногена в фибрин под действием тромбина. На него влияет концентрация фибриногена в плазме и наличие продуктов деградации фибрина.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Референсные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ТВ: 18–24 с. Укорочение ТВ характерно для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гиперфибриногенемии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(фибриноген 6,0 г/л и выше), начальной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гиперкоагуляционной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фазы острого и подострого ДВС-синдрома. Удлинение ТВ имеет место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гепаринотерапии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обычным гепарином (тест реагирует на сравнительно низкие 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антикоагулянта, приблизительно от 0,05 МЕ/мл крови),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гипофибриногенемии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(фибриноген ниже 1,0 г/л) в случаях развития острого ДВС-синдрома и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тромболитической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терапии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стрептокиназа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актилизе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несоблюдении правил забора крови (гемолиз, передозировка цитрата натрия, забор крови из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гепаринизированного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катетера).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Концентрация фибрин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оге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в плазме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Количественное определение фибриногена по методу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Клаусса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базисным тестом исследования гемостаза. Образование фибрина и его стабилизация представляют собой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финальный этап формирования тромба, при котором растворимый фибриноген превращается в нерастворимый фибрин под действием тромбина и фактора XIII. Фибриноген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острофазовый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белок. Печень синтезирует 2—5 г фибриногена в день, время полувыведения фибриногена из крови составляет около 4 дней. Концентрация его может превышать 10 г/л при тяжелых бактериальных инфекциях, при травме и тромбозе. К значительному росту фибриногена приводят заболевания почек (пиелонефрит,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гломерулонефрит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гемолитико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-уремический синдром), коллагенозы (ревматоидный артрит, узелковый периартериит), пароксизмальная ночная гемоглобинурия, новообразования (рак легкого). Повышение уровня фибриногена в плазме крови больных сердечно-сосудистыми заболеваниями предшествует развитию инфаркта миокарда и инсульта. Корреляция между уровнем фибриногена и развитием этих осложнений особенно четко прослеживается у пациентов молодого и среднего возраста. Определение уровня фибриногена — наиболее чувствительный тест для выявления бессимптомных стадий заболевания периферических артериальных сосудов. Нормальные значения фибриногена: 2,75–3,65 г/л. Снижение концентрации фибриногена происходит при остром ДВС-синдроме,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дисфибриногенемии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Повышение концентрации фибриногена имеет место при инфекционных, воспалительных и аутоиммунных процессах, подостром и хроническом ДВС-синдроме, нормально протекающей беременности. Исследование факторов свертывания проводят в случаях необъяснимого удлинения АЧТВ или ПТВ при дооперационном скрининге на основе модифицированных тестов АЧТВ или ПТВ с реактивом плазмы, имеющим дефицит исследуемого фактора. Оценку фактора XIII необходимо выполнять при наличии у пациента необъяснимых кровотечений при нормальных значениях АЧТВ и ПТВ. Нормальный диапазон для большинства факторов 70–130%. 2.5.4.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 р о т е и н С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Его определяют иммунохимическим,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коагуляционным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методами и методом с хромогенным субстратом. Протеин С инактивирует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Vа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VIII только в комплексе с протеином S, поэтому их содержание желательно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оценивать в совокупности. В норме уровень протеина С составляет от 70 до 140%. Повышение его может иметь место во время беременности. Наследственный гомозиготный дефицит протеина С или аномалии протеина С приводят к массивному тромбозу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фульминантная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пурпура) у новорожденных. Гетерозиготный дефицит протеина С предрасполагает к тромбозу. Приобретенное снижение активности фактора может иметь место при заболеваниях печени с нарушением ее функции, ДВС-синдроме, нефротическом синдроме, синдроме острой дыхательной недостаточности, менингококковом сепсисе, гемодиализе, лечении L-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аспарагиназой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лечении непрямыми антикоагулянтами (дефицит витамина К), в послеродовом и послеоперационном периодах.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Протеин S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(витамин-К-зависимый белок) является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кофактором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активированного протеина С. Определение протеина S возможно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коагуляционным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иммунохимическим способами. Концентрация протеина S в норме составляет 20–25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/мл. Описаны случаи как функцио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нального, так и количественного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дефицита протеина S. Уменьшение содержания (активности) протеина S может быть врожденным (наследственным), а также приобретенным в результате заболевания печени с нарушением ее функции, ДВС-синдрома, нефротического синдрома, системной красной волчанки, лечения L-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аспарагиназой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лечения непрямыми антикоагулянтами, приема эстрогенов (пероральных контрацептивов), беременности, в послеродовом периоде, из-за наличия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аутоантител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протеину S.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Антитромбин III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определения активности антитромбина III (АТ III) чаще всего используют метод с применением хромогенного субстрата. АТ III расщепляет субстрат, в результате образуется окрашенный продукт, количество которого зависит от исходной активности АТ III. Существуют также иммунохимические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коагуляционные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методы. Тест применяют для мониторинга лечения гепарином. Длительная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гепаринотерапия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приводить к снижению активности АТ III в плазме. Лечение высокими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дозами гепарина, особенно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нефракционированного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приводит к транзиторному снижению АТ III по механизму потребления, особенно у больных с тяжелой патологией, при критических состояниях, ДВС-синдроме, сепсисе, злокачественных опухолях. У новорожденных содержание АТ III составляет около 50% и достигает уровня взрослых к 6 месяцам. Нормальный диапазон АТ III: 75–125%. Снижение содержания (активности) АТ III может быть врожденным (наследственным) дефицитом или аномалией (снижение активности или чувствительности к гепарину); приобретенным при заболеваниях печени (опухоли, цирроз, алкогольный гепатит), нефротическом синдроме (протеинурия свыше 5 г/л), карциноме легких, ДВС-синдроме, множественных травмах, тяжелых родах,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гестозах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приеме эстрогенов (пероральных контрацептивов), кортикостероидов, лечении L-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аспарагиназой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Увеличение содержания (активности) АТ III наблюдают во время менструации, при острых вирусных гепатитах,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холестазе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приеме анаболических стероидов, лечении непрямыми антикоагулянтами. </w:t>
      </w:r>
    </w:p>
    <w:p w:rsidR="005E1227" w:rsidRPr="005E1227" w:rsidRDefault="00730988" w:rsidP="005E122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фибринолитической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Время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лизиса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эуглобулиновых</w:t>
      </w:r>
      <w:proofErr w:type="spellEnd"/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сгуст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/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ХIIа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зависимый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фибринолиз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важнейший базисный метод исследования системы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позволяет оценить состояние внутреннего и внешнего механизмов образования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Метод заключается в определении времени спонтанного лизиса сгустка, образующегося из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эуглобулиновой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фракции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бестромбоцитной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плазмы при добавлении к ней раствора хлорида кальция. Метод оценки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эуглобулинового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лизиса требует исходного наличия в плазме фибриногена. При отклонениях содержания фибриногена, а также при неполноценной полимеризации фибрина возможно получение ошибочных результатов. Укорочение времени лизиса (активация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наблюдают при уменьшении концентрации фибриногена —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дисфибриногенемии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увеличение времени лизиса (угнетение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—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гиперфибриногенемии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связи с ориентировочным характером и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недостаточной специфичностью в последнее время вместо теста спонтанного лизиса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эуглобулинового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сгустка используют определение отдельных факторов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первую очередь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Плазминоген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тканевой активатор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(ТА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П). Определение количества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основано на гидролизе хромогенного субстрата. Тест используют для диагностики ДВС-синдрома 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тромбофилий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выявления нарушений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контроля лечения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фибринолитическими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препаратами при тромбозах, тромбоэмболиях, инфарктах. Дефицит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крайне редкое событие, чаще встречается дефицит тканевого активатора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плазминогена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(ТАП). Дефицит ТАП является одним из потенциальных факторов риска тромбоза, хотя клинически это подтверждается не всегда. ТАП освобождается в кровоток из эндотелиальных клеток сосудистой стенки при стрессовых воздействиях на нее. </w:t>
      </w:r>
    </w:p>
    <w:p w:rsidR="005E1227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Тесты активации свертывания крови (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паракоагуляции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 D-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димеры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специфические продукты деградации фибрина, входящие в состав тромба. Они образуются в процессе лизиса сгустка крови под влиянием плазмина и некоторых неспецифических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фибринолитиков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. Концентрация D-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димеров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сыворотке пропорциональна активности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фибринолиза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количеству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лизируемого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фибрина. Этот тест позволяет судить об интенсивности процессов образования и разрушения фибриновых сгустков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Нормальное содержание D-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димера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33,5–727,5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нг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/мл. Повышение уровня D-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димеров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крови происходит при венозных тромбозах,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атеротромбозе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тромбоэмболии легочной артерии, ДВС-синдроме, других состояниях с повышенным образованием фибрина, после операций, особенно при большом операционном поле. D</w:t>
      </w:r>
    </w:p>
    <w:p w:rsidR="00730988" w:rsidRPr="005E1227" w:rsidRDefault="00730988" w:rsidP="002D0BD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Растворимые фибрин-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мономерные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комплексы (РФМК)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активации свертывания крови (ДВС, тромбозы,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тромбофилии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происходит расширение пула фибриногена, в результате чего увеличивается количество растворимых 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фибрин-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мономерных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комплексов (РФМК). Качественное и количественное определение РФМК проводится с помощью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ортофенантролинового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теста.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Гепаринотерапия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содержанием гепарина в плазме крови до 10 ед./мл не влияет на результаты теста. Нормальные значения РФМК по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ортофенантролиновому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тесту — до 4,0 мг%. Повышение РКФМ возникает при активации внутрисосудистого свертывания крови (ДВС-синдром, тромбоз глубоких вен, эмболия легочной артерии), возмож</w:t>
      </w:r>
      <w:r w:rsidR="005E1227"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но при лечении антикоагулянтами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1227" w:rsidRPr="005E1227" w:rsidRDefault="005E1227" w:rsidP="005E122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Рентгенологическое исследование</w:t>
      </w:r>
    </w:p>
    <w:p w:rsidR="005E1227" w:rsidRPr="005E1227" w:rsidRDefault="005E1227" w:rsidP="005E12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R-логического исследования можно определить увеличение лимфатических узлов средостения (ХЛС, ЛС, ЛГМ), изменение костей (очаги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десструкций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компрессии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миеломной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болезни, разрушение костей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лимфосаркоме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уплотнение костей при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остеомиелосклерозе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30988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Ультразвуковая диагностика</w:t>
      </w: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. Позволяет выявить увеличение, консистенцию селезёнки; увеличенные внутрибрюшные лимфоузлы</w:t>
      </w:r>
    </w:p>
    <w:p w:rsidR="00730988" w:rsidRPr="005E1227" w:rsidRDefault="00730988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227" w:rsidRPr="005E1227" w:rsidRDefault="005E1227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5E12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6" w:name="_Toc39428867"/>
      <w:r w:rsidRPr="005E1227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6"/>
    </w:p>
    <w:p w:rsidR="005E1227" w:rsidRPr="005E1227" w:rsidRDefault="005E1227" w:rsidP="005E12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7309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Рукавицын О.А., </w:t>
      </w:r>
      <w:proofErr w:type="gram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Гематология :</w:t>
      </w:r>
      <w:proofErr w:type="gram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национальное руководство [Электронный ресурс] / под ред. О. А. Рукавицына - М. : ГЭОТАР-Медиа, 2017. - 784 с. - ISBN 978-5-9704-4199-2 –</w:t>
      </w:r>
    </w:p>
    <w:p w:rsidR="00730988" w:rsidRPr="005E1227" w:rsidRDefault="00730988" w:rsidP="007309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болезни: гематология: учебное пособие для аудиторной работы студентов 6 курса по специальности 060101 – лечебное дело / сост.: Кузнецова Е.Ю., Тимофеева Л.Н. – Красноярск: типография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КрасГМУ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2010 – 114 с.</w:t>
      </w:r>
    </w:p>
    <w:p w:rsidR="00730988" w:rsidRPr="005E1227" w:rsidRDefault="005E1227" w:rsidP="005E122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Волкова, С.А. Основы клинической гематологии: учебное пособие / С.А. Вол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кова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Н.Н. Боровков. — Н. Новгород: Издательство Нижегородской гос. медицинской академии, 2013. — 400 с.</w:t>
      </w:r>
    </w:p>
    <w:p w:rsidR="00730988" w:rsidRPr="005E1227" w:rsidRDefault="00730988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988" w:rsidRPr="005E1227" w:rsidRDefault="00730988" w:rsidP="007309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0988" w:rsidRPr="005E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627"/>
    <w:multiLevelType w:val="hybridMultilevel"/>
    <w:tmpl w:val="B49677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72FD4"/>
    <w:multiLevelType w:val="hybridMultilevel"/>
    <w:tmpl w:val="CF72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416E"/>
    <w:multiLevelType w:val="hybridMultilevel"/>
    <w:tmpl w:val="2EC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4E"/>
    <w:rsid w:val="00046078"/>
    <w:rsid w:val="00076D6E"/>
    <w:rsid w:val="001B1427"/>
    <w:rsid w:val="001B72BB"/>
    <w:rsid w:val="002B312E"/>
    <w:rsid w:val="002D0BD9"/>
    <w:rsid w:val="00336560"/>
    <w:rsid w:val="003629BB"/>
    <w:rsid w:val="00370197"/>
    <w:rsid w:val="003B73BF"/>
    <w:rsid w:val="004241B1"/>
    <w:rsid w:val="00500B1F"/>
    <w:rsid w:val="00537EB0"/>
    <w:rsid w:val="0058071E"/>
    <w:rsid w:val="005E0529"/>
    <w:rsid w:val="005E1227"/>
    <w:rsid w:val="0061278F"/>
    <w:rsid w:val="00730988"/>
    <w:rsid w:val="007A6295"/>
    <w:rsid w:val="00816D59"/>
    <w:rsid w:val="0084203C"/>
    <w:rsid w:val="00895B42"/>
    <w:rsid w:val="008A1983"/>
    <w:rsid w:val="00961B21"/>
    <w:rsid w:val="009F30C9"/>
    <w:rsid w:val="00A2075E"/>
    <w:rsid w:val="00A67EBE"/>
    <w:rsid w:val="00B22616"/>
    <w:rsid w:val="00B611F3"/>
    <w:rsid w:val="00BC663C"/>
    <w:rsid w:val="00C109D5"/>
    <w:rsid w:val="00C21B9A"/>
    <w:rsid w:val="00C66487"/>
    <w:rsid w:val="00CC48F2"/>
    <w:rsid w:val="00E56223"/>
    <w:rsid w:val="00E72484"/>
    <w:rsid w:val="00F5604E"/>
    <w:rsid w:val="00F7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9B13"/>
  <w15:docId w15:val="{322D68B7-A6F3-4FFF-BAC4-C13B702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itle"/>
    <w:basedOn w:val="a"/>
    <w:next w:val="a"/>
    <w:link w:val="a5"/>
    <w:qFormat/>
    <w:rsid w:val="007309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730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qFormat/>
    <w:rsid w:val="007309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7309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5E122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5E1227"/>
    <w:pPr>
      <w:spacing w:after="100"/>
    </w:pPr>
  </w:style>
  <w:style w:type="character" w:styleId="a9">
    <w:name w:val="Hyperlink"/>
    <w:basedOn w:val="a0"/>
    <w:uiPriority w:val="99"/>
    <w:unhideWhenUsed/>
    <w:rsid w:val="005E1227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5E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E122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353C-6920-414F-8FCE-A2BB0E5C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ПЗ</dc:creator>
  <cp:keywords/>
  <dc:description/>
  <cp:lastModifiedBy>Екатерина Смирнова</cp:lastModifiedBy>
  <cp:revision>3</cp:revision>
  <dcterms:created xsi:type="dcterms:W3CDTF">2020-05-03T12:03:00Z</dcterms:created>
  <dcterms:modified xsi:type="dcterms:W3CDTF">2021-01-10T13:39:00Z</dcterms:modified>
</cp:coreProperties>
</file>