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74" w:rsidRPr="00F73B74" w:rsidRDefault="00F73B74" w:rsidP="00F73B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3B74">
        <w:rPr>
          <w:rFonts w:ascii="Times New Roman" w:eastAsia="Calibri" w:hAnsi="Times New Roman" w:cs="Times New Roman"/>
          <w:sz w:val="20"/>
          <w:szCs w:val="20"/>
        </w:rPr>
        <w:t xml:space="preserve">«Красноярский государственный медицинский университет имени профессора В.Ф. </w:t>
      </w:r>
      <w:proofErr w:type="spellStart"/>
      <w:r w:rsidRPr="00F73B74">
        <w:rPr>
          <w:rFonts w:ascii="Times New Roman" w:eastAsia="Calibri" w:hAnsi="Times New Roman" w:cs="Times New Roman"/>
          <w:sz w:val="20"/>
          <w:szCs w:val="20"/>
        </w:rPr>
        <w:t>Войно-Ясенецкого</w:t>
      </w:r>
      <w:proofErr w:type="spellEnd"/>
      <w:r w:rsidRPr="00F73B74">
        <w:rPr>
          <w:rFonts w:ascii="Times New Roman" w:eastAsia="Calibri" w:hAnsi="Times New Roman" w:cs="Times New Roman"/>
          <w:sz w:val="20"/>
          <w:szCs w:val="20"/>
        </w:rPr>
        <w:t xml:space="preserve">» Министерства здравоохранения Российской Федерации </w:t>
      </w: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3B7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F73B74">
        <w:rPr>
          <w:rFonts w:ascii="Times New Roman" w:eastAsia="Calibri" w:hAnsi="Times New Roman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209136D" wp14:editId="013B0A61">
            <wp:extent cx="1228953" cy="122895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D4yDCo_400x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841" cy="122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74" w:rsidRPr="00F73B74" w:rsidRDefault="00F73B74" w:rsidP="00F73B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</w:p>
    <w:p w:rsidR="00F73B74" w:rsidRPr="00F73B74" w:rsidRDefault="00F73B74" w:rsidP="00F73B7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F73B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Кафедра терапии ИПО</w:t>
      </w:r>
    </w:p>
    <w:p w:rsidR="00F73B74" w:rsidRPr="00F73B74" w:rsidRDefault="00F73B74" w:rsidP="00F73B7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</w:pPr>
      <w:r w:rsidRPr="00F73B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73B74" w:rsidRPr="00F73B74" w:rsidRDefault="00F73B74" w:rsidP="00F73B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3B7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3B74">
        <w:rPr>
          <w:rFonts w:ascii="Times New Roman" w:eastAsia="Calibri" w:hAnsi="Times New Roman" w:cs="Times New Roman"/>
          <w:b/>
          <w:sz w:val="20"/>
          <w:szCs w:val="20"/>
        </w:rPr>
        <w:t xml:space="preserve">РЕФЕРАТ </w:t>
      </w: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B74">
        <w:rPr>
          <w:rFonts w:ascii="Times New Roman" w:eastAsia="Calibri" w:hAnsi="Times New Roman" w:cs="Times New Roman"/>
          <w:b/>
          <w:sz w:val="24"/>
          <w:szCs w:val="24"/>
        </w:rPr>
        <w:t xml:space="preserve"> тема </w:t>
      </w:r>
      <w:proofErr w:type="gramStart"/>
      <w:r w:rsidRPr="00F73B74">
        <w:rPr>
          <w:rFonts w:ascii="Times New Roman" w:eastAsia="Calibri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eastAsia="Calibri" w:hAnsi="Times New Roman" w:cs="Times New Roman"/>
          <w:b/>
          <w:sz w:val="24"/>
          <w:szCs w:val="24"/>
        </w:rPr>
        <w:t>Методы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обследование гематологических больных</w:t>
      </w:r>
      <w:r w:rsidRPr="00F73B7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3B74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 xml:space="preserve"> </w:t>
      </w: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3B74">
        <w:rPr>
          <w:rFonts w:ascii="Times New Roman" w:eastAsia="Calibri" w:hAnsi="Times New Roman" w:cs="Times New Roman"/>
          <w:sz w:val="20"/>
          <w:szCs w:val="20"/>
        </w:rPr>
        <w:t xml:space="preserve">Выполнила ординатор </w:t>
      </w:r>
      <w:r>
        <w:rPr>
          <w:rFonts w:ascii="Times New Roman" w:eastAsia="Calibri" w:hAnsi="Times New Roman" w:cs="Times New Roman"/>
          <w:sz w:val="20"/>
          <w:szCs w:val="20"/>
        </w:rPr>
        <w:t>второго</w:t>
      </w:r>
      <w:r w:rsidRPr="00F73B74">
        <w:rPr>
          <w:rFonts w:ascii="Times New Roman" w:eastAsia="Calibri" w:hAnsi="Times New Roman" w:cs="Times New Roman"/>
          <w:sz w:val="20"/>
          <w:szCs w:val="20"/>
        </w:rPr>
        <w:t xml:space="preserve"> года обучения </w:t>
      </w:r>
    </w:p>
    <w:p w:rsidR="00F73B74" w:rsidRPr="00F73B74" w:rsidRDefault="00F73B74" w:rsidP="00F73B74">
      <w:pPr>
        <w:spacing w:after="1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3B74">
        <w:rPr>
          <w:rFonts w:ascii="Times New Roman" w:eastAsia="Calibri" w:hAnsi="Times New Roman" w:cs="Times New Roman"/>
          <w:sz w:val="20"/>
          <w:szCs w:val="20"/>
        </w:rPr>
        <w:t>Смирнова Екатерина Александровна</w:t>
      </w: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73B74" w:rsidRPr="00F73B74" w:rsidRDefault="00F73B74" w:rsidP="00F73B74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0988" w:rsidRPr="005E1227" w:rsidRDefault="00F73B74" w:rsidP="00F73B74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73B7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КРАСНОЯРСК 2020</w:t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  <w:lang w:eastAsia="en-US"/>
        </w:rPr>
        <w:id w:val="1344291595"/>
        <w:docPartObj>
          <w:docPartGallery w:val="Table of Contents"/>
          <w:docPartUnique/>
        </w:docPartObj>
      </w:sdtPr>
      <w:sdtEndPr/>
      <w:sdtContent>
        <w:p w:rsidR="005E1227" w:rsidRDefault="005E1227">
          <w:pPr>
            <w:pStyle w:val="a8"/>
            <w:rPr>
              <w:rFonts w:ascii="Times New Roman" w:hAnsi="Times New Roman" w:cs="Times New Roman"/>
              <w:color w:val="000000" w:themeColor="text1"/>
            </w:rPr>
          </w:pPr>
          <w:r w:rsidRPr="005E1227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5E1227" w:rsidRPr="005E1227" w:rsidRDefault="005E1227" w:rsidP="005E1227">
          <w:pPr>
            <w:rPr>
              <w:lang w:eastAsia="ru-RU"/>
            </w:rPr>
          </w:pPr>
        </w:p>
        <w:p w:rsidR="005E1227" w:rsidRPr="005E1227" w:rsidRDefault="005E122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5E122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5E122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5E1227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9428862" w:history="1">
            <w:r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Объективное обследование больного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_Toc39428862 \h </w:instrTex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F73B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3" w:history="1">
            <w:r w:rsidR="005E1227"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Лабораторные и инструментальные методы исследования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_Toc39428863 \h </w:instrTex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F73B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4" w:history="1">
            <w:r w:rsidR="005E1227"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Иммунологические методы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_Toc39428864 \h </w:instrTex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F73B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5" w:history="1">
            <w:r w:rsidR="005E1227"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Молекулярно-биологические методы исследования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_Toc39428865 \h </w:instrTex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F73B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6" w:history="1">
            <w:r w:rsidR="005E1227"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Методы исследования гемостаза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_Toc39428866 \h </w:instrTex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F73B74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9428867" w:history="1">
            <w:r w:rsidR="005E1227" w:rsidRPr="005E1227"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литературы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_Toc39428867 \h </w:instrTex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27</w:t>
            </w:r>
            <w:r w:rsidR="005E1227" w:rsidRPr="005E1227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E1227" w:rsidRPr="005E1227" w:rsidRDefault="005E1227">
          <w:pP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5E1227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730988" w:rsidP="00730988">
      <w:pPr>
        <w:spacing w:line="36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730988" w:rsidRPr="005E1227" w:rsidRDefault="005E1227" w:rsidP="00730988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_Toc39428862"/>
      <w:r w:rsidRPr="005E1227">
        <w:rPr>
          <w:rFonts w:ascii="Times New Roman" w:hAnsi="Times New Roman" w:cs="Times New Roman"/>
          <w:color w:val="000000" w:themeColor="text1"/>
        </w:rPr>
        <w:t>О</w:t>
      </w:r>
      <w:r w:rsidR="003B73BF" w:rsidRPr="005E1227">
        <w:rPr>
          <w:rFonts w:ascii="Times New Roman" w:hAnsi="Times New Roman" w:cs="Times New Roman"/>
          <w:color w:val="000000" w:themeColor="text1"/>
        </w:rPr>
        <w:t>бъективное обследование больного</w:t>
      </w:r>
      <w:bookmarkEnd w:id="1"/>
    </w:p>
    <w:p w:rsidR="00730988" w:rsidRPr="005E1227" w:rsidRDefault="00730988" w:rsidP="007309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Общее состояние, питание, цвет кожных покровов, наличие на коже петехий, подкожных кровоизлияний и т. д.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Состояние лимфатических узлов.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Осмотр полости рта, языка, зева.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Пальпация селезёнки, определение ее размеров на спине, на правом боку.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Перкуссия селезёнки имеет ограниченное значение используется лишь для ориентировочного определения размеров селезёнки (размеры селезёнки этим методом точно определить невозможно, т. к. селезёнка окружена полыми органами желудок, кишечник).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Длинник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6-8 см между (IX и XI рёбрами), ширина 4-6 см (по X ребру). </w:t>
      </w:r>
    </w:p>
    <w:p w:rsidR="00730988" w:rsidRPr="005E1227" w:rsidRDefault="003B73BF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Пальпация живота: наличие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регидносги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брюшной стенки, определение болезненности и её локализации, опухолевидных образований (лимфоузлов). </w:t>
      </w:r>
    </w:p>
    <w:p w:rsidR="00730988" w:rsidRPr="005E1227" w:rsidRDefault="003B73BF" w:rsidP="00730988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_Toc39428863"/>
      <w:r w:rsidRPr="005E1227">
        <w:rPr>
          <w:rFonts w:ascii="Times New Roman" w:hAnsi="Times New Roman" w:cs="Times New Roman"/>
          <w:color w:val="000000" w:themeColor="text1"/>
        </w:rPr>
        <w:t>Лабораторные и инструментальные методы исследования</w:t>
      </w:r>
      <w:bookmarkEnd w:id="2"/>
    </w:p>
    <w:p w:rsidR="00730988" w:rsidRPr="005E1227" w:rsidRDefault="00730988" w:rsidP="007309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диагноза заболевания крови предполагает исследование клеток крови и органов кроветворения с помощью морфологических, иммунологических, цитогенетических и молекулярно-биологических методов. </w:t>
      </w:r>
    </w:p>
    <w:p w:rsidR="00730988" w:rsidRPr="005E1227" w:rsidRDefault="00730988" w:rsidP="00730988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Морфологические методы </w:t>
      </w:r>
    </w:p>
    <w:p w:rsidR="00730988" w:rsidRPr="005E1227" w:rsidRDefault="00730988" w:rsidP="0073098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Морфологические методы включают цитологические и гистологические исследования. Объектом цитологического исследования является взвесь клеток периферической крови, костного мозга и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биологических жидкостей (спинномозговой, плевральной и др.). Основные виды цитологического исследования в гематологии: клинический анализ крови, подсчет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цитохимические исследования клеток крови и костного мозга. Материал для цитологического исследования получают при венепункции или пункции костного мозга (аспирационная биопсия). Гистологические исследования — это прежде всего исследование биоптата костного мозга, взятого посредством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трепанобиопсии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ткани лимфатических узлов, полученной посредством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эксцизионной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биопсии.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Клинический анализ крови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: цель клинического анализа крови — диагностика количественных и качественных изменений клеток крови (эритроцитов, 57 лейкоцитов и тромбоцитов). Количественные и качественные изменения клеток крови могут носить реактивный характер или быть следствием заб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олевания системы кроветворения.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Гематологические анализаторы подразделяются на несколько технологических типов. Наиболее широкое распространение получили два из них: оптические анализаторы, использующие различия в рассеивании света, и апертурно-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импедансные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счетчики, реагирующие на изменение сопротивления электрическому току. Устройство оптических анализаторов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Technicon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Bayer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Diagnostic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») предполагает прохождение клеточного потока через узкий фокусированный световой луч (чаще лазерный). Клетки, проходя через луч света, прерывают его или преломляют, что генерирует электрический импульс, регистрируемый счетным устройством. Рассеивание света изменяется в зависимости от размера, объема и формы клеток. Примером апертурно-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импедансных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счетчиков являются анализаторы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Coulter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Sysmex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 только единичная клетка проходит через специальное отверстие в тонкой трубке, она меняет сопротивление электрическому току между двумя платиновыми электродами, генерируя электрический импульс. Каждый импульс записывается электронным устройством. Величина импульса пропорциональна объему клеток, что и лежит в основе их дифференциации. Результат подсчета клеток крови выводится на бумагу. Гематологические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анализаторы в зависимости от своего класса имеют различия по числу определяемых параметров. </w:t>
      </w:r>
    </w:p>
    <w:p w:rsidR="002D0BD9" w:rsidRPr="005E1227" w:rsidRDefault="00730988" w:rsidP="002D0B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периферической крови, минимально определяемые автоматическим гематологическим анализатором:</w:t>
      </w:r>
    </w:p>
    <w:p w:rsidR="002D0BD9" w:rsidRPr="005E1227" w:rsidRDefault="00730988" w:rsidP="002D0B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Абсолютное количество в единице объема крови эритроцитов (RBC), тромбоцитов (PLT), лейкоцитов (WBC) и отдельных видов лейкоцитов (гранулоцитов,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Gran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лимфоцитов,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Lym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моноцитов,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Mon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процентах и абсолютных цифрах. </w:t>
      </w:r>
    </w:p>
    <w:p w:rsidR="002D0BD9" w:rsidRPr="005E1227" w:rsidRDefault="00730988" w:rsidP="002D0B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Количество гемоглобина (HGB) в единице объема крови. 3.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Эритроцитарные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индексы: HCT — гематокрит, MCV — средний объем эритроцита, MCH — среднее содержание гемоглобина в эритроците, MCHC — средняя концентрация гемоглобина в эритроците, RDW — распределение эритроцитов по ширине (показатель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анизоцитоза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эритроцитов). </w:t>
      </w:r>
    </w:p>
    <w:p w:rsidR="002D0BD9" w:rsidRPr="005E1227" w:rsidRDefault="00730988" w:rsidP="002D0B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Тромбоцитарные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индексы: MPV — средний объем тромбоцитов, PDW — распределение тромбоцитов по ширине (показатель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анизоцитоза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тромбоцитов). Существуют анализаторы, которые обеспечивают автоматический подсчет в том числе и разновидностей гранулоцитов (незрелых и зрелых нейтрофилов), эозинофилов, базофилов, а также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бластных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ретикулоцитов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Автоматический подсчет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эритроцитарных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тромбоцитарных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индексов является преимуществом анализаторного исследования крови. Индексы эритроцитов — это цифровые характеристики морфологических изменений в клетках при нарушениях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различного генеза. Особенно ярко морфологические изменения эритроцитов проявляются в колебаниях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эритроцитарных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индексов при дефиците железа, протекающем с нарушением синтеза гемоглобина, и при дефиците витамина В12 или фолиевой кислоты, вызывающем нарушения в процессе деления клеток, а также при различных гемолитических анемиях.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Наиболее значимые 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личест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ые изменения состав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периферической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крови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Снижение показателей периферической крови: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Анемия: у мужчин гемоглобин (HGB) менее 130 г/л; у женщин — 120 г/л.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Тромбоцитопения: тромбоцитов (PLТ) менее 150,0×109 /л, тромбоцитопения с высоким риском спонтанных кровотечений — PLТ менее 20,0×109 /л.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Нейтропения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: абсолютное количество гранулоцитов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Gran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менее 2,5×109 /л. Критериями клинически значимой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нейтропении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(высокий риск развития инфекционных осложнений) считают уровень гранулоцитов менее 1,5×109 /л,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жизнеугрожающей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нейтропении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агранулоцитоз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— уровень гранулоцитов менее 0,5×109 /л.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Лимфоцитопения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: абсолютное количество лимфоцитов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Lym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ниже 1,5×109 /л.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показателей периферической крови: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Эритроцитоз (эритремия): у мужчин эритроцитов (RBC) более 6,5×1012/л, гемоглобин (HGB) более 185 г/л, гематокрит (HCT) выше 52%; у женщин — эритроцитов (RBC) более  5,5×1012/л, гемоглобин (HGB) более 165 г/л, гематокрит (HCT) более 48%.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Тромбоцитоз: тромбоцитов более 450,0×109 /л (реактивное состояние или неопластическое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новообразования).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Абсолютный лимфоцитоз: абсолютное количество лимфоцитов более 5,0×109 /л (первичный абсолютный критерий возможного хронического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лимфолейкоза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Абсолютный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моноцитоз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моноцитов более 1,0×109 /л (первичный критерий возможного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Нейтрофилез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гранулоцитов (нейтрофилов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палочкоядерных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сегментоядерных) больше 7,5×109 /л (воспалительное состояние, возможно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Эозинофилия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эозинофилов более 1,5×109 /л (паразитарные инфекции,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новообразования).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анализе крови могут быть и другие количественные или качественные изменения сос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тава форменных элементов крови.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Самым частым патологическим изменением в анализе крови является анемия. В связи с этим алгоритм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полного клинического анализа крови включает следующие этапы: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установление наличия анемии и степени ее тяжести;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определение морфологического типа анемии;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определение регенераторной активности костного мозга;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4) определение отсутствия или наличия количественных изменений тромбоцитов и лейкоцитов с учетом абсолютного количества отдельных видов лейкоцитов, особенно нейтрофилов и лимфоцитов.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пунктата</w:t>
      </w:r>
      <w:proofErr w:type="spellEnd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костного мозга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для цитологического исследования костного мозга получают посредством пункционной (аспирационной) биопсии плоских костей. Наиболее доступными и безопасными для данной манипуляции являются грудина и подвздошные кости.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Пункцию проводят специальной иглой с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мандреном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извлечения последнего осуществляют аспирацию костного мозга шприцем. Костномозговая взвесь включает эритроциты периферической крови,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жировую ткань костного мозга, ядросодержащие клетки паренхимы и стромы костного мозга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миелокариоциты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мегакариоциты). Часть полученной взвеси костномозговых клеток используют для подсчета абсолютного количества ядросодержащих клеток костного мозга: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миелокариоцитов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» — костномозговая, «карио» — ядросодержащая, «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— клетка) и мегакариоцитов (предшественники тромбоцитов). Мегакариоциты являются самыми крупными клетками костного мозга, хорошо дифференцируются по размеру и форме при малом увеличении микроскопа. Мегакариоцитов в 1000 раз меньше, чем других ядросодержащих клеток костного мозга. Эти два фактора являются основанием подсчитывать количество мегакариоцитов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миелокариоцитов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раздельно. Из оставшейся части костномозговой взвеси делают мазки на предметных стеклах. Мазки с клетками костного мозга фиксируют, окрашивают по Романовскому–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Гимзе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исследуют с помощью светового микроскопа с подсчетом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250–500 клеток.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процентное содержание различных видов ядросодержащих клеток костного мозга соответствующих рядов (линий) кроветворения. Изучению костного мозга в микроскопе с иммерсионной системой для подсчета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предшествует просмотр препарата на малом увеличении. Это позволяет установить, на сколько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пунктат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 клеточными элементами, определить состояние мегакариоцитарного аппарата, х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орошо различимого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малом увеличении, обнаружить скопление клеток, похожих на опухолевые, и пр. Определение процентного клеточного состава костного мозга требует подсчета не менее 250 клеток. В этом случае количество клеток каждого вида умножают на 2 и полученное число делят на 5. При подсчете 500 клеток количество клеток каждого вида делят на 5.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 оценки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Оценка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клеточности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пунктата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данным абсолютного количества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миелокариоцитов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мегакариоцитов.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Определение наличия или отсутствия патологических клеток костного мозга.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Подсчет суммарного количества клеток каждой линии дифференцировки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гранулоцитопоэза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моноцитопоэза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Оценка процентного соотношения клеток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гранулоцитопоэза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(индекс «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лейко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Оценка процентного состава клеток разных стадий дифференцировки внутри каждой из линий (ростков) дифференцировки.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Выявление признаков дисплазии кроветворения. Цитохимическое исследование клеток крови и костного мозга имеет большое диагностическое значение в начальной дифференциации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бластных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 при остром лейкозе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цитохимическая реакция с берлинской лазурью служит способом выявления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сидеробластов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сидероцитов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эритрокариоцитов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эритроцитов, содержащих гранулы железа. В случаях наличия 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эритрокариоците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5 гранул железа, радиально расположенных вокруг ядра, эту клетку называют кольцевидным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сидеробластом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Кольцевидные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сидеробласты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признак перегрузки железом и/или дисплазии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цитохимии клеток крови и костного мозга лежит использование цветных химических реакций для определения в клетке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метаболически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энзимов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(ферментов) и субстратов (веществ). Материалом для исследований служат фиксированные мазки крови и костного мозга. Цитохимическая диагностика острых лейкозов базируется на том, что лейкозные клетки, особенно до начала химиотерапии, сохраняют особенности метаболизма (ферменты и субстраты), присущие их нормальным аналогам. Наибольшее диагностическое значение в цитохимической диагностике имеют ферменты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миелопероксидаза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кислая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щелочная фосфатаза, неспецифические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эстеразы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субстраты — липиды и углеводы.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Гистологическое исследование костного мозга и лимфоидных органов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Образец костного мозга для гистологического исследования забирают посредством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трепанобиопсии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подвздошных костей с помощью специального инструмента — трепана или одноразовой иглы костномозговой универсальной, позволяющих получить столбик кости. Гистологическое исследование костного мозга дает наиболее информативную картину костномозгового кроветворения. Абсолютным показанием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трепанобиопсии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низкая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клеточность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пунктата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костного мозга. При этом исключают аплазию, метаплазию и дисплазию кроветворения, а также подозрение на опухолевое поражение костного мозга с очаговой инфильтрацией опухолевыми клетками.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гистологическом препарате костного мозга оценивают: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состояние четырех типов тканей: костной, соединительной, жировой (желтый костный мозг) и гемопоэтической, или кроветворной (красный костный мозг);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характер клеточного состава кроветворной ткани: полиморфный, мономорфный; наличие патологических клеток (лейкозные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бласты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клетки Березовского–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Штернберга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метастазы рака в костный мозг и др.);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особенности роста, распределения клеток костного мозга, включая признаки дисплазии кроветворения;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характер инфильтративного роста опухолевых клеток гемопоэтического происхождения (диффузная инфильтрация,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нодулярная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очаговая, с образованием лимфоидных фолликулов);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морфологические признаки опухолевых клеток.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Ткань лимфатических узлов для гистологического исследования получают посредством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эксцизионной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биопсии лимфатического узла. Гистологическое исследование селезенки становится возможным после оперативного удаления данного органа.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гистологическом исследовании биоптата лимфатического узла, селезенки оценивают: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степень сохранности морфологической структуры органа (или полное исчезновение);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характер инфильтративного роста опухолевых клеток гемопоэтического происхождения (диффузная инфильтрация,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нодулярная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очаговая, с образованием лимфоидных фолликулов);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морфологические признаки опухолевых клеток.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39428864"/>
      <w:r w:rsidRPr="005E1227">
        <w:rPr>
          <w:rStyle w:val="10"/>
          <w:rFonts w:ascii="Times New Roman" w:hAnsi="Times New Roman" w:cs="Times New Roman"/>
          <w:color w:val="000000" w:themeColor="text1"/>
        </w:rPr>
        <w:t>Иммунологические методы</w:t>
      </w:r>
      <w:bookmarkEnd w:id="3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существуют три разновидности иммунологических методов исследования: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(РИА);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иммуноферментный анализ (ИФА);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метод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(РИА)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Radioimmunoassay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(RIA), или изотопный иммунологический анализ, позволяет осуществлять количественное определение биологически активных веществ, меченных радионуклидом, в биологических жидкостях с последующей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детекцией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специальным счетчиком — радиоспектрометром. </w:t>
      </w:r>
    </w:p>
    <w:p w:rsidR="002D0BD9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Иммуноферментный анализ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(ИФА), или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enzyme-linked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immunosorbent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assay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(ELISA) — лабораторный иммунологический метод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качественного 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и коли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чественного измерения антигенов и антител. В основе ИФА лежит принцип специфического взаимодействия между антигеном и соответствующим антителом. Выявление образовавшегося комплекса осуществляют с помощью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конъюгата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представляет собой анти-антитело, соединённое с ферментной меткой. На заключительном этапе в присутствии перекиси водорода проходит ферментативная реакция (цветная реакция). Результат ее оценивается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спектрофотометрически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визуально. Интенсивность окрашивания зависит от количества выявленных специфических антител. ИФА используется в диагностике ВИЧ, вирусных гепатитов,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цитомегаловирусной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герпетической,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токсоплазменной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инфекций. ИФА может быть осуществлен на лунках тест-планшета вручную. Кроме того, в настоящее время широко распространены автоматические ИФА-анализаторы. Они позволяют определять не только маркеры различных инфекций, но и концентрации гормонов, в том числе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эритропоэтина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других метаболитов, участвующих в процессе кроветворения. В частности, это касается определения концентрации в сыворотке крови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ферритина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(белка, представляющего собой обратимую форму депонирования железа), витамина В12, фолиевой кислоты</w:t>
      </w:r>
      <w:r w:rsidR="002D0BD9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один из методов дифференциации клеток в образцах крови, костного мозга, лимфатических узлов и других органов и тканей. При помощи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меченных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моноклональных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 или каких-либо других зондов на основе реакции «антиген–антитело» определяют тип и функциональное состояние клетки по наличию определенного набора клеточных маркеров — рецепторов, антигенов, кластеров дифференцировки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cluster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differentiation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antigens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CD) на поверхности или внутри клетки.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Флюоресцентную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метку, проявляющую состоявшуюся реакцию «антиген–антитело», обнаруживают с помощью специальных приборов — проточного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цитофлюориметра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люминесцентного микроскопа. Разработана систематизированная номенклатура маркерных молекул, обозначаемых символом CD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Claster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Designation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Claster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Differentiation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Она была предложена для практики в 1982 г. для идентификации и исследования поверхностных мембранных белков лейкоцитов. CD-антигенами (или иначе CD-маркерами) могут быть белки, которые служат рецепторами или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лигандами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участвующими во взаимодействии клеток между собой и являющихся компонентами каскада определённых сигнальных путей, а также они могут быть белками, выполняющими другие функции (например, белки клеточной адгезии). Список CD-антигенов, внесённых в номенклатуру, постоянно пополняется и в настоящее время содержит более 320 CD-антигенов и их подтипов. Антитела против клеточных антигенов получают из сыворотки крови животных, иммунизированных интересующим антигеном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поликлональные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от культуры ткани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гибридомы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Гибридому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слиянием «бессмертных» клеток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плазмоцитарной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опухоли (миеломы) с активированными интересующим антигеном В-лимфоцитами. Уникальность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гибридомного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 состоит в том, что все клетки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гибридомы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потомками одной-единственной клетки и поэтому синтезируют абсолютно идентичные молекулы антител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моноклональные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антитела. В настоящее время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иммунофенотипической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дифференциации гемопоэтических клеток известно как минимум 166 CD, являющихся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дифференцировочными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антигенами или маркерами клеточной активации. Метод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fluorescent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antibody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techniques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включает две технические разновидности исследований: проточную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флюориметрию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иммуногистохимию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Методом проточной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иммунофлюоресценции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лейкоцитов периферической крови, ядросодержащих клеток костного мозга. Методом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типирование клеток в гистологических препаратах костного мозга, лимфатических узлов,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биоптатов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и тканей.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проточной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цитофлюориметрии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ряд неоспоримых преимуществ благодаря большей точности, скорости, возможности одновременной регистрации нескольких антигенов на одной клетке. </w:t>
      </w:r>
      <w:r w:rsidR="00076D6E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Показанием для </w:t>
      </w:r>
      <w:proofErr w:type="spellStart"/>
      <w:r w:rsidR="00076D6E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нофенотипирования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проточной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цитофлюориметрии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прежде всего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лимфопролиферативные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заболевания и острые лейкозы, сопровождающиеся поражением костного мозга с выходом опухолевых клеток в периферическую кровь, а также врожденные и приобретенные иммунодефициты.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Иммуногистохимия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метод, сочетающий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морфологическую диагностику. Это существенно повышает диагностическую значимость данного вида исследования. В основе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визуализация и оценка с помощью микроскопа результатов реакции «антиген–антитело» на клетках в срезах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биопсированной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ткани. В качестве антигена выступают компоненты клеточных структур или межклеточного вещества ткани. Первоначальным способом выявления реакции «антиген–антитело» также была флюоресцирующая метка. Следующий шаг в развитии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связан с разработкой антител, меченных не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флюорохромами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а ферментами. Для обнаружения места связывания меченных ферментом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пероксидаза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кислая фосфатаза) антител применяют субстрат, который под воздействием ферментных меток образует окрашенные продукты. Преимущество ферментных меток состоит в возможности получения длительно хранящихся гистологических препаратов, в которых результаты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иммуногистохимической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реакции могут быть оценены с учетом морфологической структуры ткани и отдельных клеток. Принципиальным отличием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иммуногистохимии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других методов иммунологической диагностики, использующих реакцию «антиген–антитело», является структурная специфичность исследования. В реакции оценивают не только наличие сигнала (есть окрашивание или нет) и его силу (интенсивность окрашивания), но и пространственное распределение сигнала в гистологическом препарате (окрашивание мембран клеток, цитоплазмы, ядра и других структурных элементов).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Иммуногистохимические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методы, кроме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иммунофенотипирования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опухолей кроветворной и лимфоидной тканей, позволяют решать и другие задачи: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• уточнение гистогенеза опухолей;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уточнение источника метастазирования;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оценка функционального состояния клеток опухоли;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определение показаний к иммунотерапии (использованию лекарственных препаратов с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антительным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механизмом действия);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диагностика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иммунокомплексных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аутоиммунных заболеваний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гломерулопатии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буллезные дерматозы, синдром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Гудпасчера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поиск инфекционных агентов (токсоплазма, микобактерии, хламидии, вирусы и др.).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Toc39428865"/>
      <w:r w:rsidRPr="005E1227">
        <w:rPr>
          <w:rStyle w:val="10"/>
          <w:rFonts w:ascii="Times New Roman" w:hAnsi="Times New Roman" w:cs="Times New Roman"/>
          <w:color w:val="000000" w:themeColor="text1"/>
        </w:rPr>
        <w:t>Молекулярно-биологические методы исследования</w:t>
      </w:r>
      <w:bookmarkEnd w:id="4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и использование молекулярно-биологических методов исследования (МБИ) в практической гематологии явилось логичным итогом изучения патогенеза опухолей кроветворной ткани. Закономерным результатом хромосомной аномалии является образование онкогена, а следствием его деятельности — синтез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онкопротеина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непосредственно реализующего механизм онкогенеза на уровне биохимических, а точнее, молекулярно-биологических процессов жизнедеятельности клетки. Обнаружение онкогена,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онкопротеина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популяции клеток костного мозга или периферической крови имеет важное диагностическое значение.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МБИ на этапе первичной диагностики опухолевого заболевания позволяет определять специфические мутации генов в случаях минимальных клинических проявлений посредством исследования периферической крови, не подвергая пациента пункции костного мозга.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Прежде всего, это касается случаев диагностики хронических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 на ранних стадиях развития, манифестирующих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нейтрофильным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лейкоцитозом с небольшим левым сдвигом (появлением молодых форм нейтрофилов в периферической крови), тромбоцитозом. Отличием от реактивных изменений в этих случаях становится обнаружение онкогена BRCABL1, специфичного для хронического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миелолейкоза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-позитивного, или онкогена JAK-2, специфичного для семейства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-негативных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миелопролиферативных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неоплазий (первичного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миелофиброза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истинной полицитемии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эссенциальной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тромбоцитемии). Быстрое получение результата МБИ по сравнению с цитогенетикой в метафазных пластинках крайне важно и при диагностике острых лейкозов, когда с позиции морфологических методов исследования диагноз сомнений не вызывает, но выявление специфической цитогенетической аномалии определяет характер химиотерапии. В частности, речь идет об остром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промиелоцитарном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лейкозе и онкогене PMLRARA, наличие которого служит основанием для использования лекарственного препарата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трансретиноевой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кислоты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весанойда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коренным образом меняющего прогноз заболевания. Наибольшее значение МБИ в диагностике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онкогематологических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 связано с возможностью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детекции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количеств опухолевых клеток в организме, которые не могут быть выявлены ни морфологическими, ни цитогенетическими методами, а именно — в диагностике минимальной остаточной болезни или молекулярного рецидива опухоли. МБИ — основа мониторинга пациентов после достижения гематологической, цитогенетической ремиссии заболевания.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число методов МБИ на сегодняшний день входят 4 основные разновидности: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блоттинг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РНК (гибридизация)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нозерн-блоттинг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блоттинг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ДНК (гибридизация)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саузерн-блоттинг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FISH-гибридизация; • полимеразная цепная реакция (ПЦР).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Первые две методики не получили широкого распространения в практике клинической гематологии.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FISH-гибридизация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флюоресценция в месте гибридизации хромосом. Метод позволяет идентифицировать с помощью флюоресцирующих молекул хромосомные аберрации в ядрах клеток, находящихся вне митотического цикла, т.е. в неделящихся клетках. Данный метод является своего рода мостиком от цитогенетического исследования к молекулярно-биологическому. Идентификация (метка) определенного участка ДНК в геноме клетки осуществляется посредством его гибридизации со специальной комплементарной, меченной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веществом, последовательностью ДНК, называемой зондом.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зонды имеют различные цвета. Зондами желтого и синего цвета метят участки ДНК хромосом 9 и 21. Появление зеленого «сливного» цвета свидетельствует о наличии онкогена BCRABL1 (продукта слияния участков этих хромосом). </w:t>
      </w:r>
    </w:p>
    <w:p w:rsidR="00076D6E" w:rsidRPr="005E1227" w:rsidRDefault="00076D6E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FISH-гибридизацию применяют для изучения клеток периферической крови, костного мозга,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биоптатов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опухоли, плаценты, эмбриональных тканей, амниотической жидкости без предварительной их фиксации для выявления количественных и качественных хромосомных аберраций. Меченные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флюоресцентными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метками специфические ДНК-зонды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гибридизуются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хромосомной ДНК как на метафазных, так и 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интерфазных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препаратах. Одновременно можно использовать множественные зонды к разным локусам ДНК. FISH-гибридизация является чувствительным методом для идентификации хромосомных аберраций при количествах лейкозных клеток менее 109 , обеспечивая при этом быстрый анализ большого (&gt;500) числа клеток. Метод обладает высокой точностью для идентификации неизвестных фрагментов хромосомной ДНК. </w:t>
      </w:r>
    </w:p>
    <w:p w:rsidR="00076D6E" w:rsidRPr="005E1227" w:rsidRDefault="00076D6E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39428866"/>
      <w:r w:rsidRPr="005E1227">
        <w:rPr>
          <w:rStyle w:val="10"/>
          <w:rFonts w:ascii="Times New Roman" w:hAnsi="Times New Roman" w:cs="Times New Roman"/>
          <w:color w:val="000000" w:themeColor="text1"/>
        </w:rPr>
        <w:t>Методы исследования гемостаза</w:t>
      </w:r>
      <w:bookmarkEnd w:id="5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лабораторных исследованиях гемостаза следует: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забирать кровь с минимальным использованием жгута, недопустимо взятие крови шприцем или из подключичного катетера;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соблюдать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этапность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первый этап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тесты, второй — пробы, позволяющие уточнить диагноз;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проводить повторное обследование для подтверждения результата в случае выявления серьезных нарушений в системе гемостаза;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 интерпретировать результаты с учетом возможного влияния принимаемых лекарственных средств и других воздействий.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сосудисто- </w:t>
      </w:r>
      <w:proofErr w:type="spellStart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тромбоцитарного</w:t>
      </w:r>
      <w:proofErr w:type="spellEnd"/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гемостаза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6D6E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Время</w:t>
      </w:r>
      <w:r w:rsidR="00076D6E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кровотечения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время от момента нанесения стандартной раны кожи до момента прекращения вытекания крови. Оно фиксируется посредством промокания раны фильтровальной бумагой или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калориметрически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цвету жидкости, куда поступает вытекающая из пальца кровь. В норме время кровотечения составляет 3–10 мин. Оно характеризует функциональную активность тромбоцитов и взаимодействие тромбоцитов с сосудистой стенкой, но не выявляет всех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тромбоцитарных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нарушений. Этот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скрининговый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 позволяет заподозрить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тромбоцитопатии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различного генеза, болезнь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Виллебранда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нарушения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проагрегантных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свойств сосудистой стенки.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Исследование агрегации тромбоцитов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оценка их функциональной активности. Для исследования используют физиологические индукторы агрегации тромбоцитов: тромбин, адреналин, АДФ, коллаген; или специальные индукторы, такие как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ристомицин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Наиболее часто изучают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АДФ-, адреналин-, коллаген-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ристомицин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-индуцированную агрегацию тромбоцитов с графической регистрацией процесса на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агрегометре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Основными параметрами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агрегатограммы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степень агрегации (в процентах) и время агрегации (в минутах). Повышение агрегационной активности тромбоцитов характерно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претромботических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состояний, тромбозов, атеросклероза,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васкулитов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возможно при беременности. Снижение агрегационной активности тромбоцитов наблюдают при первичных и симптоматических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тромбоцитопатиях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лечении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антиагрегантами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1227" w:rsidRPr="005E1227" w:rsidRDefault="00730988" w:rsidP="005E122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(плазменного) гемостаза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Активированное частичное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тромбопластиновое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время (АЧТВ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Термин «частичный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тромбопластин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означает, что реактив содержит только фосфолипиды, в нем нет тканевого фактора. Метод используется как тест для оценки внутреннего механизма свертывания крови, прежде всего скрининга на дефицит факторов VIII или IX (гемофилия А и В), волчаночного антикоагулянта и слежения за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антикоагулянтным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действием гепаринов. Каждая лаборатория определяет свой нормальный диапазон АЧТВ с учетом используемых реактивов. Укорочение АЧТВ (активация внутреннего механизма свертывания) обнаруживают при тромбозах, тромбоэмболиях,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ДВСсиндроме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гиперкоагуляционная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фаза), иногда при нормально протекающей беременности. Удлинение АЧТВ имеет место при большом спектре патологических состояний. Прежде всего это дефицит факторов внутреннего пути свертывания: VIII (гемофилия А), IX (гемофилия В), XI, XII при нормальных результатах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теста; дефицит факторов II, V, X в случае сопутствующей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гипокоагуляции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тесте; дефицит фактора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Виллебранда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терапия обычным,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нефракционированным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гепарином, лечение антикоагулянтами непрямого действия, ДВС-синдром (потребление факторов свертывания в фазу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гипокоагуляции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переливания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реополиглюкина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препаратов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гидроксиэтилкрахмала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инфукол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валекам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НЕS), наличие волчаночного антикоагулянта, мутация фактора IX, дефекты при получении крови для исследования (гемолиз, передозировка цитрата натрия, забор крови из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гепаринизированного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катетера).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Протромбиновое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время (по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Квику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), МНО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(ПТВ) — тест для оценки внешнего механизма свертывания крови. ПТВ обычно используется для определения активности фактора VII, контроля за лечением непрямыми антикоагулянтами, при скрининге системы гемостаза, а также для количественной оценки фибриногена в автоматических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коагулометрах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Каждая лаборатория определяет свой нормальный диапазон ПТВ с учетом используемых реактивов. Укорочение ПТВ свидетельствует об активации внешнего механизма свертывания — при ДВС-синдроме, в последние недели беременности, при приеме пероральных контрацептивов, лечении концентратами факторов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Фейба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НовоСевен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Удлинение ПТВ имеет место при дефиците или аномалии факторов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(VII, X, V, II), в случаях приема антикоагулянтов непрямого действия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варфарин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 болезнях печени и желчевыводящей системы, лечении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нефракционированным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гепарином (тест реагирует лишь на сравнительно высокие концентрации антикоагулянта, примерно от 0,5 МЕ/мл крови и выше), ДВС-синдроме (потребление факторов свертывания в переходную фазу и фазу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гипокоагуляции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на фоне переливаний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реополиглюкина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препаратов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гидроксиэтилкрахмала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инфукол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валекам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 наличии в крови волчаночного антикоагулянта (возможно), дефектах взятия крови для исследования (гемолиз, передозировка цитрата натрия, забор крови из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гепаринизированного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катетера).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МНО (Международное нормализованное отношение), латинская аббревиатура — INR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International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Normalized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Ratio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— дополнительный способ представления результатов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протромбинового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теста. Рекомендован комитетом экспертов ВОЗ и другими международными организациями по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стандартизации в гематологии для контроля терапии непрямыми антикоагулянтами. МНО — это отношение ПТВ пациента к ПТВ нормальной плазмы в степени международного индекса чувствительности (МИЧ). МИЧ — коррекционный фактор, специфичный для каждой партии реактивов, рассчитанный на основании стандартов ВОЗ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тромбопластина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МНО — математическая коррекция, при помощи которой производится стандартизация ПТВ, что позволяет сравнивать результаты, полученные в разных лабораториях. МНО и протромбин по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Квику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коррелируют отрицательно: снижение протромбина по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Квику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повышению МНО. В норме МНО приближается к 1. Терапевтический диапазон МНО 2–3 на фоне терапии непрямыми антикоагулянтами обеспечивает профилактику тромбоза без увеличения риска кровотечения.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Тромбиновое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время (ТВ)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третий по значимости базисный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коагуляционный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тест. Характеризует конечный этап процесса свертывания — превращение фибриногена в фибрин под действием тромбина. На него влияет концентрация фибриногена в плазме и наличие продуктов деградации фибрина.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Референсные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ТВ: 18–24 с. Укорочение ТВ характерно для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гиперфибриногенемии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(фибриноген 6,0 г/л и выше), начальной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гиперкоагуляционной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фазы острого и подострого ДВС-синдрома. Удлинение ТВ имеет место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гепаринотерапии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обычным гепарином (тест реагирует на сравнительно низкие 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антикоагулянта, приблизительно от 0,05 МЕ/мл крови),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(фибриноген ниже 1,0 г/л) в случаях развития острого ДВС-синдрома и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тромболитической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терапии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стрептокиназа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актилизе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др.), несоблюдении правил забора крови (гемолиз, передозировка цитрата натрия, забор крови из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гепаринизированного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катетера).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Концентрация фибрин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оге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в плазме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Количественное определение фибриногена по методу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Клаусса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базисным тестом исследования гемостаза. Образование фибрина и его стабилизация представляют собой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финальный этап формирования тромба, при котором растворимый фибриноген превращается в нерастворимый фибрин под действием тромбина и фактора XIII. Фибриноген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острофазовый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белок. Печень синтезирует 2—5 г фибриногена в день, время полувыведения фибриногена из крови составляет около 4 дней. Концентрация его может превышать 10 г/л при тяжелых бактериальных инфекциях, при травме и тромбозе. К значительному росту фибриногена приводят заболевания почек (пиелонефрит,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гломерулонефрит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гемолитико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-уремический синдром), коллагенозы (ревматоидный артрит, узелковый периартериит), пароксизмальная ночная гемоглобинурия, новообразования (рак легкого). Повышение уровня фибриногена в плазме крови больных сердечно-сосудистыми заболеваниями предшествует развитию инфаркта миокарда и инсульта. Корреляция между уровнем фибриногена и развитием этих осложнений особенно четко прослеживается у пациентов молодого и среднего возраста. Определение уровня фибриногена — наиболее чувствительный тест для выявления бессимптомных стадий заболевания периферических артериальных сосудов. Нормальные значения фибриногена: 2,75–3,65 г/л. Снижение концентрации фибриногена происходит при остром ДВС-синдроме,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дисфибриногенемии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Повышение концентрации фибриногена имеет место при инфекционных, воспалительных и аутоиммунных процессах, подостром и хроническом ДВС-синдроме, нормально протекающей беременности. Исследование факторов свертывания проводят в случаях необъяснимого удлинения АЧТВ или ПТВ при дооперационном скрининге на основе модифицированных тестов АЧТВ или ПТВ с реактивом плазмы, имеющим дефицит исследуемого фактора. Оценку фактора XIII необходимо выполнять при наличии у пациента необъяснимых кровотечений при нормальных значениях АЧТВ и ПТВ. Нормальный диапазон для большинства факторов 70–130%. 2.5.4.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 р о т е и н С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Его определяют иммунохимическим,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и методом с хромогенным субстратом. Протеин С инактивирует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Vа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VIII только в комплексе с протеином S, поэтому их содержание желательно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оценивать в совокупности. В норме уровень протеина С составляет от 70 до 140%. Повышение его может иметь место во время беременности. Наследственный гомозиготный дефицит протеина С или аномалии протеина С приводят к массивному тромбозу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фульминантная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пурпура) у новорожденных. Гетерозиготный дефицит протеина С предрасполагает к тромбозу. Приобретенное снижение активности фактора может иметь место при заболеваниях печени с нарушением ее функции, ДВС-синдроме, нефротическом синдроме, синдроме острой дыхательной недостаточности, менингококковом сепсисе, гемодиализе, лечении L-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аспарагиназой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лечении непрямыми антикоагулянтами (дефицит витамина К), в послеродовом и послеоперационном периодах.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Протеин S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(витамин-К-зависимый белок) является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кофактором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активированного протеина С. Определение протеина S возможно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коагуляционным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иммунохимическим способами. Концентрация протеина S в норме составляет 20–25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/мл. Описаны случаи как функцио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нального, так и количественного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дефицита протеина S. Уменьшение содержания (активности) протеина S может быть врожденным (наследственным), а также приобретенным в результате заболевания печени с нарушением ее функции, ДВС-синдрома, нефротического синдрома, системной красной волчанки, лечения L-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аспарагиназой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лечения непрямыми антикоагулянтами, приема эстрогенов (пероральных контрацептивов), беременности, в послеродовом периоде, из-за наличия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аутоантител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протеину S.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Антитромбин III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определения активности антитромбина III (АТ III) чаще всего используют метод с применением хромогенного субстрата. АТ III расщепляет субстрат, в результате образуется окрашенный продукт, количество которого зависит от исходной активности АТ III. Существуют также иммунохимические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коагуляционные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методы. Тест применяют для мониторинга лечения гепарином. Длительная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гепаринотерапия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приводить к снижению активности АТ III в плазме. Лечение высокими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дозами гепарина, особенно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нефракционированного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приводит к транзиторному снижению АТ III по механизму потребления, особенно у больных с тяжелой патологией, при критических состояниях, ДВС-синдроме, сепсисе, злокачественных опухолях. У новорожденных содержание АТ III составляет около 50% и достигает уровня взрослых к 6 месяцам. Нормальный диапазон АТ III: 75–125%. Снижение содержания (активности) АТ III может быть врожденным (наследственным) дефицитом или аномалией (снижение активности или чувствительности к гепарину); приобретенным при заболеваниях печени (опухоли, цирроз, алкогольный гепатит), нефротическом синдроме (протеинурия свыше 5 г/л), карциноме легких, ДВС-синдроме, множественных травмах, тяжелых родах,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гестозах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приеме эстрогенов (пероральных контрацептивов), кортикостероидов, лечении L-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аспарагиназой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Увеличение содержания (активности) АТ III наблюдают во время менструации, при острых вирусных гепатитах,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холестазе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приеме анаболических стероидов, лечении непрямыми антикоагулянтами. </w:t>
      </w:r>
    </w:p>
    <w:p w:rsidR="005E1227" w:rsidRPr="005E1227" w:rsidRDefault="00730988" w:rsidP="005E122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фибринолитической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Время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лизиса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эуглобулиновых</w:t>
      </w:r>
      <w:proofErr w:type="spellEnd"/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сгуст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/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ХIIа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зависимый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фибринолиз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важнейший базисный метод исследования системы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 позволяет оценить состояние внутреннего и внешнего механизмов образования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 заключается в определении времени спонтанного лизиса сгустка, образующегося из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эуглобулиновой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фракции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бестромбоцитной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плазмы при добавлении к ней раствора хлорида кальция. Метод оценки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эуглобулинового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лизиса требует исходного наличия в плазме фибриногена. При отклонениях содержания фибриногена, а также при неполноценной полимеризации фибрина возможно получение ошибочных результатов. Укорочение времени лизиса (активация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наблюдают при уменьшении концентрации фибриногена —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дисфибриногенемии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увеличение времени лизиса (угнетение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—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гиперфибриногенемии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связи с ориентировочным характером и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недостаточной специфичностью в последнее время вместо теста спонтанного лизиса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эуглобулинового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сгустка используют определение отдельных факторов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первую очередь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Плазминоген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 тканевой активатор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(ТА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П). Определение количества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основано на гидролизе хромогенного субстрата. Тест используют для диагностики ДВС-синдрома 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тромбофилий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выявления нарушений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контроля лечения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фибринолитическими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препаратами при тромбозах, тромбоэмболиях, инфарктах. Дефицит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крайне редкое событие, чаще встречается дефицит тканевого активатора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плазминогена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(ТАП). Дефицит ТАП является одним из потенциальных факторов риска тромбоза, хотя клинически это подтверждается не всегда. ТАП освобождается в кровоток из эндотелиальных клеток сосудистой стенки при стрессовых воздействиях на нее. </w:t>
      </w:r>
    </w:p>
    <w:p w:rsidR="005E1227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Тесты активации свертывания крови (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паракоагуляции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 D-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димеры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специфические продукты деградации фибрина, входящие в состав тромба. Они образуются в процессе лизиса сгустка крови под влиянием плазмина и некоторых неспецифических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фибринолитиков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. Концентрация D-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димеров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сыворотке пропорциональна активности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фибринолиза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количеству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лизируемого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фибрина. Этот тест позволяет судить об интенсивности процессов образования и разрушения фибриновых сгустков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Нормальное содержание D-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димера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33,5–727,5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нг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/мл. Повышение уровня D-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димеров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крови происходит при венозных тромбозах,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атеротромбозе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тромбоэмболии легочной артерии, ДВС-синдроме, других состояниях с повышенным образованием фибрина, после операций, особенно при большом операционном поле. D</w:t>
      </w:r>
    </w:p>
    <w:p w:rsidR="00730988" w:rsidRPr="005E1227" w:rsidRDefault="00730988" w:rsidP="002D0B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Растворимые фибрин-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мономерные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комплексы (РФМК)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активации свертывания крови (ДВС, тромбозы,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тромбофилии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происходит расширение пула фибриногена, в результате чего увеличивается количество растворимых 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фибрин-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мономерных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комплексов (РФМК). Качественное и количественное определение РФМК проводится с помощью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ортофенантролинового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теста.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Гепаринотерапия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содержанием гепарина в плазме крови до 10 ед./мл не влияет на результаты теста. Нормальные значения РФМК по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ортофенантролиновому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тесту — до 4,0 мг%. Повышение РКФМ возникает при активации внутрисосудистого свертывания крови (ДВС-синдром, тромбоз глубоких вен, эмболия легочной артерии), возмож</w:t>
      </w:r>
      <w:r w:rsidR="005E1227"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но при лечении антикоагулянтами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1227" w:rsidRPr="005E1227" w:rsidRDefault="005E1227" w:rsidP="005E1227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Рентгенологическое исследование</w:t>
      </w:r>
    </w:p>
    <w:p w:rsidR="005E1227" w:rsidRPr="005E1227" w:rsidRDefault="005E1227" w:rsidP="005E12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R-логического исследования можно определить увеличение лимфатических узлов средостения (ХЛС, ЛС, ЛГМ), изменение костей (очаги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десструкций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компрессии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миеломной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болезни, разрушение костей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лимфосаркоме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уплотнение костей при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остеомиелосклерозе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30988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Ультразвуковая диагностика</w:t>
      </w: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. Позволяет выявить увеличение, консистенцию селезёнки; увеличенные внутрибрюшные лимфоузлы</w:t>
      </w: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27" w:rsidRPr="005E1227" w:rsidRDefault="005E1227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5E12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_Toc39428867"/>
      <w:r w:rsidRPr="005E1227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6"/>
    </w:p>
    <w:p w:rsidR="005E1227" w:rsidRPr="005E1227" w:rsidRDefault="005E1227" w:rsidP="005E12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Рукавицын О.А., </w:t>
      </w:r>
      <w:proofErr w:type="gram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Гематология :</w:t>
      </w:r>
      <w:proofErr w:type="gram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национальное руководство [Электронный ресурс] / под ред. О. А. Рукавицына - М. : ГЭОТАР-Медиа, 2017. - 784 с. - ISBN 978-5-9704-4199-2 –</w:t>
      </w:r>
    </w:p>
    <w:p w:rsidR="00730988" w:rsidRPr="005E1227" w:rsidRDefault="00730988" w:rsidP="007309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Внутренние болезни: гематология: учебное пособие для аудиторной работы студентов 6 курса по специальности 060101 – лечебное дело / сост.: Кузнецова Е.Ю., Тимофеева Л.Н. – Красноярск: типография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КрасГМУ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2010 – 114 с.</w:t>
      </w:r>
    </w:p>
    <w:p w:rsidR="00730988" w:rsidRPr="005E1227" w:rsidRDefault="005E1227" w:rsidP="005E122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Волкова, С.А. Основы клинической гематологии: учебное пособие / С.А. Вол </w:t>
      </w:r>
      <w:proofErr w:type="spellStart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кова</w:t>
      </w:r>
      <w:proofErr w:type="spellEnd"/>
      <w:r w:rsidRPr="005E1227">
        <w:rPr>
          <w:rFonts w:ascii="Times New Roman" w:hAnsi="Times New Roman" w:cs="Times New Roman"/>
          <w:color w:val="000000" w:themeColor="text1"/>
          <w:sz w:val="28"/>
          <w:szCs w:val="28"/>
        </w:rPr>
        <w:t>, Н.Н. Боровков. — Н. Новгород: Издательство Нижегородской гос. медицинской академии, 2013. — 400 с.</w:t>
      </w: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988" w:rsidRPr="005E1227" w:rsidRDefault="00730988" w:rsidP="0073098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0988" w:rsidRPr="005E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627"/>
    <w:multiLevelType w:val="hybridMultilevel"/>
    <w:tmpl w:val="B4967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872FD4"/>
    <w:multiLevelType w:val="hybridMultilevel"/>
    <w:tmpl w:val="CF7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9416E"/>
    <w:multiLevelType w:val="hybridMultilevel"/>
    <w:tmpl w:val="2EC6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E"/>
    <w:rsid w:val="00046078"/>
    <w:rsid w:val="00076D6E"/>
    <w:rsid w:val="001B1427"/>
    <w:rsid w:val="001B72BB"/>
    <w:rsid w:val="002B312E"/>
    <w:rsid w:val="002D0BD9"/>
    <w:rsid w:val="00336560"/>
    <w:rsid w:val="003629BB"/>
    <w:rsid w:val="00370197"/>
    <w:rsid w:val="003B73BF"/>
    <w:rsid w:val="004241B1"/>
    <w:rsid w:val="00500B1F"/>
    <w:rsid w:val="00537EB0"/>
    <w:rsid w:val="0058071E"/>
    <w:rsid w:val="005E0529"/>
    <w:rsid w:val="005E1227"/>
    <w:rsid w:val="0061278F"/>
    <w:rsid w:val="00730988"/>
    <w:rsid w:val="007A6295"/>
    <w:rsid w:val="00816D59"/>
    <w:rsid w:val="0084203C"/>
    <w:rsid w:val="00895B42"/>
    <w:rsid w:val="008A1983"/>
    <w:rsid w:val="00961B21"/>
    <w:rsid w:val="009F30C9"/>
    <w:rsid w:val="00A2075E"/>
    <w:rsid w:val="00A67EBE"/>
    <w:rsid w:val="00B22616"/>
    <w:rsid w:val="00B611F3"/>
    <w:rsid w:val="00BC663C"/>
    <w:rsid w:val="00C109D5"/>
    <w:rsid w:val="00C21B9A"/>
    <w:rsid w:val="00C66487"/>
    <w:rsid w:val="00CC48F2"/>
    <w:rsid w:val="00E56223"/>
    <w:rsid w:val="00E72484"/>
    <w:rsid w:val="00F5604E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A9B13"/>
  <w15:docId w15:val="{322D68B7-A6F3-4FFF-BAC4-C13B7027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8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0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Title"/>
    <w:basedOn w:val="a"/>
    <w:next w:val="a"/>
    <w:link w:val="a5"/>
    <w:qFormat/>
    <w:rsid w:val="00730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730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730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730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5E12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rsid w:val="005E1227"/>
    <w:pPr>
      <w:spacing w:after="100"/>
    </w:pPr>
  </w:style>
  <w:style w:type="character" w:styleId="a9">
    <w:name w:val="Hyperlink"/>
    <w:basedOn w:val="a0"/>
    <w:uiPriority w:val="99"/>
    <w:unhideWhenUsed/>
    <w:rsid w:val="005E122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5E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E122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353C-6920-414F-8FCE-A2BB0E5C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6229</Words>
  <Characters>35509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ПЗ</dc:creator>
  <cp:keywords/>
  <dc:description/>
  <cp:lastModifiedBy>Екатерина Смирнова</cp:lastModifiedBy>
  <cp:revision>3</cp:revision>
  <dcterms:created xsi:type="dcterms:W3CDTF">2020-05-03T12:03:00Z</dcterms:created>
  <dcterms:modified xsi:type="dcterms:W3CDTF">2021-01-10T13:39:00Z</dcterms:modified>
</cp:coreProperties>
</file>