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AA9" w:rsidRPr="000904BD" w:rsidRDefault="000904BD">
      <w:pPr>
        <w:spacing w:before="17" w:line="259" w:lineRule="auto"/>
        <w:ind w:left="792" w:firstLine="628"/>
        <w:rPr>
          <w:sz w:val="32"/>
        </w:rPr>
      </w:pPr>
      <w:r w:rsidRPr="000904BD">
        <w:rPr>
          <w:sz w:val="32"/>
        </w:rPr>
        <w:t>«КРАСНОЯРСКИЙ ГОСУДАРСТВЕННЫЙ МЕДИЦИНСКИЙ УНИВЕРСИТЕТ ИМЕНИ ПРОФЕССОРА В.Ф.</w:t>
      </w:r>
      <w:r w:rsidRPr="000904BD">
        <w:rPr>
          <w:spacing w:val="-14"/>
          <w:sz w:val="32"/>
        </w:rPr>
        <w:t xml:space="preserve"> </w:t>
      </w:r>
      <w:r w:rsidRPr="000904BD">
        <w:rPr>
          <w:sz w:val="32"/>
        </w:rPr>
        <w:t>ВОЙНО-ЯСЕНЕЦКОГО»</w:t>
      </w:r>
    </w:p>
    <w:p w:rsidR="008D3AA9" w:rsidRPr="000904BD" w:rsidRDefault="000904BD">
      <w:pPr>
        <w:spacing w:before="1"/>
        <w:ind w:left="758"/>
        <w:rPr>
          <w:sz w:val="32"/>
        </w:rPr>
      </w:pPr>
      <w:r w:rsidRPr="000904BD">
        <w:rPr>
          <w:sz w:val="32"/>
        </w:rPr>
        <w:t>МИНИСТЕРСТВА ЗДРАВООХРАНЕНИЯ РОССИЙСКОЙ</w:t>
      </w:r>
      <w:r w:rsidRPr="000904BD">
        <w:rPr>
          <w:spacing w:val="-22"/>
          <w:sz w:val="32"/>
        </w:rPr>
        <w:t xml:space="preserve"> </w:t>
      </w:r>
      <w:r w:rsidRPr="000904BD">
        <w:rPr>
          <w:sz w:val="32"/>
        </w:rPr>
        <w:t>ФЕДЕРАЦИИ</w:t>
      </w:r>
    </w:p>
    <w:p w:rsidR="008D3AA9" w:rsidRPr="000904BD" w:rsidRDefault="008D3AA9">
      <w:pPr>
        <w:pStyle w:val="a3"/>
        <w:rPr>
          <w:sz w:val="32"/>
        </w:rPr>
      </w:pPr>
    </w:p>
    <w:p w:rsidR="008D3AA9" w:rsidRPr="000904BD" w:rsidRDefault="008D3AA9">
      <w:pPr>
        <w:pStyle w:val="a3"/>
        <w:spacing w:before="2"/>
        <w:rPr>
          <w:sz w:val="31"/>
        </w:rPr>
      </w:pPr>
    </w:p>
    <w:p w:rsidR="008D3AA9" w:rsidRPr="000904BD" w:rsidRDefault="000904BD">
      <w:pPr>
        <w:spacing w:before="1"/>
        <w:ind w:left="498" w:right="868"/>
        <w:jc w:val="center"/>
        <w:rPr>
          <w:sz w:val="32"/>
        </w:rPr>
      </w:pPr>
      <w:r w:rsidRPr="000904BD">
        <w:rPr>
          <w:sz w:val="32"/>
        </w:rPr>
        <w:t>Кафедра Анестезиологии и реаниматологии ИПО</w:t>
      </w:r>
    </w:p>
    <w:p w:rsidR="008D3AA9" w:rsidRPr="000904BD" w:rsidRDefault="008D3AA9">
      <w:pPr>
        <w:pStyle w:val="a3"/>
        <w:rPr>
          <w:sz w:val="32"/>
        </w:rPr>
      </w:pPr>
    </w:p>
    <w:p w:rsidR="008D3AA9" w:rsidRPr="000904BD" w:rsidRDefault="008D3AA9">
      <w:pPr>
        <w:pStyle w:val="a3"/>
        <w:rPr>
          <w:sz w:val="32"/>
        </w:rPr>
      </w:pPr>
    </w:p>
    <w:p w:rsidR="008D3AA9" w:rsidRPr="000904BD" w:rsidRDefault="008D3AA9">
      <w:pPr>
        <w:pStyle w:val="a3"/>
        <w:rPr>
          <w:sz w:val="32"/>
        </w:rPr>
      </w:pPr>
    </w:p>
    <w:p w:rsidR="008D3AA9" w:rsidRPr="000904BD" w:rsidRDefault="008D3AA9">
      <w:pPr>
        <w:pStyle w:val="a3"/>
        <w:rPr>
          <w:sz w:val="32"/>
        </w:rPr>
      </w:pPr>
    </w:p>
    <w:p w:rsidR="008D3AA9" w:rsidRPr="000904BD" w:rsidRDefault="008D3AA9">
      <w:pPr>
        <w:pStyle w:val="a3"/>
        <w:rPr>
          <w:sz w:val="32"/>
        </w:rPr>
      </w:pPr>
    </w:p>
    <w:p w:rsidR="008D3AA9" w:rsidRPr="000904BD" w:rsidRDefault="008D3AA9">
      <w:pPr>
        <w:pStyle w:val="a3"/>
        <w:rPr>
          <w:sz w:val="40"/>
        </w:rPr>
      </w:pPr>
    </w:p>
    <w:p w:rsidR="008D3AA9" w:rsidRPr="000904BD" w:rsidRDefault="000904BD">
      <w:pPr>
        <w:spacing w:before="1" w:line="357" w:lineRule="auto"/>
        <w:ind w:left="4177" w:right="4537" w:hanging="1"/>
        <w:jc w:val="center"/>
        <w:rPr>
          <w:sz w:val="32"/>
        </w:rPr>
      </w:pPr>
      <w:r w:rsidRPr="000904BD">
        <w:rPr>
          <w:sz w:val="32"/>
        </w:rPr>
        <w:t xml:space="preserve">Реферат по теме: </w:t>
      </w:r>
      <w:r>
        <w:rPr>
          <w:sz w:val="32"/>
        </w:rPr>
        <w:t>«Тромбоэмболия легочной артерии</w:t>
      </w:r>
      <w:r w:rsidRPr="000904BD">
        <w:rPr>
          <w:sz w:val="32"/>
        </w:rPr>
        <w:t>»</w:t>
      </w:r>
    </w:p>
    <w:p w:rsidR="008D3AA9" w:rsidRPr="000904BD" w:rsidRDefault="008D3AA9">
      <w:pPr>
        <w:pStyle w:val="a3"/>
        <w:rPr>
          <w:sz w:val="32"/>
        </w:rPr>
      </w:pPr>
    </w:p>
    <w:p w:rsidR="008D3AA9" w:rsidRPr="000904BD" w:rsidRDefault="008D3AA9">
      <w:pPr>
        <w:pStyle w:val="a3"/>
        <w:rPr>
          <w:sz w:val="32"/>
        </w:rPr>
      </w:pPr>
    </w:p>
    <w:p w:rsidR="008D3AA9" w:rsidRPr="000904BD" w:rsidRDefault="008D3AA9">
      <w:pPr>
        <w:pStyle w:val="a3"/>
        <w:rPr>
          <w:sz w:val="32"/>
        </w:rPr>
      </w:pPr>
    </w:p>
    <w:p w:rsidR="008D3AA9" w:rsidRPr="000904BD" w:rsidRDefault="008D3AA9">
      <w:pPr>
        <w:pStyle w:val="a3"/>
        <w:rPr>
          <w:sz w:val="32"/>
        </w:rPr>
      </w:pPr>
    </w:p>
    <w:p w:rsidR="008D3AA9" w:rsidRPr="000904BD" w:rsidRDefault="008D3AA9">
      <w:pPr>
        <w:pStyle w:val="a3"/>
        <w:rPr>
          <w:sz w:val="32"/>
        </w:rPr>
      </w:pPr>
    </w:p>
    <w:p w:rsidR="008D3AA9" w:rsidRPr="000904BD" w:rsidRDefault="008D3AA9">
      <w:pPr>
        <w:pStyle w:val="a3"/>
        <w:rPr>
          <w:sz w:val="32"/>
        </w:rPr>
      </w:pPr>
    </w:p>
    <w:p w:rsidR="008D3AA9" w:rsidRPr="000904BD" w:rsidRDefault="008D3AA9">
      <w:pPr>
        <w:pStyle w:val="a3"/>
        <w:rPr>
          <w:sz w:val="32"/>
        </w:rPr>
      </w:pPr>
    </w:p>
    <w:p w:rsidR="008D3AA9" w:rsidRPr="000904BD" w:rsidRDefault="008D3AA9">
      <w:pPr>
        <w:pStyle w:val="a3"/>
        <w:rPr>
          <w:sz w:val="32"/>
        </w:rPr>
      </w:pPr>
    </w:p>
    <w:p w:rsidR="008D3AA9" w:rsidRPr="000904BD" w:rsidRDefault="008D3AA9">
      <w:pPr>
        <w:pStyle w:val="a3"/>
        <w:rPr>
          <w:sz w:val="32"/>
        </w:rPr>
      </w:pPr>
    </w:p>
    <w:p w:rsidR="008D3AA9" w:rsidRPr="000904BD" w:rsidRDefault="008D3AA9">
      <w:pPr>
        <w:pStyle w:val="a3"/>
        <w:rPr>
          <w:sz w:val="32"/>
        </w:rPr>
      </w:pPr>
    </w:p>
    <w:p w:rsidR="008D3AA9" w:rsidRPr="000904BD" w:rsidRDefault="008D3AA9">
      <w:pPr>
        <w:pStyle w:val="a3"/>
        <w:rPr>
          <w:sz w:val="32"/>
        </w:rPr>
      </w:pPr>
    </w:p>
    <w:p w:rsidR="008D3AA9" w:rsidRPr="000904BD" w:rsidRDefault="008D3AA9">
      <w:pPr>
        <w:pStyle w:val="a3"/>
        <w:rPr>
          <w:sz w:val="32"/>
        </w:rPr>
      </w:pPr>
    </w:p>
    <w:p w:rsidR="008D3AA9" w:rsidRPr="000904BD" w:rsidRDefault="008D3AA9">
      <w:pPr>
        <w:pStyle w:val="a3"/>
        <w:rPr>
          <w:sz w:val="32"/>
        </w:rPr>
      </w:pPr>
    </w:p>
    <w:p w:rsidR="008D3AA9" w:rsidRPr="000904BD" w:rsidRDefault="008D3AA9">
      <w:pPr>
        <w:pStyle w:val="a3"/>
        <w:rPr>
          <w:sz w:val="32"/>
        </w:rPr>
      </w:pPr>
    </w:p>
    <w:p w:rsidR="008D3AA9" w:rsidRPr="000904BD" w:rsidRDefault="008D3AA9">
      <w:pPr>
        <w:pStyle w:val="a3"/>
        <w:spacing w:before="1"/>
        <w:rPr>
          <w:sz w:val="41"/>
        </w:rPr>
      </w:pPr>
    </w:p>
    <w:p w:rsidR="008D3AA9" w:rsidRPr="000904BD" w:rsidRDefault="000904BD">
      <w:pPr>
        <w:spacing w:line="400" w:lineRule="auto"/>
        <w:ind w:left="6088" w:right="844" w:firstLine="139"/>
        <w:jc w:val="right"/>
      </w:pPr>
      <w:r w:rsidRPr="000904BD">
        <w:t>Выполнил: ординатор 2 года кафедры</w:t>
      </w:r>
      <w:r w:rsidRPr="000904BD">
        <w:t xml:space="preserve"> </w:t>
      </w:r>
      <w:r w:rsidRPr="000904BD">
        <w:t>анестезиологии и реаниматологии ИПО</w:t>
      </w:r>
      <w:r w:rsidRPr="000904BD">
        <w:t xml:space="preserve"> Алибутаева Егана Салеховна</w:t>
      </w:r>
    </w:p>
    <w:p w:rsidR="008D3AA9" w:rsidRPr="000904BD" w:rsidRDefault="000904BD">
      <w:pPr>
        <w:spacing w:before="4"/>
        <w:ind w:left="498" w:right="866"/>
        <w:jc w:val="center"/>
      </w:pPr>
      <w:r w:rsidRPr="000904BD">
        <w:t>Красноярск 2020</w:t>
      </w:r>
    </w:p>
    <w:p w:rsidR="008D3AA9" w:rsidRPr="000904BD" w:rsidRDefault="008D3AA9">
      <w:pPr>
        <w:jc w:val="center"/>
        <w:sectPr w:rsidR="008D3AA9" w:rsidRPr="000904BD">
          <w:type w:val="continuous"/>
          <w:pgSz w:w="11910" w:h="16840"/>
          <w:pgMar w:top="1100" w:right="0" w:bottom="280" w:left="1220" w:header="720" w:footer="720" w:gutter="0"/>
          <w:cols w:space="720"/>
        </w:sectPr>
      </w:pPr>
    </w:p>
    <w:p w:rsidR="008D3AA9" w:rsidRPr="000904BD" w:rsidRDefault="000904BD">
      <w:pPr>
        <w:pStyle w:val="a3"/>
        <w:spacing w:before="66" w:line="259" w:lineRule="auto"/>
        <w:ind w:left="494" w:right="869" w:firstLine="7"/>
        <w:jc w:val="center"/>
      </w:pPr>
      <w:r w:rsidRPr="000904BD">
        <w:lastRenderedPageBreak/>
        <w:t>Тромбоэмболия легочной артерии - это третья наиболее распространенная причина смерти при заболеваниях сердечно-сосудис</w:t>
      </w:r>
      <w:r w:rsidRPr="000904BD">
        <w:t>той системы, после сердечного приступа и инсульта. Осложнениями тромбоэмболии вен являются: хроническая</w:t>
      </w:r>
      <w:r w:rsidRPr="000904BD">
        <w:rPr>
          <w:spacing w:val="-40"/>
        </w:rPr>
        <w:t xml:space="preserve"> </w:t>
      </w:r>
      <w:r w:rsidRPr="000904BD">
        <w:t>тромбоэмболическая легочная гипертензия и посттромбический синдром. Тромбоэмболия вен и тромбоз артерий имеют общие факторы риска и общие черты в патоге</w:t>
      </w:r>
      <w:r w:rsidRPr="000904BD">
        <w:t>незе, сопровождаются воспалением, гиперкоагуляцией и повреждением эндотелия. Оценка рисков в клинике помогает установить пациентов с низкими рисками тромбоэмболии вен, для которых диагноз может быть исключен полностью при отрицательном результате на D-диме</w:t>
      </w:r>
      <w:r w:rsidRPr="000904BD">
        <w:t>р плазмы. Диагноз тромбоэмболии вен обычно подтверждается при компрессионной эластографии или КТ груди, выявляющей тромбоэмболию легочной</w:t>
      </w:r>
      <w:r w:rsidRPr="000904BD">
        <w:rPr>
          <w:spacing w:val="-10"/>
        </w:rPr>
        <w:t xml:space="preserve"> </w:t>
      </w:r>
      <w:r w:rsidRPr="000904BD">
        <w:t>артерии.</w:t>
      </w:r>
    </w:p>
    <w:p w:rsidR="008D3AA9" w:rsidRPr="000904BD" w:rsidRDefault="000904BD">
      <w:pPr>
        <w:pStyle w:val="a3"/>
        <w:spacing w:before="2" w:line="259" w:lineRule="auto"/>
        <w:ind w:left="498" w:right="877"/>
        <w:jc w:val="center"/>
      </w:pPr>
      <w:r w:rsidRPr="000904BD">
        <w:t>Большинство пациентов с тромбоэмболией вен отвечают на терапию антикоагулянтами, которая является основой леч</w:t>
      </w:r>
      <w:r w:rsidRPr="000904BD">
        <w:t>ения. Пациенты с тромбозом легочной артерии должны разделяться по группам риска, чтобы выяснить пойдет ли им на пользу дополнительная интенсивная терапия, как тромболизис или эмболоэктомия. Немногие современные оральные антикоагулянты находятся в разработк</w:t>
      </w:r>
      <w:r w:rsidRPr="000904BD">
        <w:t>е. Эти препараты, которые могут заменить для многих пациентов антагонисты витамина K и гепарин, выписываются в определенных дозах и пациенты не нуждаются в лабораторном контроле. Не смотря на то, что тщательные клинические испытания сообщают об эффективнос</w:t>
      </w:r>
      <w:r w:rsidRPr="000904BD">
        <w:t>ти и безопасности лекарственной профилактики с низкими, фиксированными дозами антикоагулянтов, превентивная практика все еще редко применяется на пациентах с высокими или умеренными рисками тромбоэмболии, обратившихся в больницу. В этом семинаре мы обсудим</w:t>
      </w:r>
      <w:r w:rsidRPr="000904BD">
        <w:t xml:space="preserve"> легочную эмболию и тромбоз глубоких вен нижних конечностей.</w:t>
      </w:r>
    </w:p>
    <w:p w:rsidR="008D3AA9" w:rsidRPr="000904BD" w:rsidRDefault="008D3AA9">
      <w:pPr>
        <w:pStyle w:val="a3"/>
        <w:spacing w:before="1"/>
        <w:rPr>
          <w:sz w:val="33"/>
        </w:rPr>
      </w:pPr>
    </w:p>
    <w:p w:rsidR="008D3AA9" w:rsidRPr="000904BD" w:rsidRDefault="000904BD">
      <w:pPr>
        <w:pStyle w:val="1"/>
        <w:rPr>
          <w:b w:val="0"/>
        </w:rPr>
      </w:pPr>
      <w:bookmarkStart w:id="0" w:name="Введение"/>
      <w:bookmarkEnd w:id="0"/>
      <w:r w:rsidRPr="000904BD">
        <w:rPr>
          <w:b w:val="0"/>
        </w:rPr>
        <w:t>Введение</w:t>
      </w:r>
    </w:p>
    <w:p w:rsidR="008D3AA9" w:rsidRPr="000904BD" w:rsidRDefault="000904BD">
      <w:pPr>
        <w:pStyle w:val="a3"/>
        <w:spacing w:before="215"/>
        <w:ind w:left="479" w:right="845"/>
      </w:pPr>
      <w:r w:rsidRPr="000904BD">
        <w:t>К венозной тромбоэмболии относятся тромбоз глубоких вен и легочная эмболия. Тромбоз глубоких вен происходит, преимущественно, в ногах, но может формироваться в венах рук, венах брыжейки</w:t>
      </w:r>
      <w:r w:rsidRPr="000904BD">
        <w:t xml:space="preserve"> и головного мозга. Мы сконцентрируем внимание на тромбозе глубоких вен ног и легочной эмболии. Кроме того эти нарушения относятся одному синдрома, но между ними есть важные различия в эпидемиологии, диагностике и лечении.</w:t>
      </w:r>
    </w:p>
    <w:p w:rsidR="008D3AA9" w:rsidRPr="000904BD" w:rsidRDefault="008D3AA9">
      <w:pPr>
        <w:pStyle w:val="a3"/>
        <w:spacing w:before="4"/>
        <w:rPr>
          <w:sz w:val="33"/>
        </w:rPr>
      </w:pPr>
    </w:p>
    <w:p w:rsidR="008D3AA9" w:rsidRPr="000904BD" w:rsidRDefault="000904BD">
      <w:pPr>
        <w:pStyle w:val="1"/>
        <w:spacing w:before="1"/>
        <w:rPr>
          <w:b w:val="0"/>
        </w:rPr>
      </w:pPr>
      <w:bookmarkStart w:id="1" w:name="Эпидемиология"/>
      <w:bookmarkEnd w:id="1"/>
      <w:r w:rsidRPr="000904BD">
        <w:rPr>
          <w:b w:val="0"/>
        </w:rPr>
        <w:t>Эпидемиология</w:t>
      </w:r>
    </w:p>
    <w:p w:rsidR="008D3AA9" w:rsidRPr="000904BD" w:rsidRDefault="000904BD">
      <w:pPr>
        <w:pStyle w:val="a3"/>
        <w:spacing w:before="220"/>
        <w:ind w:left="479" w:right="1083"/>
      </w:pPr>
      <w:r w:rsidRPr="000904BD">
        <w:t xml:space="preserve">Не существует единого мнения относительно того, варьируется ли частота венозной тромбоэмболии в зависимости от пола при исследованиях популяции. Согласно норвежским исследованиям частота всех первых случаев венозной тромбоэмболии была 1,43 на 1000 человек </w:t>
      </w:r>
      <w:r w:rsidRPr="000904BD">
        <w:t>за год и была несколько выше у женщин, нежели у мужчин.</w:t>
      </w:r>
    </w:p>
    <w:p w:rsidR="008D3AA9" w:rsidRPr="000904BD" w:rsidRDefault="000904BD">
      <w:pPr>
        <w:pStyle w:val="a3"/>
        <w:ind w:left="479" w:right="982"/>
      </w:pPr>
      <w:r w:rsidRPr="000904BD">
        <w:t>Согласно шведским исследованиям, частота была равной для обоих полов. В социальных исследованиях частота возникновения была выше у мужчин, чем у женщин (1,4 на 1000 пациентов в год против 1,05 на 1000</w:t>
      </w:r>
      <w:r w:rsidRPr="000904BD">
        <w:t xml:space="preserve"> пациентов за год). По данным International Cooperative Pulmonary Embolism Registry (Международный Кооперативный Регистр по Легочной Эмболии) среди всех причин смертности за 3 месяца ассоцииированными с острой легочной эмболией было 17% от общего числа. Эт</w:t>
      </w:r>
      <w:r w:rsidRPr="000904BD">
        <w:t>от регистр, без исключения, зарегистрировал 2454 пациента из 52 больниц в семи странах Европы и Северное Америки. Считалось, что легочная эмболия была причиной смерти 45%. Важными факторами риска, связанными со смертью от легочной эмболии являются: возраст</w:t>
      </w:r>
      <w:r w:rsidRPr="000904BD">
        <w:t xml:space="preserve"> выше 70 лет, рак, хроническая сердечная недостаточность, ХОБЛ, артериальная гипотензия, тахипноэ и правожелудочковая гипокинезия. В Ворчестере, городской территории штата Массачусетс, пациенты с легочной эмболией, находящиеся на амбулаторном лечении, сост</w:t>
      </w:r>
      <w:r w:rsidRPr="000904BD">
        <w:t>авили 11,1% от числа общей смертности за 90 дней; однако, некоторые оценки</w:t>
      </w:r>
    </w:p>
    <w:p w:rsidR="008D3AA9" w:rsidRPr="000904BD" w:rsidRDefault="008D3AA9">
      <w:pPr>
        <w:sectPr w:rsidR="008D3AA9" w:rsidRPr="000904BD">
          <w:pgSz w:w="11910" w:h="16840"/>
          <w:pgMar w:top="1040" w:right="0" w:bottom="280" w:left="1220" w:header="720" w:footer="720" w:gutter="0"/>
          <w:cols w:space="720"/>
        </w:sectPr>
      </w:pPr>
    </w:p>
    <w:p w:rsidR="008D3AA9" w:rsidRPr="000904BD" w:rsidRDefault="000904BD">
      <w:pPr>
        <w:pStyle w:val="a3"/>
        <w:spacing w:before="66"/>
        <w:ind w:left="479" w:right="854"/>
      </w:pPr>
      <w:r w:rsidRPr="000904BD">
        <w:lastRenderedPageBreak/>
        <w:t>частоты летальных исходов ниже. Например, по данным RIETE (Регистр пациентов с тромбоэмболией вен) среди 6264 пациентов с легочной эмболией, общее совокупное число сме</w:t>
      </w:r>
      <w:r w:rsidRPr="000904BD">
        <w:t xml:space="preserve">ртельных исходов составило 8,6% за 3 месяца, а число фактических летальных исходов 1,7%. </w:t>
      </w:r>
      <w:r w:rsidRPr="000904BD">
        <w:rPr>
          <w:spacing w:val="-3"/>
        </w:rPr>
        <w:t xml:space="preserve">По </w:t>
      </w:r>
      <w:r w:rsidRPr="000904BD">
        <w:t xml:space="preserve">статистике 22-х отделений скорой помощи </w:t>
      </w:r>
      <w:r w:rsidRPr="000904BD">
        <w:rPr>
          <w:spacing w:val="-3"/>
        </w:rPr>
        <w:t xml:space="preserve">США, </w:t>
      </w:r>
      <w:r w:rsidRPr="000904BD">
        <w:t>показатели смертности были низки: из 1880 пациентов с диагностированной острой эмболией легкого общая смертность состав</w:t>
      </w:r>
      <w:r w:rsidRPr="000904BD">
        <w:t xml:space="preserve">ила 5,4% за 30 дней а смертность, непосредственно от легочной эмболии составила 1%. Хотя, некоторые исследования сообщают о низкой частоте скоропостижных смертей, напротив, частота смертей, связанных с продолжительной эмболией легкого считается высокой. В </w:t>
      </w:r>
      <w:r w:rsidRPr="000904BD">
        <w:t>австралийском регистре из 1023 пациентов с подтвержденной легочной эмболией, протекавшей, в среднем, 4 года, 36% пациентов умерло, но только 3% пациентов скончалось в госпитале во время проведения терапии легочной эмболии. Смертность после выписки составил</w:t>
      </w:r>
      <w:r w:rsidRPr="000904BD">
        <w:t xml:space="preserve">а </w:t>
      </w:r>
      <w:r w:rsidRPr="000904BD">
        <w:rPr>
          <w:spacing w:val="2"/>
        </w:rPr>
        <w:t xml:space="preserve">8,5% </w:t>
      </w:r>
      <w:r w:rsidRPr="000904BD">
        <w:t>пациентов в год и в 2,5 раза выше среди возрастных и половых группах риска в общем по популяции. Среди 332 смертей, произошедших после выписки, 40% произошли по причине сердечно-сосудистых осложнений. Многие пациенты с первым эпизодом тромбоза глубо</w:t>
      </w:r>
      <w:r w:rsidRPr="000904BD">
        <w:t xml:space="preserve">ких </w:t>
      </w:r>
      <w:r w:rsidRPr="000904BD">
        <w:rPr>
          <w:spacing w:val="3"/>
        </w:rPr>
        <w:t xml:space="preserve">вен </w:t>
      </w:r>
      <w:r w:rsidRPr="000904BD">
        <w:t xml:space="preserve">или легочной эмболии </w:t>
      </w:r>
      <w:r w:rsidRPr="000904BD">
        <w:rPr>
          <w:spacing w:val="-3"/>
        </w:rPr>
        <w:t xml:space="preserve">будут </w:t>
      </w:r>
      <w:r w:rsidRPr="000904BD">
        <w:t xml:space="preserve">иметь рецидив. У некоторых, первый случай тромбоэмболии вен не был диагностирован, в </w:t>
      </w:r>
      <w:r w:rsidRPr="000904BD">
        <w:rPr>
          <w:spacing w:val="-3"/>
        </w:rPr>
        <w:t xml:space="preserve">то </w:t>
      </w:r>
      <w:r w:rsidRPr="000904BD">
        <w:t>время как у других тромбоз вен рецидивировал после того, как терапия антикоагулянтами прекратилась. Хроническая тромбоэмболическая легочная гипертензия и посттромботический синдром - два связанных заболевания, возникающие после эмболии легкого. Понятие хро</w:t>
      </w:r>
      <w:r w:rsidRPr="000904BD">
        <w:t xml:space="preserve">нической венозной недостаточности включает посттромботический синдром, но оно может быть идиопатическим или вызвано нарушениями, отличными от тромбоза. Хроническая тромбоэмболическая легочная гипертензия определяется повышением давления в легочной артерии </w:t>
      </w:r>
      <w:r w:rsidRPr="000904BD">
        <w:t>выше 25 мм ртутного столба, наблюдающаяся 6 месяцев после диагностирования эмболии</w:t>
      </w:r>
      <w:r w:rsidRPr="000904BD">
        <w:rPr>
          <w:spacing w:val="-16"/>
        </w:rPr>
        <w:t xml:space="preserve"> </w:t>
      </w:r>
      <w:r w:rsidRPr="000904BD">
        <w:t>легкого.</w:t>
      </w:r>
    </w:p>
    <w:p w:rsidR="008D3AA9" w:rsidRPr="000904BD" w:rsidRDefault="000904BD">
      <w:pPr>
        <w:pStyle w:val="a3"/>
        <w:spacing w:before="3"/>
        <w:ind w:left="479" w:right="897"/>
      </w:pPr>
      <w:r w:rsidRPr="000904BD">
        <w:t>Это нарушение наблюдается у 2–4% пациентов после острой эмболии легкого и проявляется одышкой, как в состоянии покоя, так и при нагрузке. Ожидаемая продолжительност</w:t>
      </w:r>
      <w:r w:rsidRPr="000904BD">
        <w:t>ь жизни снижается и пациенты часто умирают от внезапного сердечного приступа. Из-за прогрессирующей хронической легочной гипертензии смерть наступает из-за недостаточности правого желудочка. Посттромботический синдром проявляется в виде хронической отечнос</w:t>
      </w:r>
      <w:r w:rsidRPr="000904BD">
        <w:t xml:space="preserve">ти икр, что может приводить к коричневатой пигментации кожи на латеральной и медиальной сторонах лодыжки и, при тяжелых случаях, изъязвлений кожи. Обычно наблюдаются только легкие или умеренные формы посттромботического синдрома, тяжелые формы - редкость. </w:t>
      </w:r>
      <w:r w:rsidRPr="000904BD">
        <w:t>В ожидаемых многоцелевых исследованиях {12} группы из 387 пациентов с недавно обнаруженными симптомами тромбоза глубоких вен ног, за которыми наблюдали 2 года, посттромботический синдром развился у 43% пациентов. В легкой форме у 30%, в умеренной у 10% и в</w:t>
      </w:r>
      <w:r w:rsidRPr="000904BD">
        <w:t xml:space="preserve"> тяжелой в 3%. Был пересмотрен традиционный подход к разделению факторов риска и патогенеза тромбоэмболии вен и заболеваний коронарных артерий. Может быть слишком упрощенным определение тромбоэмболии вен, как заболевания вен с образованием красного тромба,</w:t>
      </w:r>
      <w:r w:rsidRPr="000904BD">
        <w:t xml:space="preserve"> в противоположность болезни коронарных артерий с образованием тромбоцитарной белой бляшки, как отдельного заболевания. Например, спустя 4 года после дебюта острой легочной эмболии, меньше половины переживших не будут иметь инфаркта миокарда, инсульта, заб</w:t>
      </w:r>
      <w:r w:rsidRPr="000904BD">
        <w:t>олеваний периферических артерий, повторной тромбоэмболии вен, рака или хронической легочной гипертензии. Тромбоэмболия вен и тромбоз артерий имеют общие факторы риска и общий патогенез, включая воспаление, гиперкоагуляцию и поврежения эндотелия. Современны</w:t>
      </w:r>
      <w:r w:rsidRPr="000904BD">
        <w:t>й подход к переосмыслению тромбоэмболии вен, как заболевания, вызывающего панваскулярный синдром, который включает в себя заболевания коронарных артерий, периферических артерий и цереброваскулярные расстройства. Такие факторы риска тромбоэмболии вен, как к</w:t>
      </w:r>
      <w:r w:rsidRPr="000904BD">
        <w:t>урение сигарет, гипертония, диабет и ожирение изменяются и перекликаются с факторами риска артериосклероза. С тромбоэмболией вен связаны такие воспалительные нарушения, как воспалительные заболевания кишечника, системные васкулиты. Согласно исследованиям</w:t>
      </w:r>
    </w:p>
    <w:p w:rsidR="008D3AA9" w:rsidRPr="000904BD" w:rsidRDefault="008D3AA9">
      <w:pPr>
        <w:sectPr w:rsidR="008D3AA9" w:rsidRPr="000904BD">
          <w:pgSz w:w="11910" w:h="16840"/>
          <w:pgMar w:top="1040" w:right="0" w:bottom="280" w:left="1220" w:header="720" w:footer="720" w:gutter="0"/>
          <w:cols w:space="720"/>
        </w:sectPr>
      </w:pPr>
    </w:p>
    <w:p w:rsidR="008D3AA9" w:rsidRPr="000904BD" w:rsidRDefault="000904BD">
      <w:pPr>
        <w:pStyle w:val="a3"/>
        <w:spacing w:before="66"/>
        <w:ind w:left="479" w:right="885"/>
      </w:pPr>
      <w:r w:rsidRPr="000904BD">
        <w:lastRenderedPageBreak/>
        <w:t xml:space="preserve">Atherosclerosis Risk In Communities (ARIC) концентрация С-реактивного белка (маркера воспаления) выше 90 процентилей связано с существенным риском возникновения тромбоэмболии вен, по сравнению с меньшими процентилями. Тромбоз вен может быть </w:t>
      </w:r>
      <w:r w:rsidRPr="000904BD">
        <w:t>классифицирован, несколько произвольно, как первичное идиопатическое или как вызванное вторичное (таблица 1). Такое разделение часто неочевидно и, временами, кажется нелогичным. Например, венозный тромбоз произошедший после долгой пешей прогулки обычно счи</w:t>
      </w:r>
      <w:r w:rsidRPr="000904BD">
        <w:t>тается идиопатическим, в то время как вызванный оральными контрацептивами, считается спровоцированным. При прекращении антикоагулянтов чаще страдают от рецидивов пациенты с идиопатическим первичным заболеванием, чем пациенты со вторичной формой болезни. ос</w:t>
      </w:r>
      <w:r w:rsidRPr="000904BD">
        <w:t>тается спорным вопрос должны ли пациенты с тромбозом вен быть обследованы на тромбофилию. Состояния гиперкоагуляции, например, V-й фактор Лейдена или мутация в гене протромбина могут быть связаны с начальным этапом тромбоэмболии. V-й фактор Лейдена имеет б</w:t>
      </w:r>
      <w:r w:rsidRPr="000904BD">
        <w:t>олее сильную связь с тромбозом глубоких вен, чем с легочной эмболией. Эта взаимосвязь называется парадоксом Лейдена. Но ни V-й фактор Лейдена, ни мутация в гене протромбина не являются однозначными предвестниками тромбоэмболии.</w:t>
      </w:r>
    </w:p>
    <w:p w:rsidR="008D3AA9" w:rsidRPr="000904BD" w:rsidRDefault="008D3AA9">
      <w:pPr>
        <w:pStyle w:val="a3"/>
        <w:spacing w:before="4"/>
        <w:rPr>
          <w:sz w:val="33"/>
        </w:rPr>
      </w:pPr>
    </w:p>
    <w:p w:rsidR="008D3AA9" w:rsidRPr="000904BD" w:rsidRDefault="000904BD">
      <w:pPr>
        <w:pStyle w:val="1"/>
        <w:rPr>
          <w:b w:val="0"/>
        </w:rPr>
      </w:pPr>
      <w:bookmarkStart w:id="2" w:name="Диагностика"/>
      <w:bookmarkEnd w:id="2"/>
      <w:r w:rsidRPr="000904BD">
        <w:rPr>
          <w:b w:val="0"/>
        </w:rPr>
        <w:t>Диагностика</w:t>
      </w:r>
    </w:p>
    <w:p w:rsidR="008D3AA9" w:rsidRPr="000904BD" w:rsidRDefault="008D3AA9">
      <w:pPr>
        <w:pStyle w:val="a3"/>
        <w:spacing w:before="10"/>
        <w:rPr>
          <w:sz w:val="32"/>
        </w:rPr>
      </w:pPr>
    </w:p>
    <w:p w:rsidR="008D3AA9" w:rsidRPr="000904BD" w:rsidRDefault="000904BD">
      <w:pPr>
        <w:pStyle w:val="2"/>
        <w:rPr>
          <w:b w:val="0"/>
        </w:rPr>
      </w:pPr>
      <w:bookmarkStart w:id="3" w:name="Оценка_рисков"/>
      <w:bookmarkEnd w:id="3"/>
      <w:r w:rsidRPr="000904BD">
        <w:rPr>
          <w:b w:val="0"/>
        </w:rPr>
        <w:t>Оценка рисков</w:t>
      </w:r>
    </w:p>
    <w:p w:rsidR="008D3AA9" w:rsidRPr="000904BD" w:rsidRDefault="000904BD">
      <w:pPr>
        <w:pStyle w:val="a3"/>
        <w:spacing w:before="218"/>
        <w:ind w:left="479" w:right="853"/>
      </w:pPr>
      <w:r w:rsidRPr="000904BD">
        <w:t>Диагностика тромбоза глубоких и легочной эмболии основана на нескольких, преимущественно, неинвазивных диагностических процедурах, проводимых последовательно. Проведение подтвержденных диагностических исследований связано с важностью снижения уровня осложн</w:t>
      </w:r>
      <w:r w:rsidRPr="000904BD">
        <w:t>ений, по этому осуществление таких стандартизированных подходов крайне рекомендовано. Обширная легочная эмболия должна быть диагностирована быстро. Клинические проявления этого заболевания включают шок или нарушения гемодинамики. Клиническая оценка вероятн</w:t>
      </w:r>
      <w:r w:rsidRPr="000904BD">
        <w:t>ости нацелена на выявление пациентов с высоким или умеренным риском, которые нуждаются в терапии антикоагулянтами, в ожидании результатов диагностических тестов. У пациентов с низкими рисками диагноз тромбоза вен может быть исключен лишь по нормальному пок</w:t>
      </w:r>
      <w:r w:rsidRPr="000904BD">
        <w:t>азателю D-димера (рисунок 1). Расчет рисков включает историю болезни (включая особенности пациента и семьи) и симптомы, признаки и аномалии насыщенности кислородом, лучевое исследование груди и ЭКГ. Вероятность оценивается эмпирически или при помощи статис</w:t>
      </w:r>
      <w:r w:rsidRPr="000904BD">
        <w:t>тических правил и шкал.</w:t>
      </w:r>
    </w:p>
    <w:p w:rsidR="008D3AA9" w:rsidRPr="000904BD" w:rsidRDefault="000904BD">
      <w:pPr>
        <w:ind w:left="479" w:right="5114"/>
        <w:rPr>
          <w:sz w:val="21"/>
        </w:rPr>
      </w:pPr>
      <w:bookmarkStart w:id="4" w:name="Вставка_1:_Главные_факторы_легочной_эмбо"/>
      <w:bookmarkEnd w:id="4"/>
      <w:r w:rsidRPr="000904BD">
        <w:rPr>
          <w:sz w:val="21"/>
        </w:rPr>
        <w:t>Вставка 1: Главные факторы легочной эмболии</w:t>
      </w:r>
      <w:bookmarkStart w:id="5" w:name="Идиопатические,_основные_и_криптогенные"/>
      <w:bookmarkEnd w:id="5"/>
      <w:r w:rsidRPr="000904BD">
        <w:rPr>
          <w:sz w:val="21"/>
        </w:rPr>
        <w:t xml:space="preserve"> Идиопатические, основные и криптогенные</w:t>
      </w:r>
    </w:p>
    <w:p w:rsidR="008D3AA9" w:rsidRPr="000904BD" w:rsidRDefault="000904BD">
      <w:pPr>
        <w:pStyle w:val="a4"/>
        <w:numPr>
          <w:ilvl w:val="0"/>
          <w:numId w:val="1"/>
        </w:numPr>
        <w:tabs>
          <w:tab w:val="left" w:pos="479"/>
          <w:tab w:val="left" w:pos="480"/>
        </w:tabs>
        <w:ind w:hanging="361"/>
        <w:rPr>
          <w:sz w:val="24"/>
        </w:rPr>
      </w:pPr>
      <w:r w:rsidRPr="000904BD">
        <w:rPr>
          <w:sz w:val="24"/>
        </w:rPr>
        <w:t>Нет никакой видимой</w:t>
      </w:r>
      <w:r w:rsidRPr="000904BD">
        <w:rPr>
          <w:spacing w:val="-3"/>
          <w:sz w:val="24"/>
        </w:rPr>
        <w:t xml:space="preserve"> </w:t>
      </w:r>
      <w:r w:rsidRPr="000904BD">
        <w:rPr>
          <w:sz w:val="24"/>
        </w:rPr>
        <w:t>причины</w:t>
      </w:r>
    </w:p>
    <w:p w:rsidR="008D3AA9" w:rsidRPr="000904BD" w:rsidRDefault="000904BD">
      <w:pPr>
        <w:pStyle w:val="a4"/>
        <w:numPr>
          <w:ilvl w:val="0"/>
          <w:numId w:val="1"/>
        </w:numPr>
        <w:tabs>
          <w:tab w:val="left" w:pos="479"/>
          <w:tab w:val="left" w:pos="480"/>
        </w:tabs>
        <w:spacing w:before="3"/>
        <w:ind w:hanging="361"/>
        <w:rPr>
          <w:sz w:val="24"/>
        </w:rPr>
      </w:pPr>
      <w:r w:rsidRPr="000904BD">
        <w:rPr>
          <w:sz w:val="24"/>
        </w:rPr>
        <w:t>Пожилой</w:t>
      </w:r>
      <w:r w:rsidRPr="000904BD">
        <w:rPr>
          <w:spacing w:val="-2"/>
          <w:sz w:val="24"/>
        </w:rPr>
        <w:t xml:space="preserve"> </w:t>
      </w:r>
      <w:r w:rsidRPr="000904BD">
        <w:rPr>
          <w:sz w:val="24"/>
        </w:rPr>
        <w:t>возраст(&gt;65)</w:t>
      </w:r>
    </w:p>
    <w:p w:rsidR="008D3AA9" w:rsidRPr="000904BD" w:rsidRDefault="000904BD">
      <w:pPr>
        <w:pStyle w:val="a4"/>
        <w:numPr>
          <w:ilvl w:val="0"/>
          <w:numId w:val="1"/>
        </w:numPr>
        <w:tabs>
          <w:tab w:val="left" w:pos="479"/>
          <w:tab w:val="left" w:pos="480"/>
        </w:tabs>
        <w:ind w:hanging="361"/>
        <w:rPr>
          <w:sz w:val="24"/>
        </w:rPr>
      </w:pPr>
      <w:r w:rsidRPr="000904BD">
        <w:rPr>
          <w:sz w:val="24"/>
        </w:rPr>
        <w:t>Продолжительные пешие</w:t>
      </w:r>
      <w:r w:rsidRPr="000904BD">
        <w:rPr>
          <w:spacing w:val="-9"/>
          <w:sz w:val="24"/>
        </w:rPr>
        <w:t xml:space="preserve"> </w:t>
      </w:r>
      <w:r w:rsidRPr="000904BD">
        <w:rPr>
          <w:sz w:val="24"/>
        </w:rPr>
        <w:t>прогулки</w:t>
      </w:r>
    </w:p>
    <w:p w:rsidR="008D3AA9" w:rsidRPr="000904BD" w:rsidRDefault="000904BD">
      <w:pPr>
        <w:pStyle w:val="a4"/>
        <w:numPr>
          <w:ilvl w:val="0"/>
          <w:numId w:val="1"/>
        </w:numPr>
        <w:tabs>
          <w:tab w:val="left" w:pos="479"/>
          <w:tab w:val="left" w:pos="480"/>
        </w:tabs>
        <w:spacing w:before="2"/>
        <w:ind w:hanging="361"/>
        <w:rPr>
          <w:sz w:val="24"/>
        </w:rPr>
      </w:pPr>
      <w:r w:rsidRPr="000904BD">
        <w:rPr>
          <w:sz w:val="24"/>
        </w:rPr>
        <w:t>Тромбофилия-ассоциированные</w:t>
      </w:r>
      <w:r w:rsidRPr="000904BD">
        <w:rPr>
          <w:spacing w:val="-5"/>
          <w:sz w:val="24"/>
        </w:rPr>
        <w:t xml:space="preserve"> </w:t>
      </w:r>
      <w:r w:rsidRPr="000904BD">
        <w:rPr>
          <w:sz w:val="24"/>
        </w:rPr>
        <w:t>случаи</w:t>
      </w:r>
    </w:p>
    <w:p w:rsidR="008D3AA9" w:rsidRPr="000904BD" w:rsidRDefault="000904BD">
      <w:pPr>
        <w:pStyle w:val="a4"/>
        <w:numPr>
          <w:ilvl w:val="0"/>
          <w:numId w:val="1"/>
        </w:numPr>
        <w:tabs>
          <w:tab w:val="left" w:pos="479"/>
          <w:tab w:val="left" w:pos="480"/>
        </w:tabs>
        <w:ind w:hanging="361"/>
        <w:rPr>
          <w:sz w:val="24"/>
        </w:rPr>
      </w:pPr>
      <w:r w:rsidRPr="000904BD">
        <w:rPr>
          <w:sz w:val="24"/>
        </w:rPr>
        <w:t>Ожирение</w:t>
      </w:r>
    </w:p>
    <w:p w:rsidR="008D3AA9" w:rsidRPr="000904BD" w:rsidRDefault="000904BD">
      <w:pPr>
        <w:pStyle w:val="a4"/>
        <w:numPr>
          <w:ilvl w:val="0"/>
          <w:numId w:val="1"/>
        </w:numPr>
        <w:tabs>
          <w:tab w:val="left" w:pos="479"/>
          <w:tab w:val="left" w:pos="480"/>
        </w:tabs>
        <w:spacing w:before="3"/>
        <w:ind w:hanging="361"/>
        <w:rPr>
          <w:sz w:val="24"/>
        </w:rPr>
      </w:pPr>
      <w:r w:rsidRPr="000904BD">
        <w:rPr>
          <w:sz w:val="24"/>
        </w:rPr>
        <w:t>Курение сигарет</w:t>
      </w:r>
    </w:p>
    <w:p w:rsidR="008D3AA9" w:rsidRPr="000904BD" w:rsidRDefault="000904BD">
      <w:pPr>
        <w:pStyle w:val="a4"/>
        <w:numPr>
          <w:ilvl w:val="0"/>
          <w:numId w:val="1"/>
        </w:numPr>
        <w:tabs>
          <w:tab w:val="left" w:pos="479"/>
          <w:tab w:val="left" w:pos="480"/>
        </w:tabs>
        <w:ind w:hanging="361"/>
        <w:rPr>
          <w:sz w:val="24"/>
        </w:rPr>
      </w:pPr>
      <w:r w:rsidRPr="000904BD">
        <w:rPr>
          <w:sz w:val="24"/>
        </w:rPr>
        <w:t>Гипертензия</w:t>
      </w:r>
    </w:p>
    <w:p w:rsidR="008D3AA9" w:rsidRPr="000904BD" w:rsidRDefault="000904BD">
      <w:pPr>
        <w:pStyle w:val="a4"/>
        <w:numPr>
          <w:ilvl w:val="0"/>
          <w:numId w:val="1"/>
        </w:numPr>
        <w:tabs>
          <w:tab w:val="left" w:pos="479"/>
          <w:tab w:val="left" w:pos="480"/>
        </w:tabs>
        <w:spacing w:before="2" w:line="274" w:lineRule="exact"/>
        <w:ind w:hanging="361"/>
        <w:rPr>
          <w:sz w:val="24"/>
        </w:rPr>
      </w:pPr>
      <w:r w:rsidRPr="000904BD">
        <w:rPr>
          <w:sz w:val="24"/>
        </w:rPr>
        <w:t>Загрязнение</w:t>
      </w:r>
      <w:r w:rsidRPr="000904BD">
        <w:rPr>
          <w:spacing w:val="-5"/>
          <w:sz w:val="24"/>
        </w:rPr>
        <w:t xml:space="preserve"> </w:t>
      </w:r>
      <w:r w:rsidRPr="000904BD">
        <w:rPr>
          <w:sz w:val="24"/>
        </w:rPr>
        <w:t>воздуха</w:t>
      </w:r>
    </w:p>
    <w:p w:rsidR="008D3AA9" w:rsidRPr="000904BD" w:rsidRDefault="000904BD">
      <w:pPr>
        <w:spacing w:line="239" w:lineRule="exact"/>
        <w:ind w:left="479"/>
        <w:rPr>
          <w:sz w:val="21"/>
        </w:rPr>
      </w:pPr>
      <w:bookmarkStart w:id="6" w:name="Вторичные_и_спровоцированные"/>
      <w:bookmarkEnd w:id="6"/>
      <w:r w:rsidRPr="000904BD">
        <w:rPr>
          <w:sz w:val="21"/>
        </w:rPr>
        <w:t>Вторичные и спровоцированные</w:t>
      </w:r>
    </w:p>
    <w:p w:rsidR="008D3AA9" w:rsidRPr="000904BD" w:rsidRDefault="000904BD">
      <w:pPr>
        <w:pStyle w:val="a4"/>
        <w:numPr>
          <w:ilvl w:val="0"/>
          <w:numId w:val="1"/>
        </w:numPr>
        <w:tabs>
          <w:tab w:val="left" w:pos="479"/>
          <w:tab w:val="left" w:pos="480"/>
        </w:tabs>
        <w:spacing w:line="240" w:lineRule="auto"/>
        <w:ind w:hanging="361"/>
        <w:rPr>
          <w:sz w:val="24"/>
        </w:rPr>
      </w:pPr>
      <w:r w:rsidRPr="000904BD">
        <w:rPr>
          <w:sz w:val="24"/>
        </w:rPr>
        <w:t>Иммобилизация</w:t>
      </w:r>
    </w:p>
    <w:p w:rsidR="008D3AA9" w:rsidRPr="000904BD" w:rsidRDefault="000904BD">
      <w:pPr>
        <w:pStyle w:val="a4"/>
        <w:numPr>
          <w:ilvl w:val="0"/>
          <w:numId w:val="1"/>
        </w:numPr>
        <w:tabs>
          <w:tab w:val="left" w:pos="479"/>
          <w:tab w:val="left" w:pos="480"/>
        </w:tabs>
        <w:spacing w:before="3"/>
        <w:ind w:hanging="361"/>
        <w:rPr>
          <w:sz w:val="24"/>
        </w:rPr>
      </w:pPr>
      <w:r w:rsidRPr="000904BD">
        <w:rPr>
          <w:sz w:val="24"/>
        </w:rPr>
        <w:t>Послеоперационный</w:t>
      </w:r>
      <w:r w:rsidRPr="000904BD">
        <w:rPr>
          <w:spacing w:val="-3"/>
          <w:sz w:val="24"/>
        </w:rPr>
        <w:t xml:space="preserve"> </w:t>
      </w:r>
      <w:r w:rsidRPr="000904BD">
        <w:rPr>
          <w:sz w:val="24"/>
        </w:rPr>
        <w:t>период</w:t>
      </w:r>
    </w:p>
    <w:p w:rsidR="008D3AA9" w:rsidRPr="000904BD" w:rsidRDefault="000904BD">
      <w:pPr>
        <w:pStyle w:val="a4"/>
        <w:numPr>
          <w:ilvl w:val="0"/>
          <w:numId w:val="1"/>
        </w:numPr>
        <w:tabs>
          <w:tab w:val="left" w:pos="479"/>
          <w:tab w:val="left" w:pos="480"/>
        </w:tabs>
        <w:ind w:hanging="361"/>
        <w:rPr>
          <w:sz w:val="24"/>
        </w:rPr>
      </w:pPr>
      <w:r w:rsidRPr="000904BD">
        <w:rPr>
          <w:sz w:val="24"/>
        </w:rPr>
        <w:t>Травмы</w:t>
      </w:r>
    </w:p>
    <w:p w:rsidR="008D3AA9" w:rsidRPr="000904BD" w:rsidRDefault="000904BD">
      <w:pPr>
        <w:pStyle w:val="a4"/>
        <w:numPr>
          <w:ilvl w:val="0"/>
          <w:numId w:val="1"/>
        </w:numPr>
        <w:tabs>
          <w:tab w:val="left" w:pos="479"/>
          <w:tab w:val="left" w:pos="480"/>
        </w:tabs>
        <w:spacing w:before="3"/>
        <w:ind w:hanging="361"/>
        <w:rPr>
          <w:sz w:val="24"/>
        </w:rPr>
      </w:pPr>
      <w:r w:rsidRPr="000904BD">
        <w:rPr>
          <w:sz w:val="24"/>
        </w:rPr>
        <w:t>Оральные контрацептивы (родовая, постменструальная перестройка</w:t>
      </w:r>
      <w:r w:rsidRPr="000904BD">
        <w:rPr>
          <w:spacing w:val="9"/>
          <w:sz w:val="24"/>
        </w:rPr>
        <w:t xml:space="preserve"> </w:t>
      </w:r>
      <w:r w:rsidRPr="000904BD">
        <w:rPr>
          <w:sz w:val="24"/>
        </w:rPr>
        <w:t>гормонов)</w:t>
      </w:r>
    </w:p>
    <w:p w:rsidR="008D3AA9" w:rsidRPr="000904BD" w:rsidRDefault="000904BD">
      <w:pPr>
        <w:pStyle w:val="a4"/>
        <w:numPr>
          <w:ilvl w:val="0"/>
          <w:numId w:val="1"/>
        </w:numPr>
        <w:tabs>
          <w:tab w:val="left" w:pos="479"/>
          <w:tab w:val="left" w:pos="480"/>
        </w:tabs>
        <w:ind w:hanging="361"/>
        <w:rPr>
          <w:sz w:val="24"/>
        </w:rPr>
      </w:pPr>
      <w:r w:rsidRPr="000904BD">
        <w:rPr>
          <w:sz w:val="24"/>
        </w:rPr>
        <w:t>Рак</w:t>
      </w:r>
    </w:p>
    <w:p w:rsidR="008D3AA9" w:rsidRPr="000904BD" w:rsidRDefault="000904BD">
      <w:pPr>
        <w:pStyle w:val="a4"/>
        <w:numPr>
          <w:ilvl w:val="0"/>
          <w:numId w:val="1"/>
        </w:numPr>
        <w:tabs>
          <w:tab w:val="left" w:pos="479"/>
          <w:tab w:val="left" w:pos="480"/>
        </w:tabs>
        <w:spacing w:before="2" w:line="240" w:lineRule="auto"/>
        <w:ind w:hanging="361"/>
        <w:rPr>
          <w:sz w:val="24"/>
        </w:rPr>
      </w:pPr>
      <w:r w:rsidRPr="000904BD">
        <w:rPr>
          <w:sz w:val="24"/>
        </w:rPr>
        <w:t>Острые заболевания (например, пневмония, сердечный</w:t>
      </w:r>
      <w:r w:rsidRPr="000904BD">
        <w:rPr>
          <w:spacing w:val="-4"/>
          <w:sz w:val="24"/>
        </w:rPr>
        <w:t xml:space="preserve"> </w:t>
      </w:r>
      <w:r w:rsidRPr="000904BD">
        <w:rPr>
          <w:sz w:val="24"/>
        </w:rPr>
        <w:t>приступ)</w:t>
      </w:r>
    </w:p>
    <w:p w:rsidR="008D3AA9" w:rsidRPr="000904BD" w:rsidRDefault="008D3AA9">
      <w:pPr>
        <w:rPr>
          <w:sz w:val="24"/>
        </w:rPr>
        <w:sectPr w:rsidR="008D3AA9" w:rsidRPr="000904BD">
          <w:pgSz w:w="11910" w:h="16840"/>
          <w:pgMar w:top="1040" w:right="0" w:bottom="280" w:left="1220" w:header="720" w:footer="720" w:gutter="0"/>
          <w:cols w:space="720"/>
        </w:sectPr>
      </w:pPr>
    </w:p>
    <w:p w:rsidR="008D3AA9" w:rsidRPr="000904BD" w:rsidRDefault="000904BD">
      <w:pPr>
        <w:pStyle w:val="a3"/>
        <w:spacing w:before="66"/>
        <w:ind w:left="479" w:right="1008"/>
      </w:pPr>
      <w:r w:rsidRPr="000904BD">
        <w:lastRenderedPageBreak/>
        <w:t>Системы шкал имеют клиническое применение и является нужными методами обучения клиницистов и студентов-медиков, пытающихся диагностировать или исключить венозный тромбоз. При подозрении на легочную эмболию широко используются две шкалы: шкала Велла и перес</w:t>
      </w:r>
      <w:r w:rsidRPr="000904BD">
        <w:t>мотренная шкала Женевы (таблица 1). Шкала Велла может быть использована для диагностики при подозрении на тромбоз глубоких вен. В последнее время, при легочной эмболии в основном используется шкала Велла с четырьмя сокращенными пунктами. Это позволяет одно</w:t>
      </w:r>
      <w:r w:rsidRPr="000904BD">
        <w:t>значно определить вероятна или нет легочная эмболия. Согласно мета-анализу эффективности всех доступных клинических методов прогнозирования, все методы имеют схожую, но не совсем одинаковую. Выбор среди различных методов прогнозирования и схем классификаци</w:t>
      </w:r>
      <w:r w:rsidRPr="000904BD">
        <w:t>и должен руководствоваться распространенностью легочной эмболии, типом оцениваемых пациентов (амбулаторных или стационарных) и типом анализируемого D-димера.</w:t>
      </w:r>
    </w:p>
    <w:p w:rsidR="008D3AA9" w:rsidRPr="000904BD" w:rsidRDefault="000904BD">
      <w:pPr>
        <w:pStyle w:val="a3"/>
        <w:spacing w:before="2"/>
        <w:ind w:left="479" w:right="884"/>
      </w:pPr>
      <w:r w:rsidRPr="000904BD">
        <w:t>Например, пересмотренная шкала Женевы должна применяться на популяциях с распространенностью легоч</w:t>
      </w:r>
      <w:r w:rsidRPr="000904BD">
        <w:t>ной эмболии больше 20%, в то время как шкала Велла единственная утвержденная шкала для пациентов, обратившихся в больницу. Результаты насыщенности кислородом артериальной крови, ЭКГ и лучевое обследование груди имеют низкую чувствительность для диагностики</w:t>
      </w:r>
      <w:r w:rsidRPr="000904BD">
        <w:t xml:space="preserve"> легочной эмболии и не включены ни в шкалу Велла, ни в пересмотренную шкалу Женевы. Наоборот, ЭКГ может быть полезна для исключения легочной эмболии (и, например, для предположения острого коронарного синдрома), но лучевое исследование груди и газовый анал</w:t>
      </w:r>
      <w:r w:rsidRPr="000904BD">
        <w:t>из насыщенности артериальной крови должны использоваться</w:t>
      </w:r>
    </w:p>
    <w:p w:rsidR="008D3AA9" w:rsidRPr="000904BD" w:rsidRDefault="000904BD">
      <w:pPr>
        <w:pStyle w:val="a3"/>
        <w:spacing w:before="3" w:after="5"/>
        <w:ind w:left="479"/>
      </w:pPr>
      <w:r w:rsidRPr="000904BD">
        <w:t>постоянно.</w:t>
      </w:r>
    </w:p>
    <w:p w:rsidR="008D3AA9" w:rsidRPr="000904BD" w:rsidRDefault="000904BD">
      <w:pPr>
        <w:pStyle w:val="a3"/>
        <w:ind w:left="481"/>
        <w:rPr>
          <w:sz w:val="20"/>
        </w:rPr>
      </w:pPr>
      <w:r w:rsidRPr="000904BD">
        <w:rPr>
          <w:noProof/>
          <w:sz w:val="20"/>
          <w:lang w:bidi="ar-SA"/>
        </w:rPr>
        <w:drawing>
          <wp:inline distT="0" distB="0" distL="0" distR="0" wp14:anchorId="2A95D7B6" wp14:editId="518118DD">
            <wp:extent cx="5863910" cy="197824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3910" cy="1978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3AA9" w:rsidRPr="000904BD" w:rsidRDefault="000904BD">
      <w:pPr>
        <w:pStyle w:val="a3"/>
        <w:spacing w:before="36" w:after="52"/>
        <w:ind w:left="479" w:right="1152"/>
      </w:pPr>
      <w:r w:rsidRPr="000904BD">
        <w:t>Рисунок 1. Диагностический алгоритм для клинически-ожидаемой легочной эмболии и тромбоза глубоких вен. В данном случае используется КУС* для диагностики тромбоза глубоких вен, а МКТА** -</w:t>
      </w:r>
      <w:r w:rsidRPr="000904BD">
        <w:t xml:space="preserve"> для легочной эмболии. КУС= компрессионная ультрасонография; МКТА= мультиспиральная компьютерно-томографическая ангиография. Таблица 1: </w:t>
      </w:r>
      <w:r w:rsidRPr="000904BD">
        <w:t>Шкала Велла для тромбоза глубоких вен*</w:t>
      </w:r>
    </w:p>
    <w:tbl>
      <w:tblPr>
        <w:tblStyle w:val="TableNormal"/>
        <w:tblW w:w="0" w:type="auto"/>
        <w:tblInd w:w="335" w:type="dxa"/>
        <w:tblLayout w:type="fixed"/>
        <w:tblLook w:val="01E0" w:firstRow="1" w:lastRow="1" w:firstColumn="1" w:lastColumn="1" w:noHBand="0" w:noVBand="0"/>
      </w:tblPr>
      <w:tblGrid>
        <w:gridCol w:w="6287"/>
        <w:gridCol w:w="518"/>
      </w:tblGrid>
      <w:tr w:rsidR="008D3AA9" w:rsidRPr="000904BD">
        <w:trPr>
          <w:trHeight w:val="300"/>
        </w:trPr>
        <w:tc>
          <w:tcPr>
            <w:tcW w:w="6287" w:type="dxa"/>
          </w:tcPr>
          <w:p w:rsidR="008D3AA9" w:rsidRPr="000904BD" w:rsidRDefault="000904BD">
            <w:pPr>
              <w:pStyle w:val="TableParagraph"/>
              <w:spacing w:before="0" w:line="266" w:lineRule="exact"/>
              <w:rPr>
                <w:sz w:val="24"/>
              </w:rPr>
            </w:pPr>
            <w:r w:rsidRPr="000904BD">
              <w:rPr>
                <w:sz w:val="24"/>
              </w:rPr>
              <w:t>Рак</w:t>
            </w:r>
          </w:p>
        </w:tc>
        <w:tc>
          <w:tcPr>
            <w:tcW w:w="518" w:type="dxa"/>
          </w:tcPr>
          <w:p w:rsidR="008D3AA9" w:rsidRPr="000904BD" w:rsidRDefault="000904BD">
            <w:pPr>
              <w:pStyle w:val="TableParagraph"/>
              <w:spacing w:before="0" w:line="266" w:lineRule="exact"/>
              <w:ind w:left="64"/>
              <w:rPr>
                <w:sz w:val="24"/>
              </w:rPr>
            </w:pPr>
            <w:r w:rsidRPr="000904BD">
              <w:rPr>
                <w:sz w:val="24"/>
              </w:rPr>
              <w:t>+1</w:t>
            </w:r>
          </w:p>
        </w:tc>
      </w:tr>
      <w:tr w:rsidR="008D3AA9" w:rsidRPr="000904BD">
        <w:trPr>
          <w:trHeight w:val="614"/>
        </w:trPr>
        <w:tc>
          <w:tcPr>
            <w:tcW w:w="6287" w:type="dxa"/>
          </w:tcPr>
          <w:p w:rsidR="008D3AA9" w:rsidRPr="000904BD" w:rsidRDefault="000904BD">
            <w:pPr>
              <w:pStyle w:val="TableParagraph"/>
              <w:spacing w:line="242" w:lineRule="auto"/>
              <w:rPr>
                <w:sz w:val="24"/>
              </w:rPr>
            </w:pPr>
            <w:r w:rsidRPr="000904BD">
              <w:rPr>
                <w:sz w:val="24"/>
              </w:rPr>
              <w:t>Постельный режим&gt; 3 дней или операция &lt; четыре недель назад</w:t>
            </w:r>
          </w:p>
        </w:tc>
        <w:tc>
          <w:tcPr>
            <w:tcW w:w="518" w:type="dxa"/>
          </w:tcPr>
          <w:p w:rsidR="008D3AA9" w:rsidRPr="000904BD" w:rsidRDefault="000904BD">
            <w:pPr>
              <w:pStyle w:val="TableParagraph"/>
              <w:spacing w:before="164"/>
              <w:ind w:left="64"/>
              <w:rPr>
                <w:sz w:val="24"/>
              </w:rPr>
            </w:pPr>
            <w:r w:rsidRPr="000904BD">
              <w:rPr>
                <w:sz w:val="24"/>
              </w:rPr>
              <w:t>+1</w:t>
            </w:r>
          </w:p>
        </w:tc>
      </w:tr>
      <w:tr w:rsidR="008D3AA9" w:rsidRPr="000904BD">
        <w:trPr>
          <w:trHeight w:val="336"/>
        </w:trPr>
        <w:tc>
          <w:tcPr>
            <w:tcW w:w="6287" w:type="dxa"/>
          </w:tcPr>
          <w:p w:rsidR="008D3AA9" w:rsidRPr="000904BD" w:rsidRDefault="000904BD">
            <w:pPr>
              <w:pStyle w:val="TableParagraph"/>
              <w:rPr>
                <w:sz w:val="24"/>
              </w:rPr>
            </w:pPr>
            <w:r w:rsidRPr="000904BD">
              <w:rPr>
                <w:sz w:val="24"/>
              </w:rPr>
              <w:t>Боль при пальпации глубоких вен</w:t>
            </w:r>
          </w:p>
        </w:tc>
        <w:tc>
          <w:tcPr>
            <w:tcW w:w="518" w:type="dxa"/>
          </w:tcPr>
          <w:p w:rsidR="008D3AA9" w:rsidRPr="000904BD" w:rsidRDefault="000904BD">
            <w:pPr>
              <w:pStyle w:val="TableParagraph"/>
              <w:ind w:left="64"/>
              <w:rPr>
                <w:sz w:val="24"/>
              </w:rPr>
            </w:pPr>
            <w:r w:rsidRPr="000904BD">
              <w:rPr>
                <w:sz w:val="24"/>
              </w:rPr>
              <w:t>+1</w:t>
            </w:r>
          </w:p>
        </w:tc>
      </w:tr>
      <w:tr w:rsidR="008D3AA9" w:rsidRPr="000904BD">
        <w:trPr>
          <w:trHeight w:val="336"/>
        </w:trPr>
        <w:tc>
          <w:tcPr>
            <w:tcW w:w="6287" w:type="dxa"/>
          </w:tcPr>
          <w:p w:rsidR="008D3AA9" w:rsidRPr="000904BD" w:rsidRDefault="000904BD">
            <w:pPr>
              <w:pStyle w:val="TableParagraph"/>
              <w:rPr>
                <w:sz w:val="24"/>
              </w:rPr>
            </w:pPr>
            <w:r w:rsidRPr="000904BD">
              <w:rPr>
                <w:sz w:val="24"/>
              </w:rPr>
              <w:t>Паралич или недавняя иммобилизация гипсом</w:t>
            </w:r>
          </w:p>
        </w:tc>
        <w:tc>
          <w:tcPr>
            <w:tcW w:w="518" w:type="dxa"/>
          </w:tcPr>
          <w:p w:rsidR="008D3AA9" w:rsidRPr="000904BD" w:rsidRDefault="000904BD">
            <w:pPr>
              <w:pStyle w:val="TableParagraph"/>
              <w:ind w:left="64"/>
              <w:rPr>
                <w:sz w:val="24"/>
              </w:rPr>
            </w:pPr>
            <w:r w:rsidRPr="000904BD">
              <w:rPr>
                <w:sz w:val="24"/>
              </w:rPr>
              <w:t>+1</w:t>
            </w:r>
          </w:p>
        </w:tc>
      </w:tr>
      <w:tr w:rsidR="008D3AA9" w:rsidRPr="000904BD">
        <w:trPr>
          <w:trHeight w:val="335"/>
        </w:trPr>
        <w:tc>
          <w:tcPr>
            <w:tcW w:w="6287" w:type="dxa"/>
          </w:tcPr>
          <w:p w:rsidR="008D3AA9" w:rsidRPr="000904BD" w:rsidRDefault="000904BD">
            <w:pPr>
              <w:pStyle w:val="TableParagraph"/>
              <w:rPr>
                <w:sz w:val="24"/>
              </w:rPr>
            </w:pPr>
            <w:r w:rsidRPr="000904BD">
              <w:rPr>
                <w:sz w:val="24"/>
              </w:rPr>
              <w:t>Отечность ноги полностью</w:t>
            </w:r>
          </w:p>
        </w:tc>
        <w:tc>
          <w:tcPr>
            <w:tcW w:w="518" w:type="dxa"/>
          </w:tcPr>
          <w:p w:rsidR="008D3AA9" w:rsidRPr="000904BD" w:rsidRDefault="000904BD">
            <w:pPr>
              <w:pStyle w:val="TableParagraph"/>
              <w:ind w:left="64"/>
              <w:rPr>
                <w:sz w:val="24"/>
              </w:rPr>
            </w:pPr>
            <w:r w:rsidRPr="000904BD">
              <w:rPr>
                <w:sz w:val="24"/>
              </w:rPr>
              <w:t>+1</w:t>
            </w:r>
          </w:p>
        </w:tc>
      </w:tr>
      <w:tr w:rsidR="008D3AA9" w:rsidRPr="000904BD">
        <w:trPr>
          <w:trHeight w:val="336"/>
        </w:trPr>
        <w:tc>
          <w:tcPr>
            <w:tcW w:w="6287" w:type="dxa"/>
          </w:tcPr>
          <w:p w:rsidR="008D3AA9" w:rsidRPr="000904BD" w:rsidRDefault="000904BD">
            <w:pPr>
              <w:pStyle w:val="TableParagraph"/>
              <w:rPr>
                <w:sz w:val="24"/>
              </w:rPr>
            </w:pPr>
            <w:r w:rsidRPr="000904BD">
              <w:rPr>
                <w:sz w:val="24"/>
              </w:rPr>
              <w:t>Диаметр пораженной голени больше на 3см</w:t>
            </w:r>
          </w:p>
        </w:tc>
        <w:tc>
          <w:tcPr>
            <w:tcW w:w="518" w:type="dxa"/>
          </w:tcPr>
          <w:p w:rsidR="008D3AA9" w:rsidRPr="000904BD" w:rsidRDefault="000904BD">
            <w:pPr>
              <w:pStyle w:val="TableParagraph"/>
              <w:ind w:left="64"/>
              <w:rPr>
                <w:sz w:val="24"/>
              </w:rPr>
            </w:pPr>
            <w:r w:rsidRPr="000904BD">
              <w:rPr>
                <w:sz w:val="24"/>
              </w:rPr>
              <w:t>+1</w:t>
            </w:r>
          </w:p>
        </w:tc>
      </w:tr>
      <w:tr w:rsidR="008D3AA9" w:rsidRPr="000904BD">
        <w:trPr>
          <w:trHeight w:val="609"/>
        </w:trPr>
        <w:tc>
          <w:tcPr>
            <w:tcW w:w="6287" w:type="dxa"/>
          </w:tcPr>
          <w:p w:rsidR="008D3AA9" w:rsidRPr="000904BD" w:rsidRDefault="000904BD">
            <w:pPr>
              <w:pStyle w:val="TableParagraph"/>
              <w:spacing w:before="27" w:line="237" w:lineRule="auto"/>
              <w:rPr>
                <w:sz w:val="24"/>
              </w:rPr>
            </w:pPr>
            <w:r w:rsidRPr="000904BD">
              <w:rPr>
                <w:sz w:val="24"/>
              </w:rPr>
              <w:t>Расширенные поверхностные вены (только пораженная сторона)</w:t>
            </w:r>
          </w:p>
        </w:tc>
        <w:tc>
          <w:tcPr>
            <w:tcW w:w="518" w:type="dxa"/>
          </w:tcPr>
          <w:p w:rsidR="008D3AA9" w:rsidRPr="000904BD" w:rsidRDefault="000904BD">
            <w:pPr>
              <w:pStyle w:val="TableParagraph"/>
              <w:spacing w:before="164"/>
              <w:ind w:left="64"/>
              <w:rPr>
                <w:sz w:val="24"/>
              </w:rPr>
            </w:pPr>
            <w:r w:rsidRPr="000904BD">
              <w:rPr>
                <w:sz w:val="24"/>
              </w:rPr>
              <w:t>+1</w:t>
            </w:r>
          </w:p>
        </w:tc>
      </w:tr>
      <w:tr w:rsidR="008D3AA9" w:rsidRPr="000904BD">
        <w:trPr>
          <w:trHeight w:val="335"/>
        </w:trPr>
        <w:tc>
          <w:tcPr>
            <w:tcW w:w="6287" w:type="dxa"/>
          </w:tcPr>
          <w:p w:rsidR="008D3AA9" w:rsidRPr="000904BD" w:rsidRDefault="000904BD">
            <w:pPr>
              <w:pStyle w:val="TableParagraph"/>
              <w:rPr>
                <w:sz w:val="24"/>
              </w:rPr>
            </w:pPr>
            <w:r w:rsidRPr="000904BD">
              <w:rPr>
                <w:sz w:val="24"/>
              </w:rPr>
              <w:t>Пастозность (только пораженная сторона)</w:t>
            </w:r>
          </w:p>
        </w:tc>
        <w:tc>
          <w:tcPr>
            <w:tcW w:w="518" w:type="dxa"/>
          </w:tcPr>
          <w:p w:rsidR="008D3AA9" w:rsidRPr="000904BD" w:rsidRDefault="000904BD">
            <w:pPr>
              <w:pStyle w:val="TableParagraph"/>
              <w:ind w:left="64"/>
              <w:rPr>
                <w:sz w:val="24"/>
              </w:rPr>
            </w:pPr>
            <w:r w:rsidRPr="000904BD">
              <w:rPr>
                <w:sz w:val="24"/>
              </w:rPr>
              <w:t>+1</w:t>
            </w:r>
          </w:p>
        </w:tc>
      </w:tr>
      <w:tr w:rsidR="008D3AA9" w:rsidRPr="000904BD">
        <w:trPr>
          <w:trHeight w:val="300"/>
        </w:trPr>
        <w:tc>
          <w:tcPr>
            <w:tcW w:w="6287" w:type="dxa"/>
          </w:tcPr>
          <w:p w:rsidR="008D3AA9" w:rsidRPr="000904BD" w:rsidRDefault="000904BD">
            <w:pPr>
              <w:pStyle w:val="TableParagraph"/>
              <w:spacing w:line="256" w:lineRule="exact"/>
              <w:rPr>
                <w:sz w:val="24"/>
              </w:rPr>
            </w:pPr>
            <w:r w:rsidRPr="000904BD">
              <w:rPr>
                <w:sz w:val="24"/>
              </w:rPr>
              <w:t>Иные заболевания, вероятны в той же мере, что и ТГВ</w:t>
            </w:r>
          </w:p>
        </w:tc>
        <w:tc>
          <w:tcPr>
            <w:tcW w:w="518" w:type="dxa"/>
          </w:tcPr>
          <w:p w:rsidR="008D3AA9" w:rsidRPr="000904BD" w:rsidRDefault="000904BD"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 w:rsidRPr="000904BD">
              <w:rPr>
                <w:sz w:val="24"/>
              </w:rPr>
              <w:t>-2</w:t>
            </w:r>
          </w:p>
        </w:tc>
      </w:tr>
    </w:tbl>
    <w:p w:rsidR="008D3AA9" w:rsidRPr="000904BD" w:rsidRDefault="000904BD">
      <w:pPr>
        <w:spacing w:before="50"/>
        <w:ind w:left="479"/>
        <w:rPr>
          <w:sz w:val="24"/>
        </w:rPr>
      </w:pPr>
      <w:r w:rsidRPr="000904BD">
        <w:rPr>
          <w:sz w:val="24"/>
        </w:rPr>
        <w:t>Шкала Велла для легочной эмболии †</w:t>
      </w:r>
    </w:p>
    <w:p w:rsidR="008D3AA9" w:rsidRPr="000904BD" w:rsidRDefault="008D3AA9">
      <w:pPr>
        <w:rPr>
          <w:sz w:val="24"/>
        </w:rPr>
        <w:sectPr w:rsidR="008D3AA9" w:rsidRPr="000904BD">
          <w:pgSz w:w="11910" w:h="16840"/>
          <w:pgMar w:top="1040" w:right="0" w:bottom="280" w:left="1220" w:header="720" w:footer="720" w:gutter="0"/>
          <w:cols w:space="720"/>
        </w:sectPr>
      </w:pPr>
    </w:p>
    <w:tbl>
      <w:tblPr>
        <w:tblStyle w:val="TableNormal"/>
        <w:tblW w:w="0" w:type="auto"/>
        <w:tblInd w:w="335" w:type="dxa"/>
        <w:tblLayout w:type="fixed"/>
        <w:tblLook w:val="01E0" w:firstRow="1" w:lastRow="1" w:firstColumn="1" w:lastColumn="1" w:noHBand="0" w:noVBand="0"/>
      </w:tblPr>
      <w:tblGrid>
        <w:gridCol w:w="4946"/>
        <w:gridCol w:w="823"/>
      </w:tblGrid>
      <w:tr w:rsidR="008D3AA9" w:rsidRPr="000904BD">
        <w:trPr>
          <w:trHeight w:val="300"/>
        </w:trPr>
        <w:tc>
          <w:tcPr>
            <w:tcW w:w="4946" w:type="dxa"/>
          </w:tcPr>
          <w:p w:rsidR="008D3AA9" w:rsidRPr="000904BD" w:rsidRDefault="000904BD">
            <w:pPr>
              <w:pStyle w:val="TableParagraph"/>
              <w:spacing w:before="0" w:line="266" w:lineRule="exact"/>
              <w:rPr>
                <w:sz w:val="24"/>
              </w:rPr>
            </w:pPr>
            <w:r w:rsidRPr="000904BD">
              <w:rPr>
                <w:sz w:val="24"/>
              </w:rPr>
              <w:lastRenderedPageBreak/>
              <w:t>Предшествующие случаи ЛЭ или ТГВ</w:t>
            </w:r>
          </w:p>
        </w:tc>
        <w:tc>
          <w:tcPr>
            <w:tcW w:w="823" w:type="dxa"/>
          </w:tcPr>
          <w:p w:rsidR="008D3AA9" w:rsidRPr="000904BD" w:rsidRDefault="000904BD">
            <w:pPr>
              <w:pStyle w:val="TableParagraph"/>
              <w:spacing w:before="0" w:line="266" w:lineRule="exact"/>
              <w:ind w:left="127"/>
              <w:rPr>
                <w:sz w:val="24"/>
              </w:rPr>
            </w:pPr>
            <w:r w:rsidRPr="000904BD">
              <w:rPr>
                <w:sz w:val="24"/>
              </w:rPr>
              <w:t>+1*5</w:t>
            </w:r>
          </w:p>
        </w:tc>
      </w:tr>
      <w:tr w:rsidR="008D3AA9" w:rsidRPr="000904BD">
        <w:trPr>
          <w:trHeight w:val="335"/>
        </w:trPr>
        <w:tc>
          <w:tcPr>
            <w:tcW w:w="4946" w:type="dxa"/>
          </w:tcPr>
          <w:p w:rsidR="008D3AA9" w:rsidRPr="000904BD" w:rsidRDefault="000904BD">
            <w:pPr>
              <w:pStyle w:val="TableParagraph"/>
              <w:rPr>
                <w:sz w:val="24"/>
              </w:rPr>
            </w:pPr>
            <w:r w:rsidRPr="000904BD">
              <w:rPr>
                <w:sz w:val="24"/>
              </w:rPr>
              <w:t>ЧСС &gt; 100 уд/в минуту</w:t>
            </w:r>
          </w:p>
        </w:tc>
        <w:tc>
          <w:tcPr>
            <w:tcW w:w="823" w:type="dxa"/>
          </w:tcPr>
          <w:p w:rsidR="008D3AA9" w:rsidRPr="000904BD" w:rsidRDefault="000904BD">
            <w:pPr>
              <w:pStyle w:val="TableParagraph"/>
              <w:ind w:left="127"/>
              <w:rPr>
                <w:sz w:val="24"/>
              </w:rPr>
            </w:pPr>
            <w:r w:rsidRPr="000904BD">
              <w:rPr>
                <w:sz w:val="24"/>
              </w:rPr>
              <w:t>+1*5</w:t>
            </w:r>
          </w:p>
        </w:tc>
      </w:tr>
      <w:tr w:rsidR="008D3AA9" w:rsidRPr="000904BD">
        <w:trPr>
          <w:trHeight w:val="336"/>
        </w:trPr>
        <w:tc>
          <w:tcPr>
            <w:tcW w:w="4946" w:type="dxa"/>
          </w:tcPr>
          <w:p w:rsidR="008D3AA9" w:rsidRPr="000904BD" w:rsidRDefault="000904BD">
            <w:pPr>
              <w:pStyle w:val="TableParagraph"/>
              <w:rPr>
                <w:sz w:val="24"/>
              </w:rPr>
            </w:pPr>
            <w:r w:rsidRPr="000904BD">
              <w:rPr>
                <w:sz w:val="24"/>
              </w:rPr>
              <w:t>Недавние операцие или иммобилизации</w:t>
            </w:r>
          </w:p>
        </w:tc>
        <w:tc>
          <w:tcPr>
            <w:tcW w:w="823" w:type="dxa"/>
          </w:tcPr>
          <w:p w:rsidR="008D3AA9" w:rsidRPr="000904BD" w:rsidRDefault="000904BD">
            <w:pPr>
              <w:pStyle w:val="TableParagraph"/>
              <w:ind w:left="127"/>
              <w:rPr>
                <w:sz w:val="24"/>
              </w:rPr>
            </w:pPr>
            <w:r w:rsidRPr="000904BD">
              <w:rPr>
                <w:sz w:val="24"/>
              </w:rPr>
              <w:t>+1*5</w:t>
            </w:r>
          </w:p>
        </w:tc>
      </w:tr>
      <w:tr w:rsidR="008D3AA9" w:rsidRPr="000904BD">
        <w:trPr>
          <w:trHeight w:val="336"/>
        </w:trPr>
        <w:tc>
          <w:tcPr>
            <w:tcW w:w="4946" w:type="dxa"/>
          </w:tcPr>
          <w:p w:rsidR="008D3AA9" w:rsidRPr="000904BD" w:rsidRDefault="000904BD">
            <w:pPr>
              <w:pStyle w:val="TableParagraph"/>
              <w:rPr>
                <w:sz w:val="24"/>
              </w:rPr>
            </w:pPr>
            <w:r w:rsidRPr="000904BD">
              <w:rPr>
                <w:sz w:val="24"/>
              </w:rPr>
              <w:t>Клинические проявления ТГВ</w:t>
            </w:r>
          </w:p>
        </w:tc>
        <w:tc>
          <w:tcPr>
            <w:tcW w:w="823" w:type="dxa"/>
          </w:tcPr>
          <w:p w:rsidR="008D3AA9" w:rsidRPr="000904BD" w:rsidRDefault="000904BD">
            <w:pPr>
              <w:pStyle w:val="TableParagraph"/>
              <w:ind w:left="127"/>
              <w:rPr>
                <w:sz w:val="24"/>
              </w:rPr>
            </w:pPr>
            <w:r w:rsidRPr="000904BD">
              <w:rPr>
                <w:sz w:val="24"/>
              </w:rPr>
              <w:t>+3</w:t>
            </w:r>
          </w:p>
        </w:tc>
      </w:tr>
      <w:tr w:rsidR="008D3AA9" w:rsidRPr="000904BD">
        <w:trPr>
          <w:trHeight w:val="336"/>
        </w:trPr>
        <w:tc>
          <w:tcPr>
            <w:tcW w:w="4946" w:type="dxa"/>
          </w:tcPr>
          <w:p w:rsidR="008D3AA9" w:rsidRPr="000904BD" w:rsidRDefault="000904BD">
            <w:pPr>
              <w:pStyle w:val="TableParagraph"/>
              <w:rPr>
                <w:sz w:val="24"/>
              </w:rPr>
            </w:pPr>
            <w:r w:rsidRPr="000904BD">
              <w:rPr>
                <w:sz w:val="24"/>
              </w:rPr>
              <w:t>Кровохаркание</w:t>
            </w:r>
          </w:p>
        </w:tc>
        <w:tc>
          <w:tcPr>
            <w:tcW w:w="823" w:type="dxa"/>
          </w:tcPr>
          <w:p w:rsidR="008D3AA9" w:rsidRPr="000904BD" w:rsidRDefault="000904BD">
            <w:pPr>
              <w:pStyle w:val="TableParagraph"/>
              <w:ind w:left="127"/>
              <w:rPr>
                <w:sz w:val="24"/>
              </w:rPr>
            </w:pPr>
            <w:r w:rsidRPr="000904BD">
              <w:rPr>
                <w:sz w:val="24"/>
              </w:rPr>
              <w:t>+1</w:t>
            </w:r>
          </w:p>
        </w:tc>
      </w:tr>
      <w:tr w:rsidR="008D3AA9" w:rsidRPr="000904BD">
        <w:trPr>
          <w:trHeight w:val="336"/>
        </w:trPr>
        <w:tc>
          <w:tcPr>
            <w:tcW w:w="4946" w:type="dxa"/>
          </w:tcPr>
          <w:p w:rsidR="008D3AA9" w:rsidRPr="000904BD" w:rsidRDefault="000904BD">
            <w:pPr>
              <w:pStyle w:val="TableParagraph"/>
              <w:rPr>
                <w:sz w:val="24"/>
              </w:rPr>
            </w:pPr>
            <w:r w:rsidRPr="000904BD">
              <w:rPr>
                <w:sz w:val="24"/>
              </w:rPr>
              <w:t>Рак</w:t>
            </w:r>
          </w:p>
        </w:tc>
        <w:tc>
          <w:tcPr>
            <w:tcW w:w="823" w:type="dxa"/>
          </w:tcPr>
          <w:p w:rsidR="008D3AA9" w:rsidRPr="000904BD" w:rsidRDefault="000904BD">
            <w:pPr>
              <w:pStyle w:val="TableParagraph"/>
              <w:ind w:left="127"/>
              <w:rPr>
                <w:sz w:val="24"/>
              </w:rPr>
            </w:pPr>
            <w:r w:rsidRPr="000904BD">
              <w:rPr>
                <w:sz w:val="24"/>
              </w:rPr>
              <w:t>+1</w:t>
            </w:r>
          </w:p>
        </w:tc>
      </w:tr>
      <w:tr w:rsidR="008D3AA9" w:rsidRPr="000904BD">
        <w:trPr>
          <w:trHeight w:val="300"/>
        </w:trPr>
        <w:tc>
          <w:tcPr>
            <w:tcW w:w="4946" w:type="dxa"/>
          </w:tcPr>
          <w:p w:rsidR="008D3AA9" w:rsidRPr="000904BD" w:rsidRDefault="000904BD">
            <w:pPr>
              <w:pStyle w:val="TableParagraph"/>
              <w:spacing w:line="256" w:lineRule="exact"/>
              <w:rPr>
                <w:sz w:val="24"/>
              </w:rPr>
            </w:pPr>
            <w:r w:rsidRPr="000904BD">
              <w:rPr>
                <w:sz w:val="24"/>
              </w:rPr>
              <w:t>Другие заболевания менее вероятны, чем ЛЭ</w:t>
            </w:r>
          </w:p>
        </w:tc>
        <w:tc>
          <w:tcPr>
            <w:tcW w:w="823" w:type="dxa"/>
          </w:tcPr>
          <w:p w:rsidR="008D3AA9" w:rsidRPr="000904BD" w:rsidRDefault="000904BD">
            <w:pPr>
              <w:pStyle w:val="TableParagraph"/>
              <w:spacing w:line="256" w:lineRule="exact"/>
              <w:ind w:left="127"/>
              <w:rPr>
                <w:sz w:val="24"/>
              </w:rPr>
            </w:pPr>
            <w:r w:rsidRPr="000904BD">
              <w:rPr>
                <w:sz w:val="24"/>
              </w:rPr>
              <w:t>+3</w:t>
            </w:r>
          </w:p>
        </w:tc>
      </w:tr>
    </w:tbl>
    <w:p w:rsidR="008D3AA9" w:rsidRPr="000904BD" w:rsidRDefault="000904BD">
      <w:pPr>
        <w:spacing w:before="45" w:after="57"/>
        <w:ind w:left="604"/>
        <w:rPr>
          <w:sz w:val="24"/>
        </w:rPr>
      </w:pPr>
      <w:r w:rsidRPr="000904BD">
        <w:rPr>
          <w:sz w:val="24"/>
        </w:rPr>
        <w:t>Пересмотренная таблица Женевы для ЛЭ ‡</w:t>
      </w:r>
    </w:p>
    <w:tbl>
      <w:tblPr>
        <w:tblStyle w:val="TableNormal"/>
        <w:tblW w:w="0" w:type="auto"/>
        <w:tblInd w:w="335" w:type="dxa"/>
        <w:tblLayout w:type="fixed"/>
        <w:tblLook w:val="01E0" w:firstRow="1" w:lastRow="1" w:firstColumn="1" w:lastColumn="1" w:noHBand="0" w:noVBand="0"/>
      </w:tblPr>
      <w:tblGrid>
        <w:gridCol w:w="5014"/>
        <w:gridCol w:w="542"/>
      </w:tblGrid>
      <w:tr w:rsidR="008D3AA9" w:rsidRPr="000904BD">
        <w:trPr>
          <w:trHeight w:val="301"/>
        </w:trPr>
        <w:tc>
          <w:tcPr>
            <w:tcW w:w="5014" w:type="dxa"/>
          </w:tcPr>
          <w:p w:rsidR="008D3AA9" w:rsidRPr="000904BD" w:rsidRDefault="000904BD">
            <w:pPr>
              <w:pStyle w:val="TableParagraph"/>
              <w:spacing w:before="0" w:line="266" w:lineRule="exact"/>
              <w:rPr>
                <w:sz w:val="24"/>
              </w:rPr>
            </w:pPr>
            <w:r w:rsidRPr="000904BD">
              <w:rPr>
                <w:sz w:val="24"/>
              </w:rPr>
              <w:t>Возраст &gt; 65 лет</w:t>
            </w:r>
          </w:p>
        </w:tc>
        <w:tc>
          <w:tcPr>
            <w:tcW w:w="542" w:type="dxa"/>
          </w:tcPr>
          <w:p w:rsidR="008D3AA9" w:rsidRPr="000904BD" w:rsidRDefault="000904BD">
            <w:pPr>
              <w:pStyle w:val="TableParagraph"/>
              <w:spacing w:before="0" w:line="266" w:lineRule="exact"/>
              <w:ind w:left="88"/>
              <w:rPr>
                <w:sz w:val="24"/>
              </w:rPr>
            </w:pPr>
            <w:r w:rsidRPr="000904BD">
              <w:rPr>
                <w:sz w:val="24"/>
              </w:rPr>
              <w:t>+1</w:t>
            </w:r>
          </w:p>
        </w:tc>
      </w:tr>
      <w:tr w:rsidR="008D3AA9" w:rsidRPr="000904BD">
        <w:trPr>
          <w:trHeight w:val="336"/>
        </w:trPr>
        <w:tc>
          <w:tcPr>
            <w:tcW w:w="5014" w:type="dxa"/>
          </w:tcPr>
          <w:p w:rsidR="008D3AA9" w:rsidRPr="000904BD" w:rsidRDefault="000904BD">
            <w:pPr>
              <w:pStyle w:val="TableParagraph"/>
              <w:rPr>
                <w:sz w:val="24"/>
              </w:rPr>
            </w:pPr>
            <w:r w:rsidRPr="000904BD">
              <w:rPr>
                <w:sz w:val="24"/>
              </w:rPr>
              <w:t>Предшествующие случаи ТГВ или ЛЭ</w:t>
            </w:r>
          </w:p>
        </w:tc>
        <w:tc>
          <w:tcPr>
            <w:tcW w:w="542" w:type="dxa"/>
          </w:tcPr>
          <w:p w:rsidR="008D3AA9" w:rsidRPr="000904BD" w:rsidRDefault="000904BD">
            <w:pPr>
              <w:pStyle w:val="TableParagraph"/>
              <w:ind w:left="88"/>
              <w:rPr>
                <w:sz w:val="24"/>
              </w:rPr>
            </w:pPr>
            <w:r w:rsidRPr="000904BD">
              <w:rPr>
                <w:sz w:val="24"/>
              </w:rPr>
              <w:t>+3</w:t>
            </w:r>
          </w:p>
        </w:tc>
      </w:tr>
      <w:tr w:rsidR="008D3AA9" w:rsidRPr="000904BD">
        <w:trPr>
          <w:trHeight w:val="887"/>
        </w:trPr>
        <w:tc>
          <w:tcPr>
            <w:tcW w:w="5014" w:type="dxa"/>
          </w:tcPr>
          <w:p w:rsidR="008D3AA9" w:rsidRPr="000904BD" w:rsidRDefault="000904BD">
            <w:pPr>
              <w:pStyle w:val="TableParagraph"/>
              <w:ind w:right="162"/>
              <w:rPr>
                <w:sz w:val="24"/>
              </w:rPr>
            </w:pPr>
            <w:r w:rsidRPr="000904BD">
              <w:rPr>
                <w:sz w:val="24"/>
              </w:rPr>
              <w:t>Операции (под общим наркозом) или переломы нижних конечностей за последний меяц</w:t>
            </w:r>
          </w:p>
        </w:tc>
        <w:tc>
          <w:tcPr>
            <w:tcW w:w="542" w:type="dxa"/>
          </w:tcPr>
          <w:p w:rsidR="008D3AA9" w:rsidRPr="000904BD" w:rsidRDefault="008D3AA9">
            <w:pPr>
              <w:pStyle w:val="TableParagraph"/>
              <w:spacing w:before="4"/>
              <w:ind w:left="0"/>
              <w:rPr>
                <w:sz w:val="26"/>
              </w:rPr>
            </w:pPr>
          </w:p>
          <w:p w:rsidR="008D3AA9" w:rsidRPr="000904BD" w:rsidRDefault="000904BD">
            <w:pPr>
              <w:pStyle w:val="TableParagraph"/>
              <w:spacing w:before="0"/>
              <w:ind w:left="88"/>
              <w:rPr>
                <w:sz w:val="24"/>
              </w:rPr>
            </w:pPr>
            <w:r w:rsidRPr="000904BD">
              <w:rPr>
                <w:sz w:val="24"/>
              </w:rPr>
              <w:t>+2</w:t>
            </w:r>
          </w:p>
        </w:tc>
      </w:tr>
      <w:tr w:rsidR="008D3AA9" w:rsidRPr="000904BD">
        <w:trPr>
          <w:trHeight w:val="336"/>
        </w:trPr>
        <w:tc>
          <w:tcPr>
            <w:tcW w:w="5014" w:type="dxa"/>
          </w:tcPr>
          <w:p w:rsidR="008D3AA9" w:rsidRPr="000904BD" w:rsidRDefault="000904BD">
            <w:pPr>
              <w:pStyle w:val="TableParagraph"/>
              <w:rPr>
                <w:sz w:val="24"/>
              </w:rPr>
            </w:pPr>
            <w:r w:rsidRPr="000904BD">
              <w:rPr>
                <w:sz w:val="24"/>
              </w:rPr>
              <w:t>Односторонняя боль в ноге</w:t>
            </w:r>
          </w:p>
        </w:tc>
        <w:tc>
          <w:tcPr>
            <w:tcW w:w="542" w:type="dxa"/>
          </w:tcPr>
          <w:p w:rsidR="008D3AA9" w:rsidRPr="000904BD" w:rsidRDefault="000904BD">
            <w:pPr>
              <w:pStyle w:val="TableParagraph"/>
              <w:ind w:left="88"/>
              <w:rPr>
                <w:sz w:val="24"/>
              </w:rPr>
            </w:pPr>
            <w:r w:rsidRPr="000904BD">
              <w:rPr>
                <w:sz w:val="24"/>
              </w:rPr>
              <w:t>+3</w:t>
            </w:r>
          </w:p>
        </w:tc>
      </w:tr>
      <w:tr w:rsidR="008D3AA9" w:rsidRPr="000904BD">
        <w:trPr>
          <w:trHeight w:val="336"/>
        </w:trPr>
        <w:tc>
          <w:tcPr>
            <w:tcW w:w="5014" w:type="dxa"/>
          </w:tcPr>
          <w:p w:rsidR="008D3AA9" w:rsidRPr="000904BD" w:rsidRDefault="000904BD">
            <w:pPr>
              <w:pStyle w:val="TableParagraph"/>
              <w:rPr>
                <w:sz w:val="24"/>
              </w:rPr>
            </w:pPr>
            <w:r w:rsidRPr="000904BD">
              <w:rPr>
                <w:sz w:val="24"/>
              </w:rPr>
              <w:t>Кровохаркание</w:t>
            </w:r>
          </w:p>
        </w:tc>
        <w:tc>
          <w:tcPr>
            <w:tcW w:w="542" w:type="dxa"/>
          </w:tcPr>
          <w:p w:rsidR="008D3AA9" w:rsidRPr="000904BD" w:rsidRDefault="000904BD">
            <w:pPr>
              <w:pStyle w:val="TableParagraph"/>
              <w:ind w:left="88"/>
              <w:rPr>
                <w:sz w:val="24"/>
              </w:rPr>
            </w:pPr>
            <w:r w:rsidRPr="000904BD">
              <w:rPr>
                <w:sz w:val="24"/>
              </w:rPr>
              <w:t>+2</w:t>
            </w:r>
          </w:p>
        </w:tc>
      </w:tr>
      <w:tr w:rsidR="008D3AA9" w:rsidRPr="000904BD">
        <w:trPr>
          <w:trHeight w:val="335"/>
        </w:trPr>
        <w:tc>
          <w:tcPr>
            <w:tcW w:w="5014" w:type="dxa"/>
          </w:tcPr>
          <w:p w:rsidR="008D3AA9" w:rsidRPr="000904BD" w:rsidRDefault="000904BD">
            <w:pPr>
              <w:pStyle w:val="TableParagraph"/>
              <w:rPr>
                <w:sz w:val="24"/>
              </w:rPr>
            </w:pPr>
            <w:r w:rsidRPr="000904BD">
              <w:rPr>
                <w:sz w:val="24"/>
              </w:rPr>
              <w:t>ЧСС 75-94 уд/мин</w:t>
            </w:r>
          </w:p>
        </w:tc>
        <w:tc>
          <w:tcPr>
            <w:tcW w:w="542" w:type="dxa"/>
          </w:tcPr>
          <w:p w:rsidR="008D3AA9" w:rsidRPr="000904BD" w:rsidRDefault="000904BD">
            <w:pPr>
              <w:pStyle w:val="TableParagraph"/>
              <w:ind w:left="88"/>
              <w:rPr>
                <w:sz w:val="24"/>
              </w:rPr>
            </w:pPr>
            <w:r w:rsidRPr="000904BD">
              <w:rPr>
                <w:sz w:val="24"/>
              </w:rPr>
              <w:t>+3</w:t>
            </w:r>
          </w:p>
        </w:tc>
      </w:tr>
      <w:tr w:rsidR="008D3AA9" w:rsidRPr="000904BD">
        <w:trPr>
          <w:trHeight w:val="335"/>
        </w:trPr>
        <w:tc>
          <w:tcPr>
            <w:tcW w:w="5014" w:type="dxa"/>
          </w:tcPr>
          <w:p w:rsidR="008D3AA9" w:rsidRPr="000904BD" w:rsidRDefault="000904BD">
            <w:pPr>
              <w:pStyle w:val="TableParagraph"/>
              <w:rPr>
                <w:sz w:val="24"/>
              </w:rPr>
            </w:pPr>
            <w:r w:rsidRPr="000904BD">
              <w:rPr>
                <w:sz w:val="24"/>
              </w:rPr>
              <w:t>ЧСС &gt; 95 уд/мин</w:t>
            </w:r>
          </w:p>
        </w:tc>
        <w:tc>
          <w:tcPr>
            <w:tcW w:w="542" w:type="dxa"/>
          </w:tcPr>
          <w:p w:rsidR="008D3AA9" w:rsidRPr="000904BD" w:rsidRDefault="000904BD">
            <w:pPr>
              <w:pStyle w:val="TableParagraph"/>
              <w:ind w:left="88"/>
              <w:rPr>
                <w:sz w:val="24"/>
              </w:rPr>
            </w:pPr>
            <w:r w:rsidRPr="000904BD">
              <w:rPr>
                <w:sz w:val="24"/>
              </w:rPr>
              <w:t>+5</w:t>
            </w:r>
          </w:p>
        </w:tc>
      </w:tr>
      <w:tr w:rsidR="008D3AA9" w:rsidRPr="000904BD">
        <w:trPr>
          <w:trHeight w:val="614"/>
        </w:trPr>
        <w:tc>
          <w:tcPr>
            <w:tcW w:w="5014" w:type="dxa"/>
          </w:tcPr>
          <w:p w:rsidR="008D3AA9" w:rsidRPr="000904BD" w:rsidRDefault="000904BD">
            <w:pPr>
              <w:pStyle w:val="TableParagraph"/>
              <w:spacing w:line="242" w:lineRule="auto"/>
              <w:ind w:right="588"/>
              <w:rPr>
                <w:sz w:val="24"/>
              </w:rPr>
            </w:pPr>
            <w:r w:rsidRPr="000904BD">
              <w:rPr>
                <w:sz w:val="24"/>
              </w:rPr>
              <w:t>Боль при пальпации глубоких вен ноги и односторонний отек</w:t>
            </w:r>
          </w:p>
        </w:tc>
        <w:tc>
          <w:tcPr>
            <w:tcW w:w="542" w:type="dxa"/>
          </w:tcPr>
          <w:p w:rsidR="008D3AA9" w:rsidRPr="000904BD" w:rsidRDefault="000904BD">
            <w:pPr>
              <w:pStyle w:val="TableParagraph"/>
              <w:spacing w:before="164"/>
              <w:ind w:left="88"/>
              <w:rPr>
                <w:sz w:val="24"/>
              </w:rPr>
            </w:pPr>
            <w:r w:rsidRPr="000904BD">
              <w:rPr>
                <w:sz w:val="24"/>
              </w:rPr>
              <w:t>+4</w:t>
            </w:r>
          </w:p>
        </w:tc>
      </w:tr>
      <w:tr w:rsidR="008D3AA9" w:rsidRPr="000904BD">
        <w:trPr>
          <w:trHeight w:val="853"/>
        </w:trPr>
        <w:tc>
          <w:tcPr>
            <w:tcW w:w="5014" w:type="dxa"/>
          </w:tcPr>
          <w:p w:rsidR="008D3AA9" w:rsidRPr="000904BD" w:rsidRDefault="000904BD">
            <w:pPr>
              <w:pStyle w:val="TableParagraph"/>
              <w:spacing w:before="27" w:line="237" w:lineRule="auto"/>
              <w:ind w:right="70"/>
              <w:rPr>
                <w:sz w:val="24"/>
              </w:rPr>
            </w:pPr>
            <w:r w:rsidRPr="000904BD">
              <w:rPr>
                <w:sz w:val="24"/>
              </w:rPr>
              <w:t>Опухоли (как солидные, так и системы крови, как активные, так и считающиеся</w:t>
            </w:r>
          </w:p>
          <w:p w:rsidR="008D3AA9" w:rsidRPr="000904BD" w:rsidRDefault="000904BD">
            <w:pPr>
              <w:pStyle w:val="TableParagraph"/>
              <w:spacing w:before="3" w:line="256" w:lineRule="exact"/>
              <w:rPr>
                <w:sz w:val="24"/>
              </w:rPr>
            </w:pPr>
            <w:r w:rsidRPr="000904BD">
              <w:rPr>
                <w:sz w:val="24"/>
              </w:rPr>
              <w:t>вылеченными за последний год)</w:t>
            </w:r>
          </w:p>
        </w:tc>
        <w:tc>
          <w:tcPr>
            <w:tcW w:w="542" w:type="dxa"/>
          </w:tcPr>
          <w:p w:rsidR="008D3AA9" w:rsidRPr="000904BD" w:rsidRDefault="008D3AA9">
            <w:pPr>
              <w:pStyle w:val="TableParagraph"/>
              <w:spacing w:before="11"/>
              <w:ind w:left="0"/>
              <w:rPr>
                <w:sz w:val="25"/>
              </w:rPr>
            </w:pPr>
          </w:p>
          <w:p w:rsidR="008D3AA9" w:rsidRPr="000904BD" w:rsidRDefault="000904BD">
            <w:pPr>
              <w:pStyle w:val="TableParagraph"/>
              <w:spacing w:before="0"/>
              <w:ind w:left="88"/>
              <w:rPr>
                <w:sz w:val="24"/>
              </w:rPr>
            </w:pPr>
            <w:r w:rsidRPr="000904BD">
              <w:rPr>
                <w:sz w:val="24"/>
              </w:rPr>
              <w:t>+2</w:t>
            </w:r>
          </w:p>
        </w:tc>
      </w:tr>
    </w:tbl>
    <w:p w:rsidR="008D3AA9" w:rsidRPr="000904BD" w:rsidRDefault="000904BD">
      <w:pPr>
        <w:spacing w:before="45"/>
        <w:ind w:left="479" w:right="1272" w:firstLine="124"/>
        <w:rPr>
          <w:sz w:val="24"/>
        </w:rPr>
      </w:pPr>
      <w:r w:rsidRPr="000904BD">
        <w:rPr>
          <w:i/>
          <w:sz w:val="24"/>
        </w:rPr>
        <w:t xml:space="preserve">ТГВ – тромбоз глубоких вен, ЛЭ – легочная эмболия. * Пациенты, набравшие 0 очков </w:t>
      </w:r>
      <w:r w:rsidRPr="000904BD">
        <w:rPr>
          <w:i/>
          <w:sz w:val="24"/>
        </w:rPr>
        <w:t xml:space="preserve">относятся к группе низкого риска, 1-2 очка – к группе умеренного риска, &gt;3 – к группе повышенного риска. </w:t>
      </w:r>
      <w:r w:rsidRPr="000904BD">
        <w:rPr>
          <w:sz w:val="24"/>
        </w:rPr>
        <w:t>† Как правило, пациенты, набравшие от 0 до 1 очка – пациенты с низким риском, 2-6 со средним риском, а набравшие &gt;7 – относятся к группе повышенного ри</w:t>
      </w:r>
      <w:r w:rsidRPr="000904BD">
        <w:rPr>
          <w:sz w:val="24"/>
        </w:rPr>
        <w:t>ска. С другой стороны, пациенты могут как иметь, так и не иметь ЛЭ, если наберут &gt;4 или &lt;4 баллов соответственно. ‡ Пациенты, набравшие &lt;2 – низкого риска, 2-6 – умеренного риска, а &gt;6 - высокого риска.</w:t>
      </w:r>
    </w:p>
    <w:p w:rsidR="008D3AA9" w:rsidRPr="000904BD" w:rsidRDefault="008D3AA9">
      <w:pPr>
        <w:pStyle w:val="a3"/>
        <w:spacing w:before="10"/>
        <w:rPr>
          <w:sz w:val="32"/>
        </w:rPr>
      </w:pPr>
    </w:p>
    <w:p w:rsidR="008D3AA9" w:rsidRPr="000904BD" w:rsidRDefault="000904BD">
      <w:pPr>
        <w:pStyle w:val="2"/>
        <w:rPr>
          <w:b w:val="0"/>
        </w:rPr>
      </w:pPr>
      <w:bookmarkStart w:id="7" w:name="Измерение_D-димера_фибрина"/>
      <w:bookmarkEnd w:id="7"/>
      <w:r w:rsidRPr="000904BD">
        <w:rPr>
          <w:b w:val="0"/>
        </w:rPr>
        <w:t>Измерение D-димера фибрина</w:t>
      </w:r>
    </w:p>
    <w:p w:rsidR="008D3AA9" w:rsidRPr="000904BD" w:rsidRDefault="000904BD">
      <w:pPr>
        <w:pStyle w:val="a3"/>
        <w:spacing w:before="224"/>
        <w:ind w:left="479" w:right="911"/>
      </w:pPr>
      <w:r w:rsidRPr="000904BD">
        <w:t>D-димер фибрина - продукт</w:t>
      </w:r>
      <w:r w:rsidRPr="000904BD">
        <w:t xml:space="preserve"> распада «сшитого» фибрина и его концентрация возрастает у пациентов с острой венозной тромбоэмболией. При количественном анализе ELISA или с каким-либо другим турбидиметрическим тестом, D-димер крайне точен (точность выше 95%) для исключения острого тромб</w:t>
      </w:r>
      <w:r w:rsidRPr="000904BD">
        <w:t>оза глубоких вен или легочной эмболии, обычно, находится ниже отметки в 500 μг/л. Следовательно, концентрации, ниже чем этот объем исключают острый венозный тромбоз, в крайнем случае, у пациентов с низкими или умеренными рисками. Согласно мета-исследования</w:t>
      </w:r>
      <w:r w:rsidRPr="000904BD">
        <w:t>м, тест VIDAS на D-димер уже был опробован на 5060 пациентах с подозрением на легочную эмболию и с крайне низким (меньше 1%) риском тромбоэмболии за 3 месяца. Тест Tinaquant (иммунотурбиметрический тест) был использован более чем на 2000 пациентах и показа</w:t>
      </w:r>
      <w:r w:rsidRPr="000904BD">
        <w:t xml:space="preserve">л похожий низкий риск тромбоэмболии вен за 3 месяца. Наконец, тест SimpliRed (латекс- тест, работает с кровью, доступен в амбулаторных условиях) хорошо себя зарекомендовал, но коэффициент согласия наблюдателей может быть противоречивым. Анализы на Д-димер </w:t>
      </w:r>
      <w:r w:rsidRPr="000904BD">
        <w:t>имеют ограниченную специфичность, и менее полезны, чем другие исследования, в некоторых группах пациентов, включая пациентов с высокими рисками и тех, кто был госпитализирован по другим причинам, и у которых подозрение на легочную</w:t>
      </w:r>
    </w:p>
    <w:p w:rsidR="008D3AA9" w:rsidRPr="000904BD" w:rsidRDefault="008D3AA9">
      <w:pPr>
        <w:sectPr w:rsidR="008D3AA9" w:rsidRPr="000904BD">
          <w:pgSz w:w="11910" w:h="16840"/>
          <w:pgMar w:top="1160" w:right="0" w:bottom="280" w:left="1220" w:header="720" w:footer="720" w:gutter="0"/>
          <w:cols w:space="720"/>
        </w:sectPr>
      </w:pPr>
    </w:p>
    <w:p w:rsidR="008D3AA9" w:rsidRPr="000904BD" w:rsidRDefault="000904BD">
      <w:pPr>
        <w:pStyle w:val="a3"/>
        <w:spacing w:before="66"/>
        <w:ind w:left="479" w:right="846"/>
      </w:pPr>
      <w:r w:rsidRPr="000904BD">
        <w:lastRenderedPageBreak/>
        <w:t>эмболию уве</w:t>
      </w:r>
      <w:r w:rsidRPr="000904BD">
        <w:t xml:space="preserve">личивается во время пребывания в стационаре, у людей старше 65 лет, и у беременных женщин. Предложенный возрастной диагностический порог для пациентов с рисками развития легочной эмболии, обосновывает пользу измерения Д-димера у больных пожилого возраста, </w:t>
      </w:r>
      <w:r w:rsidRPr="000904BD">
        <w:t>но клиническое внедрение ожидает проспективных внешних проверок.</w:t>
      </w:r>
    </w:p>
    <w:p w:rsidR="008D3AA9" w:rsidRPr="000904BD" w:rsidRDefault="008D3AA9">
      <w:pPr>
        <w:pStyle w:val="a3"/>
        <w:spacing w:before="5"/>
        <w:rPr>
          <w:sz w:val="33"/>
        </w:rPr>
      </w:pPr>
    </w:p>
    <w:p w:rsidR="008D3AA9" w:rsidRPr="000904BD" w:rsidRDefault="000904BD">
      <w:pPr>
        <w:pStyle w:val="2"/>
        <w:spacing w:before="1" w:line="237" w:lineRule="auto"/>
        <w:ind w:right="1289"/>
        <w:rPr>
          <w:b w:val="0"/>
        </w:rPr>
      </w:pPr>
      <w:bookmarkStart w:id="8" w:name="Ультразвуковое_исследование_с_компрессие"/>
      <w:bookmarkEnd w:id="8"/>
      <w:r w:rsidRPr="000904BD">
        <w:rPr>
          <w:b w:val="0"/>
        </w:rPr>
        <w:t xml:space="preserve">Ультразвуковое исследование с компрессией датчиком для диагностики тромбоза </w:t>
      </w:r>
      <w:r w:rsidRPr="000904BD">
        <w:rPr>
          <w:b w:val="0"/>
        </w:rPr>
        <w:t>глубоких вен.</w:t>
      </w:r>
    </w:p>
    <w:p w:rsidR="008D3AA9" w:rsidRPr="000904BD" w:rsidRDefault="000904BD">
      <w:pPr>
        <w:pStyle w:val="a3"/>
        <w:spacing w:before="224"/>
        <w:ind w:left="479" w:right="945"/>
      </w:pPr>
      <w:r w:rsidRPr="000904BD">
        <w:t>Ультразвуковое дуплексное ангиосканирование с компрессионным воздействием датчика широко заменило флебографию как основной метод визуализации для диагностики тромбоза глубоких вен (изображение 2). В настоящее время в клинической практике используются три в</w:t>
      </w:r>
      <w:r w:rsidRPr="000904BD">
        <w:t>арианта. Некоторые группы специалистов смотрят только проксимальные (выше икроножных) вены, и у пацинетов с отрицательным первым осмотром повторяют исследование через неделю, чтобы обнаружить клинически значимые дистальные тромбы, которые могли бы прогресс</w:t>
      </w:r>
      <w:r w:rsidRPr="000904BD">
        <w:t>ировать проксимально. Этот способ ресурсозатратный, громоздкий и имеет очень низкую результативность (около 1– 2% от результатов положительны во втором исследовании). Второй подход заключается в оценке проксимальных и дистальных вен методом УЗИ с полной ко</w:t>
      </w:r>
      <w:r w:rsidRPr="000904BD">
        <w:t>мпрессией, что связано с низкой частотой развития тромбоэмболии в течение 3 месяцев (38).</w:t>
      </w:r>
    </w:p>
    <w:p w:rsidR="008D3AA9" w:rsidRPr="000904BD" w:rsidRDefault="008D3AA9">
      <w:pPr>
        <w:sectPr w:rsidR="008D3AA9" w:rsidRPr="000904BD">
          <w:pgSz w:w="11910" w:h="16840"/>
          <w:pgMar w:top="1040" w:right="0" w:bottom="280" w:left="1220" w:header="720" w:footer="720" w:gutter="0"/>
          <w:cols w:space="720"/>
        </w:sectPr>
      </w:pPr>
    </w:p>
    <w:p w:rsidR="008D3AA9" w:rsidRPr="000904BD" w:rsidRDefault="008D3AA9">
      <w:pPr>
        <w:pStyle w:val="a3"/>
        <w:rPr>
          <w:sz w:val="20"/>
        </w:rPr>
      </w:pPr>
    </w:p>
    <w:p w:rsidR="008D3AA9" w:rsidRPr="000904BD" w:rsidRDefault="008D3AA9">
      <w:pPr>
        <w:pStyle w:val="a3"/>
        <w:rPr>
          <w:sz w:val="20"/>
        </w:rPr>
      </w:pPr>
    </w:p>
    <w:p w:rsidR="008D3AA9" w:rsidRPr="000904BD" w:rsidRDefault="008D3AA9">
      <w:pPr>
        <w:pStyle w:val="a3"/>
        <w:rPr>
          <w:sz w:val="20"/>
        </w:rPr>
      </w:pPr>
    </w:p>
    <w:p w:rsidR="008D3AA9" w:rsidRPr="000904BD" w:rsidRDefault="008D3AA9">
      <w:pPr>
        <w:pStyle w:val="a3"/>
        <w:rPr>
          <w:sz w:val="20"/>
        </w:rPr>
      </w:pPr>
    </w:p>
    <w:p w:rsidR="008D3AA9" w:rsidRPr="000904BD" w:rsidRDefault="008D3AA9">
      <w:pPr>
        <w:pStyle w:val="a3"/>
        <w:rPr>
          <w:sz w:val="20"/>
        </w:rPr>
      </w:pPr>
    </w:p>
    <w:p w:rsidR="008D3AA9" w:rsidRPr="000904BD" w:rsidRDefault="008D3AA9">
      <w:pPr>
        <w:pStyle w:val="a3"/>
        <w:rPr>
          <w:sz w:val="20"/>
        </w:rPr>
      </w:pPr>
    </w:p>
    <w:p w:rsidR="008D3AA9" w:rsidRPr="000904BD" w:rsidRDefault="008D3AA9">
      <w:pPr>
        <w:pStyle w:val="a3"/>
        <w:rPr>
          <w:sz w:val="20"/>
        </w:rPr>
      </w:pPr>
    </w:p>
    <w:p w:rsidR="008D3AA9" w:rsidRPr="000904BD" w:rsidRDefault="008D3AA9">
      <w:pPr>
        <w:pStyle w:val="a3"/>
        <w:rPr>
          <w:sz w:val="20"/>
        </w:rPr>
      </w:pPr>
    </w:p>
    <w:p w:rsidR="008D3AA9" w:rsidRPr="000904BD" w:rsidRDefault="008D3AA9">
      <w:pPr>
        <w:pStyle w:val="a3"/>
        <w:rPr>
          <w:sz w:val="20"/>
        </w:rPr>
      </w:pPr>
    </w:p>
    <w:p w:rsidR="008D3AA9" w:rsidRPr="000904BD" w:rsidRDefault="008D3AA9">
      <w:pPr>
        <w:pStyle w:val="a3"/>
        <w:rPr>
          <w:sz w:val="20"/>
        </w:rPr>
      </w:pPr>
    </w:p>
    <w:p w:rsidR="008D3AA9" w:rsidRPr="000904BD" w:rsidRDefault="008D3AA9">
      <w:pPr>
        <w:pStyle w:val="a3"/>
        <w:rPr>
          <w:sz w:val="20"/>
        </w:rPr>
      </w:pPr>
    </w:p>
    <w:p w:rsidR="008D3AA9" w:rsidRPr="000904BD" w:rsidRDefault="008D3AA9">
      <w:pPr>
        <w:pStyle w:val="a3"/>
        <w:rPr>
          <w:sz w:val="20"/>
        </w:rPr>
      </w:pPr>
    </w:p>
    <w:p w:rsidR="008D3AA9" w:rsidRPr="000904BD" w:rsidRDefault="008D3AA9">
      <w:pPr>
        <w:pStyle w:val="a3"/>
        <w:rPr>
          <w:sz w:val="20"/>
        </w:rPr>
      </w:pPr>
    </w:p>
    <w:p w:rsidR="008D3AA9" w:rsidRPr="000904BD" w:rsidRDefault="008D3AA9">
      <w:pPr>
        <w:pStyle w:val="a3"/>
        <w:rPr>
          <w:sz w:val="20"/>
        </w:rPr>
      </w:pPr>
    </w:p>
    <w:p w:rsidR="008D3AA9" w:rsidRPr="000904BD" w:rsidRDefault="008D3AA9">
      <w:pPr>
        <w:pStyle w:val="a3"/>
        <w:rPr>
          <w:sz w:val="20"/>
        </w:rPr>
      </w:pPr>
    </w:p>
    <w:p w:rsidR="008D3AA9" w:rsidRPr="000904BD" w:rsidRDefault="008D3AA9">
      <w:pPr>
        <w:pStyle w:val="a3"/>
        <w:rPr>
          <w:sz w:val="20"/>
        </w:rPr>
      </w:pPr>
    </w:p>
    <w:p w:rsidR="008D3AA9" w:rsidRPr="000904BD" w:rsidRDefault="008D3AA9">
      <w:pPr>
        <w:pStyle w:val="a3"/>
        <w:rPr>
          <w:sz w:val="20"/>
        </w:rPr>
      </w:pPr>
    </w:p>
    <w:p w:rsidR="008D3AA9" w:rsidRPr="000904BD" w:rsidRDefault="008D3AA9">
      <w:pPr>
        <w:pStyle w:val="a3"/>
        <w:rPr>
          <w:sz w:val="20"/>
        </w:rPr>
      </w:pPr>
    </w:p>
    <w:p w:rsidR="008D3AA9" w:rsidRPr="000904BD" w:rsidRDefault="008D3AA9">
      <w:pPr>
        <w:pStyle w:val="a3"/>
        <w:rPr>
          <w:sz w:val="20"/>
        </w:rPr>
      </w:pPr>
    </w:p>
    <w:p w:rsidR="008D3AA9" w:rsidRPr="000904BD" w:rsidRDefault="008D3AA9">
      <w:pPr>
        <w:pStyle w:val="a3"/>
        <w:rPr>
          <w:sz w:val="20"/>
        </w:rPr>
      </w:pPr>
    </w:p>
    <w:p w:rsidR="008D3AA9" w:rsidRPr="000904BD" w:rsidRDefault="008D3AA9">
      <w:pPr>
        <w:pStyle w:val="a3"/>
        <w:rPr>
          <w:sz w:val="20"/>
        </w:rPr>
      </w:pPr>
    </w:p>
    <w:p w:rsidR="008D3AA9" w:rsidRPr="000904BD" w:rsidRDefault="008D3AA9">
      <w:pPr>
        <w:pStyle w:val="a3"/>
        <w:rPr>
          <w:sz w:val="20"/>
        </w:rPr>
      </w:pPr>
    </w:p>
    <w:p w:rsidR="008D3AA9" w:rsidRPr="000904BD" w:rsidRDefault="008D3AA9">
      <w:pPr>
        <w:pStyle w:val="a3"/>
        <w:rPr>
          <w:sz w:val="20"/>
        </w:rPr>
      </w:pPr>
    </w:p>
    <w:p w:rsidR="008D3AA9" w:rsidRPr="000904BD" w:rsidRDefault="008D3AA9">
      <w:pPr>
        <w:pStyle w:val="a3"/>
        <w:rPr>
          <w:sz w:val="20"/>
        </w:rPr>
      </w:pPr>
    </w:p>
    <w:p w:rsidR="008D3AA9" w:rsidRPr="000904BD" w:rsidRDefault="008D3AA9">
      <w:pPr>
        <w:pStyle w:val="a3"/>
        <w:rPr>
          <w:sz w:val="20"/>
        </w:rPr>
      </w:pPr>
    </w:p>
    <w:p w:rsidR="008D3AA9" w:rsidRPr="000904BD" w:rsidRDefault="008D3AA9">
      <w:pPr>
        <w:pStyle w:val="a3"/>
        <w:rPr>
          <w:sz w:val="20"/>
        </w:rPr>
      </w:pPr>
    </w:p>
    <w:p w:rsidR="008D3AA9" w:rsidRPr="000904BD" w:rsidRDefault="008D3AA9">
      <w:pPr>
        <w:pStyle w:val="a3"/>
        <w:rPr>
          <w:sz w:val="20"/>
        </w:rPr>
      </w:pPr>
    </w:p>
    <w:p w:rsidR="008D3AA9" w:rsidRPr="000904BD" w:rsidRDefault="008D3AA9">
      <w:pPr>
        <w:pStyle w:val="a3"/>
        <w:rPr>
          <w:sz w:val="20"/>
        </w:rPr>
      </w:pPr>
    </w:p>
    <w:p w:rsidR="008D3AA9" w:rsidRPr="000904BD" w:rsidRDefault="008D3AA9">
      <w:pPr>
        <w:pStyle w:val="a3"/>
        <w:rPr>
          <w:sz w:val="20"/>
        </w:rPr>
      </w:pPr>
    </w:p>
    <w:p w:rsidR="008D3AA9" w:rsidRPr="000904BD" w:rsidRDefault="008D3AA9">
      <w:pPr>
        <w:pStyle w:val="a3"/>
        <w:rPr>
          <w:sz w:val="20"/>
        </w:rPr>
      </w:pPr>
    </w:p>
    <w:p w:rsidR="008D3AA9" w:rsidRPr="000904BD" w:rsidRDefault="008D3AA9">
      <w:pPr>
        <w:pStyle w:val="a3"/>
        <w:rPr>
          <w:sz w:val="20"/>
        </w:rPr>
      </w:pPr>
      <w:bookmarkStart w:id="9" w:name="_GoBack"/>
      <w:bookmarkEnd w:id="9"/>
    </w:p>
    <w:p w:rsidR="008D3AA9" w:rsidRPr="000904BD" w:rsidRDefault="008D3AA9">
      <w:pPr>
        <w:pStyle w:val="a3"/>
        <w:rPr>
          <w:sz w:val="20"/>
        </w:rPr>
      </w:pPr>
    </w:p>
    <w:p w:rsidR="008D3AA9" w:rsidRPr="000904BD" w:rsidRDefault="008D3AA9">
      <w:pPr>
        <w:pStyle w:val="a3"/>
        <w:rPr>
          <w:sz w:val="20"/>
        </w:rPr>
      </w:pPr>
    </w:p>
    <w:p w:rsidR="008D3AA9" w:rsidRPr="000904BD" w:rsidRDefault="008D3AA9">
      <w:pPr>
        <w:pStyle w:val="a3"/>
        <w:rPr>
          <w:sz w:val="20"/>
        </w:rPr>
      </w:pPr>
    </w:p>
    <w:p w:rsidR="008D3AA9" w:rsidRPr="000904BD" w:rsidRDefault="008D3AA9">
      <w:pPr>
        <w:pStyle w:val="a3"/>
        <w:rPr>
          <w:sz w:val="20"/>
        </w:rPr>
      </w:pPr>
    </w:p>
    <w:p w:rsidR="008D3AA9" w:rsidRPr="000904BD" w:rsidRDefault="008D3AA9">
      <w:pPr>
        <w:pStyle w:val="a3"/>
        <w:rPr>
          <w:sz w:val="20"/>
        </w:rPr>
      </w:pPr>
    </w:p>
    <w:p w:rsidR="008D3AA9" w:rsidRPr="000904BD" w:rsidRDefault="008D3AA9">
      <w:pPr>
        <w:pStyle w:val="a3"/>
        <w:rPr>
          <w:sz w:val="20"/>
        </w:rPr>
      </w:pPr>
    </w:p>
    <w:p w:rsidR="008D3AA9" w:rsidRPr="000904BD" w:rsidRDefault="008D3AA9">
      <w:pPr>
        <w:pStyle w:val="a3"/>
        <w:rPr>
          <w:sz w:val="20"/>
        </w:rPr>
      </w:pPr>
    </w:p>
    <w:p w:rsidR="008D3AA9" w:rsidRPr="000904BD" w:rsidRDefault="008D3AA9">
      <w:pPr>
        <w:pStyle w:val="a3"/>
        <w:rPr>
          <w:sz w:val="20"/>
        </w:rPr>
      </w:pPr>
    </w:p>
    <w:p w:rsidR="008D3AA9" w:rsidRPr="000904BD" w:rsidRDefault="008D3AA9">
      <w:pPr>
        <w:pStyle w:val="a3"/>
        <w:spacing w:before="4"/>
      </w:pPr>
    </w:p>
    <w:p w:rsidR="008D3AA9" w:rsidRPr="000904BD" w:rsidRDefault="000904BD">
      <w:pPr>
        <w:pStyle w:val="a3"/>
        <w:spacing w:before="90" w:line="275" w:lineRule="exact"/>
        <w:ind w:left="7596"/>
      </w:pPr>
      <w:r w:rsidRPr="000904BD">
        <w:rPr>
          <w:noProof/>
          <w:lang w:bidi="ar-SA"/>
        </w:rPr>
        <w:drawing>
          <wp:anchor distT="0" distB="0" distL="0" distR="0" simplePos="0" relativeHeight="251659264" behindDoc="0" locked="0" layoutInCell="1" allowOverlap="1" wp14:anchorId="7FDC4013" wp14:editId="3F931BCD">
            <wp:simplePos x="0" y="0"/>
            <wp:positionH relativeFrom="page">
              <wp:posOffset>1080135</wp:posOffset>
            </wp:positionH>
            <wp:positionV relativeFrom="paragraph">
              <wp:posOffset>-5876250</wp:posOffset>
            </wp:positionV>
            <wp:extent cx="4518660" cy="607314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18660" cy="6073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904BD">
        <w:t>Рисунок 2.</w:t>
      </w:r>
    </w:p>
    <w:p w:rsidR="008D3AA9" w:rsidRPr="000904BD" w:rsidRDefault="000904BD">
      <w:pPr>
        <w:pStyle w:val="a3"/>
        <w:ind w:left="479" w:right="859"/>
      </w:pPr>
      <w:r w:rsidRPr="000904BD">
        <w:t>Одновременная визуализация тромбоза глубоких вен на УЗИ с компрессией или легочная эмболия на КТ-ангиографии. УЗИ с компрессией (А): верхний ряд, слева направо; схематичное изображение вены и артерии без и с (стрелка) небольшим давлением датчиком на сосуды</w:t>
      </w:r>
      <w:r w:rsidRPr="000904BD">
        <w:t>; нижний ряд, представляющий собой ультразвуковые находки. Третье изображение слева показывает тромб в вене (вена не сжимается при давлении датчиком). КТ-ангиография (В): показано несколько эмболов (стрелки) в главной правой легочной артерии и в левой доле</w:t>
      </w:r>
      <w:r w:rsidRPr="000904BD">
        <w:t>вых и сегментные артериях. А= Артерия. V = Вена. Однако, этот подход приводит к антикоагуляции у многих пациентов с изолированным тромбозом глубоких вен дистальной части голени, и может повысить риск кровотечений у некоторых пациентов, перенесших эту проце</w:t>
      </w:r>
      <w:r w:rsidRPr="000904BD">
        <w:t>дуру. Третий подход состоит в использовании изолированного проксимального ультразвукового сканирования с компрессией. У пациентов с низким или средним риском развития тромбоза глубоких вен, болезнь может быть полностью исключена с помощью этой техники, при</w:t>
      </w:r>
      <w:r w:rsidRPr="000904BD">
        <w:t xml:space="preserve"> отрицательном результате. В свою очередь, пациенты с высоким риском развития тромбоза и отрицательными результатами исследования будут нуждаться в дополнительных исследованиях (УЗИ дистальных вен или флебография) или повторный ультразвуковой контроль (изо</w:t>
      </w:r>
      <w:r w:rsidRPr="000904BD">
        <w:t>бражение 1). Этот подход связан с предполагаемым 3х месячным риском развития тромбоэмболии,</w:t>
      </w:r>
    </w:p>
    <w:p w:rsidR="008D3AA9" w:rsidRPr="000904BD" w:rsidRDefault="008D3AA9">
      <w:pPr>
        <w:sectPr w:rsidR="008D3AA9" w:rsidRPr="000904BD">
          <w:pgSz w:w="11910" w:h="16840"/>
          <w:pgMar w:top="1120" w:right="0" w:bottom="280" w:left="1220" w:header="720" w:footer="720" w:gutter="0"/>
          <w:cols w:space="720"/>
        </w:sectPr>
      </w:pPr>
    </w:p>
    <w:p w:rsidR="008D3AA9" w:rsidRPr="000904BD" w:rsidRDefault="000904BD">
      <w:pPr>
        <w:pStyle w:val="a3"/>
        <w:spacing w:before="66"/>
        <w:ind w:left="479" w:right="1107"/>
      </w:pPr>
      <w:r w:rsidRPr="000904BD">
        <w:lastRenderedPageBreak/>
        <w:t>что очень схоже с предыдущим методом, при этом на 30–50% меньше пациентов, которым назначена антикоагулянтная терапия, по сравнению с методом полной к</w:t>
      </w:r>
      <w:r w:rsidRPr="000904BD">
        <w:t>омпрессии датчиком. В 2012 пересмотренные рекомендации американского колледжа пульмонологов (American College of Chest Physicians, АССР) не рекомендуют рутинное лечение бессимптомного изолированного тромбоза глубоких вен голени. Предыдущие рекомендации ука</w:t>
      </w:r>
      <w:r w:rsidRPr="000904BD">
        <w:t>зывали, что лечение дистального тромбоза должно быть аналогичным лечению проксимального тромбоза глубоких вен. При подозрении на ЭЛА, диагностика проксимального тромбоза глубоких вен у пациентов с симптомами, или у пациентов без симптомов, но с противопока</w:t>
      </w:r>
      <w:r w:rsidRPr="000904BD">
        <w:t>заниями к КТ-ангиографии, считается достаточной, чтобы определить легочную эмболию.</w:t>
      </w:r>
    </w:p>
    <w:p w:rsidR="008D3AA9" w:rsidRPr="000904BD" w:rsidRDefault="008D3AA9">
      <w:pPr>
        <w:pStyle w:val="a3"/>
        <w:spacing w:before="1"/>
        <w:rPr>
          <w:sz w:val="33"/>
        </w:rPr>
      </w:pPr>
    </w:p>
    <w:p w:rsidR="008D3AA9" w:rsidRPr="000904BD" w:rsidRDefault="000904BD">
      <w:pPr>
        <w:pStyle w:val="2"/>
        <w:rPr>
          <w:b w:val="0"/>
        </w:rPr>
      </w:pPr>
      <w:bookmarkStart w:id="10" w:name="Мультидетекторная_КТ-ангиография_для_диа"/>
      <w:bookmarkEnd w:id="10"/>
      <w:r w:rsidRPr="000904BD">
        <w:rPr>
          <w:b w:val="0"/>
        </w:rPr>
        <w:t>Мультидетекторная КТ-ангиография для диагностики ТЭЛА</w:t>
      </w:r>
    </w:p>
    <w:p w:rsidR="008D3AA9" w:rsidRPr="000904BD" w:rsidRDefault="000904BD">
      <w:pPr>
        <w:pStyle w:val="a3"/>
        <w:spacing w:before="224"/>
        <w:ind w:left="479" w:right="897"/>
      </w:pPr>
      <w:r w:rsidRPr="000904BD">
        <w:t>КТ-ангиография широко заменила вентиляционно-перфузионную сцинтиграфию легких как основной метод визуализации при под</w:t>
      </w:r>
      <w:r w:rsidRPr="000904BD">
        <w:t>озрении на ТЭЛА. У однодетекторной КТ- ангиографии чувствительность только около 70%, что требует комбинации с компрессионной эластографией проксимальных вен нижних конечностей в случае отрицательного результата исследования (43,44). Мультидетекторная КТ-а</w:t>
      </w:r>
      <w:r w:rsidRPr="000904BD">
        <w:t>нгиография более чувствительна, чем однодетекторная. Это технологическое улучшение полволяет исключать ТЭЛА без дополнительных исследований. В общем, мета-анализ сравнения 23 исследований, включавших 4657 пациентов с отрицательным результатом КТ- ангиограф</w:t>
      </w:r>
      <w:r w:rsidRPr="000904BD">
        <w:t>ии (в основном однодетекторной), которые не получали антикоагулянтов, продемонстрировал, что уровень последующей тромбоэмболии составил 1,4% за три месяца ( 95%, ДИ 1.1–1.8), и число случаев легочной эмболии, закончившихся фатально, составило 0,51% (0.33–0</w:t>
      </w:r>
      <w:r w:rsidRPr="000904BD">
        <w:t>.76), также за 3 месяца, что выгодно сопоставимо с результатами, отмеченными после выполнения нормальной инвазивной контрастной легочной ангиографии. Примечательно, что расширение использования КТ-ангиографии может привести к увеличению заболеваемости рако</w:t>
      </w:r>
      <w:r w:rsidRPr="000904BD">
        <w:t>м из-за облучения. Опасность облучения означает, что протоколы КТ-ангиографии должны быть пересмотрены. По этой причине, комбинированное использование КТ-ангиографии легких и КТ-флебографии следует поставить под сомнение. В проспективных работах PIOPED (Pr</w:t>
      </w:r>
      <w:r w:rsidRPr="000904BD">
        <w:t xml:space="preserve">ospective Investigation of Pulmonary Embolism Diagnosis), II исследование, было показано, что даже без проведения визуализации тазовых вен, ни один пациент с ТЭЛА или тромбозом глубоких вен не остается недиагностированным. Радиационный риск крайне важен в </w:t>
      </w:r>
      <w:r w:rsidRPr="000904BD">
        <w:t>случаях с беременными женщинами, для которых соответствующие преимущества КТ-ангиографии против вентиляционно-перфузионной или просто перфузионной сцинтиграфии легких все еще обсуждаются.</w:t>
      </w:r>
    </w:p>
    <w:p w:rsidR="008D3AA9" w:rsidRPr="000904BD" w:rsidRDefault="008D3AA9">
      <w:pPr>
        <w:pStyle w:val="a3"/>
        <w:spacing w:before="4"/>
        <w:rPr>
          <w:sz w:val="33"/>
        </w:rPr>
      </w:pPr>
    </w:p>
    <w:p w:rsidR="008D3AA9" w:rsidRPr="000904BD" w:rsidRDefault="000904BD">
      <w:pPr>
        <w:pStyle w:val="2"/>
        <w:spacing w:line="237" w:lineRule="auto"/>
        <w:ind w:right="1131"/>
        <w:rPr>
          <w:b w:val="0"/>
        </w:rPr>
      </w:pPr>
      <w:bookmarkStart w:id="11" w:name="Другие_диагностические_методы_визуализац"/>
      <w:bookmarkEnd w:id="11"/>
      <w:r w:rsidRPr="000904BD">
        <w:rPr>
          <w:b w:val="0"/>
        </w:rPr>
        <w:t xml:space="preserve">Другие диагностические методы визуализации при подозрении на глубокий тромбоз </w:t>
      </w:r>
      <w:r w:rsidRPr="000904BD">
        <w:rPr>
          <w:b w:val="0"/>
        </w:rPr>
        <w:t>вен и тромбоэмболию легочной артерии</w:t>
      </w:r>
    </w:p>
    <w:p w:rsidR="008D3AA9" w:rsidRPr="000904BD" w:rsidRDefault="000904BD">
      <w:pPr>
        <w:pStyle w:val="a3"/>
        <w:spacing w:before="225"/>
        <w:ind w:left="479" w:right="865"/>
      </w:pPr>
      <w:r w:rsidRPr="000904BD">
        <w:t>Для диагностики легочной эмболии может применяться магнитно-резонансная легочная ангиография (МРА) с усилением гадолиниумом. В этом методе не</w:t>
      </w:r>
      <w:r w:rsidRPr="000904BD">
        <w:t xml:space="preserve"> применяется рентгеновское излучение. Точность этого метода исследования в сочетании с магнитно- резонансной венографией (МРВ) была изучена в проспективном многоцентровом изучении точности PIOPED, III исследование (52). Доля технически некорректно выполнен</w:t>
      </w:r>
      <w:r w:rsidRPr="000904BD">
        <w:t xml:space="preserve">ных изображений варьировалась от 11% до 52% среди семи участвующих центров. Правильно выполненная МРА имеет чувствительность 78% и специфичность 99%, в </w:t>
      </w:r>
      <w:r w:rsidRPr="000904BD">
        <w:rPr>
          <w:spacing w:val="-3"/>
        </w:rPr>
        <w:t xml:space="preserve">то </w:t>
      </w:r>
      <w:r w:rsidRPr="000904BD">
        <w:t>время как сочетание МРА и МРВ имеют чувствительность 92% и специфичность 96%. Однако, 194 (52%) из 37</w:t>
      </w:r>
      <w:r w:rsidRPr="000904BD">
        <w:t>0 пациентов имели технически неверно полученные результаты, что существенно ограничивает клиническое применение этого метода. Общепринятые легочная ангиография и венография остаются золотым</w:t>
      </w:r>
      <w:r w:rsidRPr="000904BD">
        <w:rPr>
          <w:spacing w:val="-27"/>
        </w:rPr>
        <w:t xml:space="preserve"> </w:t>
      </w:r>
      <w:r w:rsidRPr="000904BD">
        <w:t>стандартом</w:t>
      </w:r>
    </w:p>
    <w:p w:rsidR="008D3AA9" w:rsidRPr="000904BD" w:rsidRDefault="008D3AA9">
      <w:pPr>
        <w:sectPr w:rsidR="008D3AA9" w:rsidRPr="000904BD">
          <w:pgSz w:w="11910" w:h="16840"/>
          <w:pgMar w:top="1040" w:right="0" w:bottom="280" w:left="1220" w:header="720" w:footer="720" w:gutter="0"/>
          <w:cols w:space="720"/>
        </w:sectPr>
      </w:pPr>
    </w:p>
    <w:p w:rsidR="008D3AA9" w:rsidRPr="000904BD" w:rsidRDefault="000904BD">
      <w:pPr>
        <w:pStyle w:val="a3"/>
        <w:spacing w:before="66"/>
        <w:ind w:left="479" w:right="940"/>
      </w:pPr>
      <w:r w:rsidRPr="000904BD">
        <w:lastRenderedPageBreak/>
        <w:t>диагностики ТЭЛА и тромбозов глубоких вен</w:t>
      </w:r>
      <w:r w:rsidRPr="000904BD">
        <w:t xml:space="preserve"> соответственно. Поскольку эти методы инвазивны, они должны применяться преимущественно для тех пациентов, у которых клинически вероятный диагноз не может быть подтвержден с помощью других средств, а также тем, для кого рассматривается эндоваскулярное лече</w:t>
      </w:r>
      <w:r w:rsidRPr="000904BD">
        <w:t>ние ТЭЛА. Таблица 2 обобщает практические свойства некоторых исследований или алгоритмов для определения или исключения ТЭЛА на основании систематического обзора (53). Таблица</w:t>
      </w:r>
    </w:p>
    <w:p w:rsidR="008D3AA9" w:rsidRPr="000904BD" w:rsidRDefault="000904BD">
      <w:pPr>
        <w:pStyle w:val="a3"/>
        <w:spacing w:before="1" w:after="53" w:line="242" w:lineRule="auto"/>
        <w:ind w:left="479" w:right="947"/>
      </w:pPr>
      <w:r w:rsidRPr="000904BD">
        <w:t>2. Выполнение некоторых тестов или диагностических алгоритмов, чтобы исключить и</w:t>
      </w:r>
      <w:r w:rsidRPr="000904BD">
        <w:t>ли подтвердить ТЭЛА (46).</w:t>
      </w:r>
    </w:p>
    <w:tbl>
      <w:tblPr>
        <w:tblStyle w:val="TableNormal"/>
        <w:tblW w:w="0" w:type="auto"/>
        <w:tblInd w:w="335" w:type="dxa"/>
        <w:tblLayout w:type="fixed"/>
        <w:tblLook w:val="01E0" w:firstRow="1" w:lastRow="1" w:firstColumn="1" w:lastColumn="1" w:noHBand="0" w:noVBand="0"/>
      </w:tblPr>
      <w:tblGrid>
        <w:gridCol w:w="7570"/>
        <w:gridCol w:w="2060"/>
      </w:tblGrid>
      <w:tr w:rsidR="008D3AA9" w:rsidRPr="000904BD">
        <w:trPr>
          <w:trHeight w:val="853"/>
        </w:trPr>
        <w:tc>
          <w:tcPr>
            <w:tcW w:w="7570" w:type="dxa"/>
          </w:tcPr>
          <w:p w:rsidR="008D3AA9" w:rsidRPr="000904BD" w:rsidRDefault="008D3AA9">
            <w:pPr>
              <w:pStyle w:val="TableParagraph"/>
              <w:spacing w:before="10"/>
              <w:ind w:left="0"/>
            </w:pPr>
          </w:p>
          <w:p w:rsidR="008D3AA9" w:rsidRPr="000904BD" w:rsidRDefault="000904BD">
            <w:pPr>
              <w:pStyle w:val="TableParagraph"/>
              <w:spacing w:before="0"/>
              <w:ind w:left="1823"/>
              <w:rPr>
                <w:sz w:val="24"/>
              </w:rPr>
            </w:pPr>
            <w:r w:rsidRPr="000904BD">
              <w:rPr>
                <w:sz w:val="24"/>
              </w:rPr>
              <w:t>Определение ТЭЛА</w:t>
            </w:r>
          </w:p>
        </w:tc>
        <w:tc>
          <w:tcPr>
            <w:tcW w:w="2060" w:type="dxa"/>
          </w:tcPr>
          <w:p w:rsidR="008D3AA9" w:rsidRPr="000904BD" w:rsidRDefault="000904BD">
            <w:pPr>
              <w:pStyle w:val="TableParagraph"/>
              <w:spacing w:before="0"/>
              <w:ind w:left="87" w:right="681"/>
              <w:jc w:val="both"/>
              <w:rPr>
                <w:sz w:val="24"/>
              </w:rPr>
            </w:pPr>
            <w:r w:rsidRPr="000904BD">
              <w:rPr>
                <w:sz w:val="24"/>
              </w:rPr>
              <w:t>Коэффицент вероятности (95% ДИ)</w:t>
            </w:r>
          </w:p>
        </w:tc>
      </w:tr>
      <w:tr w:rsidR="008D3AA9" w:rsidRPr="000904BD">
        <w:trPr>
          <w:trHeight w:val="609"/>
        </w:trPr>
        <w:tc>
          <w:tcPr>
            <w:tcW w:w="7570" w:type="dxa"/>
          </w:tcPr>
          <w:p w:rsidR="008D3AA9" w:rsidRPr="000904BD" w:rsidRDefault="000904BD">
            <w:pPr>
              <w:pStyle w:val="TableParagraph"/>
              <w:spacing w:before="27" w:line="237" w:lineRule="auto"/>
              <w:ind w:right="1471"/>
              <w:rPr>
                <w:sz w:val="24"/>
              </w:rPr>
            </w:pPr>
            <w:r w:rsidRPr="000904BD">
              <w:rPr>
                <w:sz w:val="24"/>
              </w:rPr>
              <w:t>“Высокая вероятность” на вентиляционно-перфузионной сцинтиграфии легких</w:t>
            </w:r>
          </w:p>
        </w:tc>
        <w:tc>
          <w:tcPr>
            <w:tcW w:w="2060" w:type="dxa"/>
          </w:tcPr>
          <w:p w:rsidR="008D3AA9" w:rsidRPr="000904BD" w:rsidRDefault="000904BD">
            <w:pPr>
              <w:pStyle w:val="TableParagraph"/>
              <w:spacing w:before="159"/>
              <w:ind w:left="87"/>
              <w:rPr>
                <w:sz w:val="24"/>
              </w:rPr>
            </w:pPr>
            <w:r w:rsidRPr="000904BD">
              <w:rPr>
                <w:sz w:val="24"/>
              </w:rPr>
              <w:t>18.3 (10.3-32.5)</w:t>
            </w:r>
          </w:p>
        </w:tc>
      </w:tr>
      <w:tr w:rsidR="008D3AA9" w:rsidRPr="000904BD">
        <w:trPr>
          <w:trHeight w:val="336"/>
        </w:trPr>
        <w:tc>
          <w:tcPr>
            <w:tcW w:w="7570" w:type="dxa"/>
          </w:tcPr>
          <w:p w:rsidR="008D3AA9" w:rsidRPr="000904BD" w:rsidRDefault="000904BD">
            <w:pPr>
              <w:pStyle w:val="TableParagraph"/>
              <w:rPr>
                <w:sz w:val="24"/>
              </w:rPr>
            </w:pPr>
            <w:r w:rsidRPr="000904BD">
              <w:rPr>
                <w:sz w:val="24"/>
              </w:rPr>
              <w:t>Положительный результат на КТ-ангиографии</w:t>
            </w:r>
          </w:p>
        </w:tc>
        <w:tc>
          <w:tcPr>
            <w:tcW w:w="2060" w:type="dxa"/>
          </w:tcPr>
          <w:p w:rsidR="008D3AA9" w:rsidRPr="000904BD" w:rsidRDefault="000904BD">
            <w:pPr>
              <w:pStyle w:val="TableParagraph"/>
              <w:ind w:left="87"/>
              <w:rPr>
                <w:sz w:val="24"/>
              </w:rPr>
            </w:pPr>
            <w:r w:rsidRPr="000904BD">
              <w:rPr>
                <w:sz w:val="24"/>
              </w:rPr>
              <w:t>24.1 (12.4-46.7)</w:t>
            </w:r>
          </w:p>
        </w:tc>
      </w:tr>
      <w:tr w:rsidR="008D3AA9" w:rsidRPr="000904BD">
        <w:trPr>
          <w:trHeight w:val="614"/>
        </w:trPr>
        <w:tc>
          <w:tcPr>
            <w:tcW w:w="7570" w:type="dxa"/>
          </w:tcPr>
          <w:p w:rsidR="008D3AA9" w:rsidRPr="000904BD" w:rsidRDefault="000904BD">
            <w:pPr>
              <w:pStyle w:val="TableParagraph"/>
              <w:spacing w:line="242" w:lineRule="auto"/>
              <w:ind w:right="92"/>
              <w:rPr>
                <w:sz w:val="24"/>
              </w:rPr>
            </w:pPr>
            <w:r w:rsidRPr="000904BD">
              <w:rPr>
                <w:sz w:val="24"/>
              </w:rPr>
              <w:t>Положительный результат УЗИ с компрессией на проксимальной вене нижней конечности</w:t>
            </w:r>
          </w:p>
        </w:tc>
        <w:tc>
          <w:tcPr>
            <w:tcW w:w="2060" w:type="dxa"/>
          </w:tcPr>
          <w:p w:rsidR="008D3AA9" w:rsidRPr="000904BD" w:rsidRDefault="000904BD">
            <w:pPr>
              <w:pStyle w:val="TableParagraph"/>
              <w:spacing w:before="164"/>
              <w:ind w:left="87"/>
              <w:rPr>
                <w:sz w:val="24"/>
              </w:rPr>
            </w:pPr>
            <w:r w:rsidRPr="000904BD">
              <w:rPr>
                <w:sz w:val="24"/>
              </w:rPr>
              <w:t>16.2 ( 5.6-46.7</w:t>
            </w:r>
          </w:p>
        </w:tc>
      </w:tr>
      <w:tr w:rsidR="008D3AA9" w:rsidRPr="000904BD">
        <w:trPr>
          <w:trHeight w:val="336"/>
        </w:trPr>
        <w:tc>
          <w:tcPr>
            <w:tcW w:w="7570" w:type="dxa"/>
          </w:tcPr>
          <w:p w:rsidR="008D3AA9" w:rsidRPr="000904BD" w:rsidRDefault="000904BD">
            <w:pPr>
              <w:pStyle w:val="TableParagraph"/>
              <w:rPr>
                <w:sz w:val="24"/>
              </w:rPr>
            </w:pPr>
            <w:r w:rsidRPr="000904BD">
              <w:rPr>
                <w:sz w:val="24"/>
              </w:rPr>
              <w:t>Исключение ТЭЛА</w:t>
            </w:r>
          </w:p>
        </w:tc>
        <w:tc>
          <w:tcPr>
            <w:tcW w:w="2060" w:type="dxa"/>
          </w:tcPr>
          <w:p w:rsidR="008D3AA9" w:rsidRPr="000904BD" w:rsidRDefault="008D3AA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8D3AA9" w:rsidRPr="000904BD">
        <w:trPr>
          <w:trHeight w:val="609"/>
        </w:trPr>
        <w:tc>
          <w:tcPr>
            <w:tcW w:w="7570" w:type="dxa"/>
          </w:tcPr>
          <w:p w:rsidR="008D3AA9" w:rsidRPr="000904BD" w:rsidRDefault="000904BD">
            <w:pPr>
              <w:pStyle w:val="TableParagraph"/>
              <w:spacing w:before="27" w:line="237" w:lineRule="auto"/>
              <w:ind w:right="550"/>
              <w:rPr>
                <w:sz w:val="24"/>
              </w:rPr>
            </w:pPr>
            <w:r w:rsidRPr="000904BD">
              <w:rPr>
                <w:sz w:val="24"/>
              </w:rPr>
              <w:t>Нормальный или почти нормальный результат на вентиляционно- перфузионной сцинтиграфии легких</w:t>
            </w:r>
          </w:p>
        </w:tc>
        <w:tc>
          <w:tcPr>
            <w:tcW w:w="2060" w:type="dxa"/>
          </w:tcPr>
          <w:p w:rsidR="008D3AA9" w:rsidRPr="000904BD" w:rsidRDefault="000904BD">
            <w:pPr>
              <w:pStyle w:val="TableParagraph"/>
              <w:spacing w:before="159"/>
              <w:ind w:left="87"/>
              <w:rPr>
                <w:sz w:val="24"/>
              </w:rPr>
            </w:pPr>
            <w:r w:rsidRPr="000904BD">
              <w:rPr>
                <w:sz w:val="24"/>
              </w:rPr>
              <w:t>0.05 (0.03-0.10)</w:t>
            </w:r>
          </w:p>
        </w:tc>
      </w:tr>
      <w:tr w:rsidR="008D3AA9" w:rsidRPr="000904BD">
        <w:trPr>
          <w:trHeight w:val="335"/>
        </w:trPr>
        <w:tc>
          <w:tcPr>
            <w:tcW w:w="7570" w:type="dxa"/>
          </w:tcPr>
          <w:p w:rsidR="008D3AA9" w:rsidRPr="000904BD" w:rsidRDefault="000904BD">
            <w:pPr>
              <w:pStyle w:val="TableParagraph"/>
              <w:rPr>
                <w:sz w:val="24"/>
              </w:rPr>
            </w:pPr>
            <w:r w:rsidRPr="000904BD">
              <w:rPr>
                <w:sz w:val="24"/>
              </w:rPr>
              <w:t>Отрицательный результат на КТ-ангиографии</w:t>
            </w:r>
          </w:p>
        </w:tc>
        <w:tc>
          <w:tcPr>
            <w:tcW w:w="2060" w:type="dxa"/>
          </w:tcPr>
          <w:p w:rsidR="008D3AA9" w:rsidRPr="000904BD" w:rsidRDefault="000904BD">
            <w:pPr>
              <w:pStyle w:val="TableParagraph"/>
              <w:ind w:left="87"/>
              <w:rPr>
                <w:sz w:val="24"/>
              </w:rPr>
            </w:pPr>
            <w:r w:rsidRPr="000904BD">
              <w:rPr>
                <w:sz w:val="24"/>
              </w:rPr>
              <w:t>0.11 (0.06-0.19)</w:t>
            </w:r>
          </w:p>
        </w:tc>
      </w:tr>
      <w:tr w:rsidR="008D3AA9" w:rsidRPr="000904BD">
        <w:trPr>
          <w:trHeight w:val="614"/>
        </w:trPr>
        <w:tc>
          <w:tcPr>
            <w:tcW w:w="7570" w:type="dxa"/>
          </w:tcPr>
          <w:p w:rsidR="008D3AA9" w:rsidRPr="000904BD" w:rsidRDefault="000904BD">
            <w:pPr>
              <w:pStyle w:val="TableParagraph"/>
              <w:spacing w:line="242" w:lineRule="auto"/>
              <w:ind w:right="68"/>
              <w:rPr>
                <w:sz w:val="24"/>
              </w:rPr>
            </w:pPr>
            <w:r w:rsidRPr="000904BD">
              <w:rPr>
                <w:sz w:val="24"/>
              </w:rPr>
              <w:t>Отрицательный результат на КТ-ангиографии и УЗИ с компрессией на проксимальной вене нижней конечности</w:t>
            </w:r>
          </w:p>
        </w:tc>
        <w:tc>
          <w:tcPr>
            <w:tcW w:w="2060" w:type="dxa"/>
          </w:tcPr>
          <w:p w:rsidR="008D3AA9" w:rsidRPr="000904BD" w:rsidRDefault="000904BD">
            <w:pPr>
              <w:pStyle w:val="TableParagraph"/>
              <w:spacing w:before="164"/>
              <w:ind w:left="87"/>
              <w:rPr>
                <w:sz w:val="24"/>
              </w:rPr>
            </w:pPr>
            <w:r w:rsidRPr="000904BD">
              <w:rPr>
                <w:sz w:val="24"/>
              </w:rPr>
              <w:t>0.04 (0.03-0.06)</w:t>
            </w:r>
          </w:p>
        </w:tc>
      </w:tr>
      <w:tr w:rsidR="008D3AA9" w:rsidRPr="000904BD">
        <w:trPr>
          <w:trHeight w:val="609"/>
        </w:trPr>
        <w:tc>
          <w:tcPr>
            <w:tcW w:w="7570" w:type="dxa"/>
          </w:tcPr>
          <w:p w:rsidR="008D3AA9" w:rsidRPr="000904BD" w:rsidRDefault="000904BD">
            <w:pPr>
              <w:pStyle w:val="TableParagraph"/>
              <w:spacing w:before="27" w:line="237" w:lineRule="auto"/>
              <w:ind w:right="158"/>
              <w:rPr>
                <w:sz w:val="24"/>
              </w:rPr>
            </w:pPr>
            <w:r w:rsidRPr="000904BD">
              <w:rPr>
                <w:sz w:val="24"/>
              </w:rPr>
              <w:t>Отрицательный результат УЗИ с компрессией на проксимальной вене нижней конечности</w:t>
            </w:r>
          </w:p>
        </w:tc>
        <w:tc>
          <w:tcPr>
            <w:tcW w:w="2060" w:type="dxa"/>
          </w:tcPr>
          <w:p w:rsidR="008D3AA9" w:rsidRPr="000904BD" w:rsidRDefault="000904BD">
            <w:pPr>
              <w:pStyle w:val="TableParagraph"/>
              <w:spacing w:before="159"/>
              <w:ind w:left="87"/>
              <w:rPr>
                <w:sz w:val="24"/>
              </w:rPr>
            </w:pPr>
            <w:r w:rsidRPr="000904BD">
              <w:rPr>
                <w:sz w:val="24"/>
              </w:rPr>
              <w:t>0.67 (0.50-0.89)</w:t>
            </w:r>
          </w:p>
        </w:tc>
      </w:tr>
      <w:tr w:rsidR="008D3AA9" w:rsidRPr="000904BD">
        <w:trPr>
          <w:trHeight w:val="335"/>
        </w:trPr>
        <w:tc>
          <w:tcPr>
            <w:tcW w:w="7570" w:type="dxa"/>
          </w:tcPr>
          <w:p w:rsidR="008D3AA9" w:rsidRPr="000904BD" w:rsidRDefault="000904BD">
            <w:pPr>
              <w:pStyle w:val="TableParagraph"/>
              <w:rPr>
                <w:sz w:val="24"/>
              </w:rPr>
            </w:pPr>
            <w:r w:rsidRPr="000904BD">
              <w:rPr>
                <w:sz w:val="24"/>
              </w:rPr>
              <w:t>Количественный ИФА D-димера в крови менее 500 мкг / л</w:t>
            </w:r>
          </w:p>
        </w:tc>
        <w:tc>
          <w:tcPr>
            <w:tcW w:w="2060" w:type="dxa"/>
          </w:tcPr>
          <w:p w:rsidR="008D3AA9" w:rsidRPr="000904BD" w:rsidRDefault="000904BD">
            <w:pPr>
              <w:pStyle w:val="TableParagraph"/>
              <w:ind w:left="87"/>
              <w:rPr>
                <w:sz w:val="24"/>
              </w:rPr>
            </w:pPr>
            <w:r w:rsidRPr="000904BD">
              <w:rPr>
                <w:sz w:val="24"/>
              </w:rPr>
              <w:t>0.08 (0.04-0.18)</w:t>
            </w:r>
          </w:p>
        </w:tc>
      </w:tr>
      <w:tr w:rsidR="008D3AA9" w:rsidRPr="000904BD">
        <w:trPr>
          <w:trHeight w:val="2230"/>
        </w:trPr>
        <w:tc>
          <w:tcPr>
            <w:tcW w:w="9630" w:type="dxa"/>
            <w:gridSpan w:val="2"/>
          </w:tcPr>
          <w:p w:rsidR="008D3AA9" w:rsidRPr="000904BD" w:rsidRDefault="000904BD">
            <w:pPr>
              <w:pStyle w:val="TableParagraph"/>
              <w:ind w:right="181"/>
              <w:rPr>
                <w:sz w:val="24"/>
              </w:rPr>
            </w:pPr>
            <w:r w:rsidRPr="000904BD">
              <w:rPr>
                <w:sz w:val="24"/>
              </w:rPr>
              <w:t>Коэффиценты вероятности определения ТЭЛА положительны, а исключения ТЭЛА - отрицательны. Коэффиценты вероятности - это вероятность того, что данный тест результат можно ожидать у пациента с целевым расстройством по сравнению с вероятностью того, что тот же</w:t>
            </w:r>
            <w:r w:rsidRPr="000904BD">
              <w:rPr>
                <w:sz w:val="24"/>
              </w:rPr>
              <w:t xml:space="preserve"> результат можно ожидать у пациента без целевого расстройства. Например, положительное отношение 20 означает, что с данным результатом теста у пациента шанс иметь ТЭЛА в 20 раз выше, чем не иметь. С другой стороны, с отрицательным отношением 0.10, с резуль</w:t>
            </w:r>
            <w:r w:rsidRPr="000904BD">
              <w:rPr>
                <w:sz w:val="24"/>
              </w:rPr>
              <w:t>татом данного теста у пациента в 10</w:t>
            </w:r>
          </w:p>
          <w:p w:rsidR="008D3AA9" w:rsidRPr="000904BD" w:rsidRDefault="000904BD">
            <w:pPr>
              <w:pStyle w:val="TableParagraph"/>
              <w:spacing w:before="0" w:line="254" w:lineRule="exact"/>
              <w:rPr>
                <w:sz w:val="24"/>
              </w:rPr>
            </w:pPr>
            <w:r w:rsidRPr="000904BD">
              <w:rPr>
                <w:sz w:val="24"/>
              </w:rPr>
              <w:t>раз меньше шанс иметь ТЭЛА, чем не иметь.</w:t>
            </w:r>
          </w:p>
        </w:tc>
      </w:tr>
    </w:tbl>
    <w:p w:rsidR="008D3AA9" w:rsidRPr="000904BD" w:rsidRDefault="008D3AA9">
      <w:pPr>
        <w:pStyle w:val="a3"/>
        <w:spacing w:before="1"/>
        <w:rPr>
          <w:sz w:val="37"/>
        </w:rPr>
      </w:pPr>
    </w:p>
    <w:p w:rsidR="008D3AA9" w:rsidRPr="000904BD" w:rsidRDefault="000904BD">
      <w:pPr>
        <w:pStyle w:val="1"/>
        <w:rPr>
          <w:b w:val="0"/>
        </w:rPr>
      </w:pPr>
      <w:bookmarkStart w:id="12" w:name="Лечение"/>
      <w:bookmarkEnd w:id="12"/>
      <w:r w:rsidRPr="000904BD">
        <w:rPr>
          <w:b w:val="0"/>
        </w:rPr>
        <w:t>Лечение</w:t>
      </w:r>
    </w:p>
    <w:p w:rsidR="008D3AA9" w:rsidRPr="000904BD" w:rsidRDefault="008D3AA9">
      <w:pPr>
        <w:pStyle w:val="a3"/>
        <w:spacing w:before="10"/>
        <w:rPr>
          <w:sz w:val="32"/>
        </w:rPr>
      </w:pPr>
    </w:p>
    <w:p w:rsidR="008D3AA9" w:rsidRPr="000904BD" w:rsidRDefault="000904BD">
      <w:pPr>
        <w:pStyle w:val="2"/>
        <w:spacing w:before="1"/>
        <w:rPr>
          <w:b w:val="0"/>
        </w:rPr>
      </w:pPr>
      <w:bookmarkStart w:id="13" w:name="Прогностическое_разделение_пациентов_с_Т"/>
      <w:bookmarkEnd w:id="13"/>
      <w:r w:rsidRPr="000904BD">
        <w:rPr>
          <w:b w:val="0"/>
        </w:rPr>
        <w:t>Прогностическое разделение пациентов с ТЭЛА</w:t>
      </w:r>
    </w:p>
    <w:p w:rsidR="008D3AA9" w:rsidRPr="000904BD" w:rsidRDefault="000904BD">
      <w:pPr>
        <w:pStyle w:val="a3"/>
        <w:spacing w:before="218"/>
        <w:ind w:left="479" w:right="938"/>
      </w:pPr>
      <w:r w:rsidRPr="000904BD">
        <w:t xml:space="preserve">Пациенты с ТЭЛА могут быть распределены по группам в соответствии с прогнозом (54). Индекс тяжести ТЭЛА (55) и его упрощенная версия (56) позволяют провести такое разделение на клинической основе (таблица 3). Существует несколько терапевтических вариантов </w:t>
      </w:r>
      <w:r w:rsidRPr="000904BD">
        <w:t>для пациентов с ТЭЛА: 1) пациенты с высоким риском (которые составляют около 5% всех пациентов с симптоматикой, с примерно 15% смертностью в краткосрочной перспективе) должны получать интенсивное лечение, включающее тромболитическую терапию, или хирургичес</w:t>
      </w:r>
      <w:r w:rsidRPr="000904BD">
        <w:t>кое лечение, или катетерную эмболэктомию (57); 2) для пациентов с низким риском (основная часть пациентов) со смертностью примерно 1% в краткосрочной перспективе, предпочительной является ранняя выписка или даже амбулаторное лечение (58); 3) пациенты со ср</w:t>
      </w:r>
      <w:r w:rsidRPr="000904BD">
        <w:t>едним риском (составляющие около 30% от всех пациентов с симптоматикой) должны быть помещены в больницу и</w:t>
      </w:r>
    </w:p>
    <w:p w:rsidR="008D3AA9" w:rsidRPr="000904BD" w:rsidRDefault="008D3AA9">
      <w:pPr>
        <w:sectPr w:rsidR="008D3AA9" w:rsidRPr="000904BD">
          <w:pgSz w:w="11910" w:h="16840"/>
          <w:pgMar w:top="1040" w:right="0" w:bottom="280" w:left="1220" w:header="720" w:footer="720" w:gutter="0"/>
          <w:cols w:space="720"/>
        </w:sectPr>
      </w:pPr>
    </w:p>
    <w:p w:rsidR="008D3AA9" w:rsidRPr="000904BD" w:rsidRDefault="000904BD">
      <w:pPr>
        <w:pStyle w:val="a3"/>
        <w:spacing w:before="66" w:after="57"/>
        <w:ind w:left="479" w:right="1177"/>
      </w:pPr>
      <w:r w:rsidRPr="000904BD">
        <w:lastRenderedPageBreak/>
        <w:t>получать тромболитическое лечение, в ожидании результатов текущих клинических исследований и анализов. Категории с низким и средним риск</w:t>
      </w:r>
      <w:r w:rsidRPr="000904BD">
        <w:t>ом относят к пациентам с немассивной легочной эмболией. Эхокардиография или измерение биологических маркеров, таких как тропонина или мозгового натрийуретического пептида, могут уточнить прогноз (59), но еще предстоит выяснить, является ли выгодным добавле</w:t>
      </w:r>
      <w:r w:rsidRPr="000904BD">
        <w:t>ние этих исследований в алгоритм определения рисков. Таблица 3. Прогностическое разделение ТЭЛА</w:t>
      </w:r>
    </w:p>
    <w:tbl>
      <w:tblPr>
        <w:tblStyle w:val="TableNormal"/>
        <w:tblW w:w="0" w:type="auto"/>
        <w:tblInd w:w="335" w:type="dxa"/>
        <w:tblLayout w:type="fixed"/>
        <w:tblLook w:val="01E0" w:firstRow="1" w:lastRow="1" w:firstColumn="1" w:lastColumn="1" w:noHBand="0" w:noVBand="0"/>
      </w:tblPr>
      <w:tblGrid>
        <w:gridCol w:w="6501"/>
        <w:gridCol w:w="3069"/>
      </w:tblGrid>
      <w:tr w:rsidR="008D3AA9" w:rsidRPr="000904BD">
        <w:trPr>
          <w:trHeight w:val="300"/>
        </w:trPr>
        <w:tc>
          <w:tcPr>
            <w:tcW w:w="6501" w:type="dxa"/>
          </w:tcPr>
          <w:p w:rsidR="008D3AA9" w:rsidRPr="000904BD" w:rsidRDefault="000904BD">
            <w:pPr>
              <w:pStyle w:val="TableParagraph"/>
              <w:spacing w:before="0" w:line="266" w:lineRule="exact"/>
              <w:rPr>
                <w:sz w:val="24"/>
              </w:rPr>
            </w:pPr>
            <w:r w:rsidRPr="000904BD">
              <w:rPr>
                <w:sz w:val="24"/>
              </w:rPr>
              <w:t>Индекс тяжести ТЭЛА*</w:t>
            </w:r>
          </w:p>
        </w:tc>
        <w:tc>
          <w:tcPr>
            <w:tcW w:w="3069" w:type="dxa"/>
          </w:tcPr>
          <w:p w:rsidR="008D3AA9" w:rsidRPr="000904BD" w:rsidRDefault="000904BD">
            <w:pPr>
              <w:pStyle w:val="TableParagraph"/>
              <w:spacing w:before="0" w:line="266" w:lineRule="exact"/>
              <w:ind w:left="1126" w:right="1254"/>
              <w:jc w:val="center"/>
              <w:rPr>
                <w:sz w:val="24"/>
              </w:rPr>
            </w:pPr>
            <w:r w:rsidRPr="000904BD">
              <w:rPr>
                <w:sz w:val="24"/>
              </w:rPr>
              <w:t>Баллы</w:t>
            </w:r>
          </w:p>
        </w:tc>
      </w:tr>
      <w:tr w:rsidR="008D3AA9" w:rsidRPr="000904BD">
        <w:trPr>
          <w:trHeight w:val="335"/>
        </w:trPr>
        <w:tc>
          <w:tcPr>
            <w:tcW w:w="6501" w:type="dxa"/>
          </w:tcPr>
          <w:p w:rsidR="008D3AA9" w:rsidRPr="000904BD" w:rsidRDefault="000904BD">
            <w:pPr>
              <w:pStyle w:val="TableParagraph"/>
              <w:rPr>
                <w:sz w:val="24"/>
              </w:rPr>
            </w:pPr>
            <w:r w:rsidRPr="000904BD">
              <w:rPr>
                <w:sz w:val="24"/>
              </w:rPr>
              <w:t>Возраст &gt; 80 лет</w:t>
            </w:r>
          </w:p>
        </w:tc>
        <w:tc>
          <w:tcPr>
            <w:tcW w:w="3069" w:type="dxa"/>
          </w:tcPr>
          <w:p w:rsidR="008D3AA9" w:rsidRPr="000904BD" w:rsidRDefault="000904BD">
            <w:pPr>
              <w:pStyle w:val="TableParagraph"/>
              <w:ind w:left="1146"/>
              <w:rPr>
                <w:sz w:val="24"/>
              </w:rPr>
            </w:pPr>
            <w:r w:rsidRPr="000904BD">
              <w:rPr>
                <w:sz w:val="24"/>
              </w:rPr>
              <w:t>Возраст в годах</w:t>
            </w:r>
          </w:p>
        </w:tc>
      </w:tr>
      <w:tr w:rsidR="008D3AA9" w:rsidRPr="000904BD">
        <w:trPr>
          <w:trHeight w:val="336"/>
        </w:trPr>
        <w:tc>
          <w:tcPr>
            <w:tcW w:w="6501" w:type="dxa"/>
          </w:tcPr>
          <w:p w:rsidR="008D3AA9" w:rsidRPr="000904BD" w:rsidRDefault="000904BD">
            <w:pPr>
              <w:pStyle w:val="TableParagraph"/>
              <w:rPr>
                <w:sz w:val="24"/>
              </w:rPr>
            </w:pPr>
            <w:r w:rsidRPr="000904BD">
              <w:rPr>
                <w:sz w:val="24"/>
              </w:rPr>
              <w:t>Мужской пол</w:t>
            </w:r>
          </w:p>
        </w:tc>
        <w:tc>
          <w:tcPr>
            <w:tcW w:w="3069" w:type="dxa"/>
          </w:tcPr>
          <w:p w:rsidR="008D3AA9" w:rsidRPr="000904BD" w:rsidRDefault="000904BD">
            <w:pPr>
              <w:pStyle w:val="TableParagraph"/>
              <w:ind w:left="856" w:right="1255"/>
              <w:jc w:val="center"/>
              <w:rPr>
                <w:sz w:val="24"/>
              </w:rPr>
            </w:pPr>
            <w:r w:rsidRPr="000904BD">
              <w:rPr>
                <w:sz w:val="24"/>
              </w:rPr>
              <w:t>+10</w:t>
            </w:r>
          </w:p>
        </w:tc>
      </w:tr>
      <w:tr w:rsidR="008D3AA9" w:rsidRPr="000904BD">
        <w:trPr>
          <w:trHeight w:val="336"/>
        </w:trPr>
        <w:tc>
          <w:tcPr>
            <w:tcW w:w="6501" w:type="dxa"/>
          </w:tcPr>
          <w:p w:rsidR="008D3AA9" w:rsidRPr="000904BD" w:rsidRDefault="000904BD">
            <w:pPr>
              <w:pStyle w:val="TableParagraph"/>
              <w:rPr>
                <w:sz w:val="24"/>
              </w:rPr>
            </w:pPr>
            <w:r w:rsidRPr="000904BD">
              <w:rPr>
                <w:sz w:val="24"/>
              </w:rPr>
              <w:t>Рак в анамнезе</w:t>
            </w:r>
          </w:p>
        </w:tc>
        <w:tc>
          <w:tcPr>
            <w:tcW w:w="3069" w:type="dxa"/>
          </w:tcPr>
          <w:p w:rsidR="008D3AA9" w:rsidRPr="000904BD" w:rsidRDefault="000904BD">
            <w:pPr>
              <w:pStyle w:val="TableParagraph"/>
              <w:ind w:left="856" w:right="1255"/>
              <w:jc w:val="center"/>
              <w:rPr>
                <w:sz w:val="24"/>
              </w:rPr>
            </w:pPr>
            <w:r w:rsidRPr="000904BD">
              <w:rPr>
                <w:sz w:val="24"/>
              </w:rPr>
              <w:t>+30</w:t>
            </w:r>
          </w:p>
        </w:tc>
      </w:tr>
      <w:tr w:rsidR="008D3AA9" w:rsidRPr="000904BD">
        <w:trPr>
          <w:trHeight w:val="335"/>
        </w:trPr>
        <w:tc>
          <w:tcPr>
            <w:tcW w:w="6501" w:type="dxa"/>
          </w:tcPr>
          <w:p w:rsidR="008D3AA9" w:rsidRPr="000904BD" w:rsidRDefault="000904BD">
            <w:pPr>
              <w:pStyle w:val="TableParagraph"/>
              <w:rPr>
                <w:sz w:val="24"/>
              </w:rPr>
            </w:pPr>
            <w:r w:rsidRPr="000904BD">
              <w:rPr>
                <w:sz w:val="24"/>
              </w:rPr>
              <w:t>Сердечная недостаточность в анамнезе</w:t>
            </w:r>
          </w:p>
        </w:tc>
        <w:tc>
          <w:tcPr>
            <w:tcW w:w="3069" w:type="dxa"/>
          </w:tcPr>
          <w:p w:rsidR="008D3AA9" w:rsidRPr="000904BD" w:rsidRDefault="000904BD">
            <w:pPr>
              <w:pStyle w:val="TableParagraph"/>
              <w:ind w:left="856" w:right="1255"/>
              <w:jc w:val="center"/>
              <w:rPr>
                <w:sz w:val="24"/>
              </w:rPr>
            </w:pPr>
            <w:r w:rsidRPr="000904BD">
              <w:rPr>
                <w:sz w:val="24"/>
              </w:rPr>
              <w:t>+10</w:t>
            </w:r>
          </w:p>
        </w:tc>
      </w:tr>
      <w:tr w:rsidR="008D3AA9" w:rsidRPr="000904BD">
        <w:trPr>
          <w:trHeight w:val="336"/>
        </w:trPr>
        <w:tc>
          <w:tcPr>
            <w:tcW w:w="6501" w:type="dxa"/>
          </w:tcPr>
          <w:p w:rsidR="008D3AA9" w:rsidRPr="000904BD" w:rsidRDefault="000904BD">
            <w:pPr>
              <w:pStyle w:val="TableParagraph"/>
              <w:rPr>
                <w:sz w:val="24"/>
              </w:rPr>
            </w:pPr>
            <w:r w:rsidRPr="000904BD">
              <w:rPr>
                <w:sz w:val="24"/>
              </w:rPr>
              <w:t>ХОБЛ в анамнезе</w:t>
            </w:r>
          </w:p>
        </w:tc>
        <w:tc>
          <w:tcPr>
            <w:tcW w:w="3069" w:type="dxa"/>
          </w:tcPr>
          <w:p w:rsidR="008D3AA9" w:rsidRPr="000904BD" w:rsidRDefault="000904BD">
            <w:pPr>
              <w:pStyle w:val="TableParagraph"/>
              <w:ind w:left="856" w:right="1255"/>
              <w:jc w:val="center"/>
              <w:rPr>
                <w:sz w:val="24"/>
              </w:rPr>
            </w:pPr>
            <w:r w:rsidRPr="000904BD">
              <w:rPr>
                <w:sz w:val="24"/>
              </w:rPr>
              <w:t>+10</w:t>
            </w:r>
          </w:p>
        </w:tc>
      </w:tr>
      <w:tr w:rsidR="008D3AA9" w:rsidRPr="000904BD">
        <w:trPr>
          <w:trHeight w:val="336"/>
        </w:trPr>
        <w:tc>
          <w:tcPr>
            <w:tcW w:w="6501" w:type="dxa"/>
          </w:tcPr>
          <w:p w:rsidR="008D3AA9" w:rsidRPr="000904BD" w:rsidRDefault="000904BD">
            <w:pPr>
              <w:pStyle w:val="TableParagraph"/>
              <w:rPr>
                <w:sz w:val="24"/>
              </w:rPr>
            </w:pPr>
            <w:r w:rsidRPr="000904BD">
              <w:rPr>
                <w:sz w:val="24"/>
              </w:rPr>
              <w:t>ЧСС &gt; 110 уд/мин</w:t>
            </w:r>
          </w:p>
        </w:tc>
        <w:tc>
          <w:tcPr>
            <w:tcW w:w="3069" w:type="dxa"/>
          </w:tcPr>
          <w:p w:rsidR="008D3AA9" w:rsidRPr="000904BD" w:rsidRDefault="000904BD">
            <w:pPr>
              <w:pStyle w:val="TableParagraph"/>
              <w:ind w:left="856" w:right="1255"/>
              <w:jc w:val="center"/>
              <w:rPr>
                <w:sz w:val="24"/>
              </w:rPr>
            </w:pPr>
            <w:r w:rsidRPr="000904BD">
              <w:rPr>
                <w:sz w:val="24"/>
              </w:rPr>
              <w:t>+20</w:t>
            </w:r>
          </w:p>
        </w:tc>
      </w:tr>
      <w:tr w:rsidR="008D3AA9" w:rsidRPr="000904BD">
        <w:trPr>
          <w:trHeight w:val="336"/>
        </w:trPr>
        <w:tc>
          <w:tcPr>
            <w:tcW w:w="6501" w:type="dxa"/>
          </w:tcPr>
          <w:p w:rsidR="008D3AA9" w:rsidRPr="000904BD" w:rsidRDefault="000904BD">
            <w:pPr>
              <w:pStyle w:val="TableParagraph"/>
              <w:rPr>
                <w:sz w:val="24"/>
              </w:rPr>
            </w:pPr>
            <w:r w:rsidRPr="000904BD">
              <w:rPr>
                <w:sz w:val="24"/>
              </w:rPr>
              <w:t>Систолическое АД &lt; 100 мм.рт.ст</w:t>
            </w:r>
          </w:p>
        </w:tc>
        <w:tc>
          <w:tcPr>
            <w:tcW w:w="3069" w:type="dxa"/>
          </w:tcPr>
          <w:p w:rsidR="008D3AA9" w:rsidRPr="000904BD" w:rsidRDefault="000904BD">
            <w:pPr>
              <w:pStyle w:val="TableParagraph"/>
              <w:ind w:left="856" w:right="1255"/>
              <w:jc w:val="center"/>
              <w:rPr>
                <w:sz w:val="24"/>
              </w:rPr>
            </w:pPr>
            <w:r w:rsidRPr="000904BD">
              <w:rPr>
                <w:sz w:val="24"/>
              </w:rPr>
              <w:t>+30</w:t>
            </w:r>
          </w:p>
        </w:tc>
      </w:tr>
      <w:tr w:rsidR="008D3AA9" w:rsidRPr="000904BD">
        <w:trPr>
          <w:trHeight w:val="336"/>
        </w:trPr>
        <w:tc>
          <w:tcPr>
            <w:tcW w:w="6501" w:type="dxa"/>
          </w:tcPr>
          <w:p w:rsidR="008D3AA9" w:rsidRPr="000904BD" w:rsidRDefault="000904BD">
            <w:pPr>
              <w:pStyle w:val="TableParagraph"/>
              <w:rPr>
                <w:sz w:val="24"/>
              </w:rPr>
            </w:pPr>
            <w:r w:rsidRPr="000904BD">
              <w:rPr>
                <w:sz w:val="24"/>
              </w:rPr>
              <w:t>ЧДД ≥ 30/мин</w:t>
            </w:r>
          </w:p>
        </w:tc>
        <w:tc>
          <w:tcPr>
            <w:tcW w:w="3069" w:type="dxa"/>
          </w:tcPr>
          <w:p w:rsidR="008D3AA9" w:rsidRPr="000904BD" w:rsidRDefault="000904BD">
            <w:pPr>
              <w:pStyle w:val="TableParagraph"/>
              <w:ind w:left="856" w:right="1255"/>
              <w:jc w:val="center"/>
              <w:rPr>
                <w:sz w:val="24"/>
              </w:rPr>
            </w:pPr>
            <w:r w:rsidRPr="000904BD">
              <w:rPr>
                <w:sz w:val="24"/>
              </w:rPr>
              <w:t>+20</w:t>
            </w:r>
          </w:p>
        </w:tc>
      </w:tr>
      <w:tr w:rsidR="008D3AA9" w:rsidRPr="000904BD">
        <w:trPr>
          <w:trHeight w:val="336"/>
        </w:trPr>
        <w:tc>
          <w:tcPr>
            <w:tcW w:w="6501" w:type="dxa"/>
          </w:tcPr>
          <w:p w:rsidR="008D3AA9" w:rsidRPr="000904BD" w:rsidRDefault="000904BD">
            <w:pPr>
              <w:pStyle w:val="TableParagraph"/>
              <w:rPr>
                <w:sz w:val="24"/>
              </w:rPr>
            </w:pPr>
            <w:r w:rsidRPr="000904BD">
              <w:rPr>
                <w:sz w:val="24"/>
              </w:rPr>
              <w:t>Температура &lt; 36°C</w:t>
            </w:r>
          </w:p>
        </w:tc>
        <w:tc>
          <w:tcPr>
            <w:tcW w:w="3069" w:type="dxa"/>
          </w:tcPr>
          <w:p w:rsidR="008D3AA9" w:rsidRPr="000904BD" w:rsidRDefault="000904BD">
            <w:pPr>
              <w:pStyle w:val="TableParagraph"/>
              <w:ind w:left="856" w:right="1255"/>
              <w:jc w:val="center"/>
              <w:rPr>
                <w:sz w:val="24"/>
              </w:rPr>
            </w:pPr>
            <w:r w:rsidRPr="000904BD">
              <w:rPr>
                <w:sz w:val="24"/>
              </w:rPr>
              <w:t>+20</w:t>
            </w:r>
          </w:p>
        </w:tc>
      </w:tr>
      <w:tr w:rsidR="008D3AA9" w:rsidRPr="000904BD">
        <w:trPr>
          <w:trHeight w:val="335"/>
        </w:trPr>
        <w:tc>
          <w:tcPr>
            <w:tcW w:w="6501" w:type="dxa"/>
          </w:tcPr>
          <w:p w:rsidR="008D3AA9" w:rsidRPr="000904BD" w:rsidRDefault="000904BD">
            <w:pPr>
              <w:pStyle w:val="TableParagraph"/>
              <w:rPr>
                <w:sz w:val="24"/>
              </w:rPr>
            </w:pPr>
            <w:r w:rsidRPr="000904BD">
              <w:rPr>
                <w:sz w:val="24"/>
              </w:rPr>
              <w:t>Изменение психического состояния</w:t>
            </w:r>
          </w:p>
        </w:tc>
        <w:tc>
          <w:tcPr>
            <w:tcW w:w="3069" w:type="dxa"/>
          </w:tcPr>
          <w:p w:rsidR="008D3AA9" w:rsidRPr="000904BD" w:rsidRDefault="000904BD">
            <w:pPr>
              <w:pStyle w:val="TableParagraph"/>
              <w:ind w:left="856" w:right="1255"/>
              <w:jc w:val="center"/>
              <w:rPr>
                <w:sz w:val="24"/>
              </w:rPr>
            </w:pPr>
            <w:r w:rsidRPr="000904BD">
              <w:rPr>
                <w:sz w:val="24"/>
              </w:rPr>
              <w:t>+60</w:t>
            </w:r>
          </w:p>
        </w:tc>
      </w:tr>
      <w:tr w:rsidR="008D3AA9" w:rsidRPr="000904BD">
        <w:trPr>
          <w:trHeight w:val="336"/>
        </w:trPr>
        <w:tc>
          <w:tcPr>
            <w:tcW w:w="6501" w:type="dxa"/>
          </w:tcPr>
          <w:p w:rsidR="008D3AA9" w:rsidRPr="000904BD" w:rsidRDefault="000904BD">
            <w:pPr>
              <w:pStyle w:val="TableParagraph"/>
              <w:rPr>
                <w:sz w:val="24"/>
              </w:rPr>
            </w:pPr>
            <w:r w:rsidRPr="000904BD">
              <w:rPr>
                <w:sz w:val="24"/>
              </w:rPr>
              <w:t>Сатурация &lt; 90%</w:t>
            </w:r>
          </w:p>
        </w:tc>
        <w:tc>
          <w:tcPr>
            <w:tcW w:w="3069" w:type="dxa"/>
          </w:tcPr>
          <w:p w:rsidR="008D3AA9" w:rsidRPr="000904BD" w:rsidRDefault="000904BD">
            <w:pPr>
              <w:pStyle w:val="TableParagraph"/>
              <w:ind w:left="856" w:right="1255"/>
              <w:jc w:val="center"/>
              <w:rPr>
                <w:sz w:val="24"/>
              </w:rPr>
            </w:pPr>
            <w:r w:rsidRPr="000904BD">
              <w:rPr>
                <w:sz w:val="24"/>
              </w:rPr>
              <w:t>+20</w:t>
            </w:r>
          </w:p>
        </w:tc>
      </w:tr>
      <w:tr w:rsidR="008D3AA9" w:rsidRPr="000904BD">
        <w:trPr>
          <w:trHeight w:val="336"/>
        </w:trPr>
        <w:tc>
          <w:tcPr>
            <w:tcW w:w="6501" w:type="dxa"/>
          </w:tcPr>
          <w:p w:rsidR="008D3AA9" w:rsidRPr="000904BD" w:rsidRDefault="000904BD">
            <w:pPr>
              <w:pStyle w:val="TableParagraph"/>
              <w:rPr>
                <w:sz w:val="24"/>
              </w:rPr>
            </w:pPr>
            <w:r w:rsidRPr="000904BD">
              <w:rPr>
                <w:sz w:val="24"/>
              </w:rPr>
              <w:t>Упрощенный индекс тяжести ТЭЛА в соответствии с RIETE</w:t>
            </w:r>
          </w:p>
        </w:tc>
        <w:tc>
          <w:tcPr>
            <w:tcW w:w="3069" w:type="dxa"/>
          </w:tcPr>
          <w:p w:rsidR="008D3AA9" w:rsidRPr="000904BD" w:rsidRDefault="000904BD">
            <w:pPr>
              <w:pStyle w:val="TableParagraph"/>
              <w:ind w:left="-72"/>
              <w:rPr>
                <w:sz w:val="24"/>
              </w:rPr>
            </w:pPr>
            <w:r w:rsidRPr="000904BD">
              <w:rPr>
                <w:sz w:val="24"/>
              </w:rPr>
              <w:t>†</w:t>
            </w:r>
          </w:p>
        </w:tc>
      </w:tr>
      <w:tr w:rsidR="008D3AA9" w:rsidRPr="000904BD">
        <w:trPr>
          <w:trHeight w:val="336"/>
        </w:trPr>
        <w:tc>
          <w:tcPr>
            <w:tcW w:w="6501" w:type="dxa"/>
          </w:tcPr>
          <w:p w:rsidR="008D3AA9" w:rsidRPr="000904BD" w:rsidRDefault="000904BD">
            <w:pPr>
              <w:pStyle w:val="TableParagraph"/>
              <w:rPr>
                <w:sz w:val="24"/>
              </w:rPr>
            </w:pPr>
            <w:r w:rsidRPr="000904BD">
              <w:rPr>
                <w:sz w:val="24"/>
              </w:rPr>
              <w:t>Возраст &gt; 80 лет</w:t>
            </w:r>
          </w:p>
        </w:tc>
        <w:tc>
          <w:tcPr>
            <w:tcW w:w="3069" w:type="dxa"/>
          </w:tcPr>
          <w:p w:rsidR="008D3AA9" w:rsidRPr="000904BD" w:rsidRDefault="000904BD">
            <w:pPr>
              <w:pStyle w:val="TableParagraph"/>
              <w:ind w:left="735" w:right="1255"/>
              <w:jc w:val="center"/>
              <w:rPr>
                <w:sz w:val="24"/>
              </w:rPr>
            </w:pPr>
            <w:r w:rsidRPr="000904BD">
              <w:rPr>
                <w:sz w:val="24"/>
              </w:rPr>
              <w:t>+1</w:t>
            </w:r>
          </w:p>
        </w:tc>
      </w:tr>
      <w:tr w:rsidR="008D3AA9" w:rsidRPr="000904BD">
        <w:trPr>
          <w:trHeight w:val="335"/>
        </w:trPr>
        <w:tc>
          <w:tcPr>
            <w:tcW w:w="6501" w:type="dxa"/>
          </w:tcPr>
          <w:p w:rsidR="008D3AA9" w:rsidRPr="000904BD" w:rsidRDefault="000904BD">
            <w:pPr>
              <w:pStyle w:val="TableParagraph"/>
              <w:rPr>
                <w:sz w:val="24"/>
              </w:rPr>
            </w:pPr>
            <w:r w:rsidRPr="000904BD">
              <w:rPr>
                <w:sz w:val="24"/>
              </w:rPr>
              <w:t>Рак в анамнезе</w:t>
            </w:r>
          </w:p>
        </w:tc>
        <w:tc>
          <w:tcPr>
            <w:tcW w:w="3069" w:type="dxa"/>
          </w:tcPr>
          <w:p w:rsidR="008D3AA9" w:rsidRPr="000904BD" w:rsidRDefault="000904BD">
            <w:pPr>
              <w:pStyle w:val="TableParagraph"/>
              <w:ind w:left="735" w:right="1255"/>
              <w:jc w:val="center"/>
              <w:rPr>
                <w:sz w:val="24"/>
              </w:rPr>
            </w:pPr>
            <w:r w:rsidRPr="000904BD">
              <w:rPr>
                <w:sz w:val="24"/>
              </w:rPr>
              <w:t>+1</w:t>
            </w:r>
          </w:p>
        </w:tc>
      </w:tr>
      <w:tr w:rsidR="008D3AA9" w:rsidRPr="000904BD">
        <w:trPr>
          <w:trHeight w:val="335"/>
        </w:trPr>
        <w:tc>
          <w:tcPr>
            <w:tcW w:w="6501" w:type="dxa"/>
          </w:tcPr>
          <w:p w:rsidR="008D3AA9" w:rsidRPr="000904BD" w:rsidRDefault="000904BD">
            <w:pPr>
              <w:pStyle w:val="TableParagraph"/>
              <w:rPr>
                <w:sz w:val="24"/>
              </w:rPr>
            </w:pPr>
            <w:r w:rsidRPr="000904BD">
              <w:rPr>
                <w:sz w:val="24"/>
              </w:rPr>
              <w:t>Сердечная недостаточность или ХОБЛ в анамнезе</w:t>
            </w:r>
          </w:p>
        </w:tc>
        <w:tc>
          <w:tcPr>
            <w:tcW w:w="3069" w:type="dxa"/>
          </w:tcPr>
          <w:p w:rsidR="008D3AA9" w:rsidRPr="000904BD" w:rsidRDefault="000904BD">
            <w:pPr>
              <w:pStyle w:val="TableParagraph"/>
              <w:ind w:left="735" w:right="1255"/>
              <w:jc w:val="center"/>
              <w:rPr>
                <w:sz w:val="24"/>
              </w:rPr>
            </w:pPr>
            <w:r w:rsidRPr="000904BD">
              <w:rPr>
                <w:sz w:val="24"/>
              </w:rPr>
              <w:t>+1</w:t>
            </w:r>
          </w:p>
        </w:tc>
      </w:tr>
      <w:tr w:rsidR="008D3AA9" w:rsidRPr="000904BD">
        <w:trPr>
          <w:trHeight w:val="336"/>
        </w:trPr>
        <w:tc>
          <w:tcPr>
            <w:tcW w:w="6501" w:type="dxa"/>
          </w:tcPr>
          <w:p w:rsidR="008D3AA9" w:rsidRPr="000904BD" w:rsidRDefault="000904BD">
            <w:pPr>
              <w:pStyle w:val="TableParagraph"/>
              <w:rPr>
                <w:sz w:val="24"/>
              </w:rPr>
            </w:pPr>
            <w:r w:rsidRPr="000904BD">
              <w:rPr>
                <w:sz w:val="24"/>
              </w:rPr>
              <w:t>ЧСС &gt; 110 уд/мин</w:t>
            </w:r>
          </w:p>
        </w:tc>
        <w:tc>
          <w:tcPr>
            <w:tcW w:w="3069" w:type="dxa"/>
          </w:tcPr>
          <w:p w:rsidR="008D3AA9" w:rsidRPr="000904BD" w:rsidRDefault="000904BD">
            <w:pPr>
              <w:pStyle w:val="TableParagraph"/>
              <w:ind w:left="735" w:right="1255"/>
              <w:jc w:val="center"/>
              <w:rPr>
                <w:sz w:val="24"/>
              </w:rPr>
            </w:pPr>
            <w:r w:rsidRPr="000904BD">
              <w:rPr>
                <w:sz w:val="24"/>
              </w:rPr>
              <w:t>+1</w:t>
            </w:r>
          </w:p>
        </w:tc>
      </w:tr>
      <w:tr w:rsidR="008D3AA9" w:rsidRPr="000904BD">
        <w:trPr>
          <w:trHeight w:val="336"/>
        </w:trPr>
        <w:tc>
          <w:tcPr>
            <w:tcW w:w="6501" w:type="dxa"/>
          </w:tcPr>
          <w:p w:rsidR="008D3AA9" w:rsidRPr="000904BD" w:rsidRDefault="000904BD">
            <w:pPr>
              <w:pStyle w:val="TableParagraph"/>
              <w:rPr>
                <w:sz w:val="24"/>
              </w:rPr>
            </w:pPr>
            <w:r w:rsidRPr="000904BD">
              <w:rPr>
                <w:sz w:val="24"/>
              </w:rPr>
              <w:t>Систолическое АД &lt; 100 мм.рт.ст</w:t>
            </w:r>
          </w:p>
        </w:tc>
        <w:tc>
          <w:tcPr>
            <w:tcW w:w="3069" w:type="dxa"/>
          </w:tcPr>
          <w:p w:rsidR="008D3AA9" w:rsidRPr="000904BD" w:rsidRDefault="000904BD">
            <w:pPr>
              <w:pStyle w:val="TableParagraph"/>
              <w:ind w:left="735" w:right="1255"/>
              <w:jc w:val="center"/>
              <w:rPr>
                <w:sz w:val="24"/>
              </w:rPr>
            </w:pPr>
            <w:r w:rsidRPr="000904BD">
              <w:rPr>
                <w:sz w:val="24"/>
              </w:rPr>
              <w:t>+1</w:t>
            </w:r>
          </w:p>
        </w:tc>
      </w:tr>
      <w:tr w:rsidR="008D3AA9" w:rsidRPr="000904BD">
        <w:trPr>
          <w:trHeight w:val="336"/>
        </w:trPr>
        <w:tc>
          <w:tcPr>
            <w:tcW w:w="6501" w:type="dxa"/>
          </w:tcPr>
          <w:p w:rsidR="008D3AA9" w:rsidRPr="000904BD" w:rsidRDefault="000904BD">
            <w:pPr>
              <w:pStyle w:val="TableParagraph"/>
              <w:rPr>
                <w:sz w:val="24"/>
              </w:rPr>
            </w:pPr>
            <w:r w:rsidRPr="000904BD">
              <w:rPr>
                <w:sz w:val="24"/>
              </w:rPr>
              <w:t>Сатурация &lt; 90%</w:t>
            </w:r>
          </w:p>
        </w:tc>
        <w:tc>
          <w:tcPr>
            <w:tcW w:w="3069" w:type="dxa"/>
          </w:tcPr>
          <w:p w:rsidR="008D3AA9" w:rsidRPr="000904BD" w:rsidRDefault="000904BD">
            <w:pPr>
              <w:pStyle w:val="TableParagraph"/>
              <w:ind w:left="735" w:right="1255"/>
              <w:jc w:val="center"/>
              <w:rPr>
                <w:sz w:val="24"/>
              </w:rPr>
            </w:pPr>
            <w:r w:rsidRPr="000904BD">
              <w:rPr>
                <w:sz w:val="24"/>
              </w:rPr>
              <w:t>+1</w:t>
            </w:r>
          </w:p>
        </w:tc>
      </w:tr>
      <w:tr w:rsidR="008D3AA9" w:rsidRPr="000904BD">
        <w:trPr>
          <w:trHeight w:val="1126"/>
        </w:trPr>
        <w:tc>
          <w:tcPr>
            <w:tcW w:w="9570" w:type="dxa"/>
            <w:gridSpan w:val="2"/>
          </w:tcPr>
          <w:p w:rsidR="008D3AA9" w:rsidRPr="000904BD" w:rsidRDefault="000904BD">
            <w:pPr>
              <w:pStyle w:val="TableParagraph"/>
              <w:spacing w:before="27" w:line="237" w:lineRule="auto"/>
              <w:rPr>
                <w:sz w:val="24"/>
              </w:rPr>
            </w:pPr>
            <w:r w:rsidRPr="000904BD">
              <w:rPr>
                <w:sz w:val="24"/>
              </w:rPr>
              <w:t>В Индексе тяжести ТЭЛА классы 1-2 считаются низким уровнем риска, а классы 3-5 – высоким уровнем. RIETE=Registry of Patients with Venous Thromboembolism. *Класс 1 =≤</w:t>
            </w:r>
          </w:p>
          <w:p w:rsidR="008D3AA9" w:rsidRPr="000904BD" w:rsidRDefault="000904BD">
            <w:pPr>
              <w:pStyle w:val="TableParagraph"/>
              <w:spacing w:before="8" w:line="274" w:lineRule="exact"/>
              <w:ind w:right="245"/>
              <w:rPr>
                <w:sz w:val="24"/>
              </w:rPr>
            </w:pPr>
            <w:r w:rsidRPr="000904BD">
              <w:rPr>
                <w:sz w:val="24"/>
              </w:rPr>
              <w:t>65, класс 2 =66-85, класс 3=86-105, класс 4=106-125, класс5=&gt;125.†Пациенты с баллом 0 явля</w:t>
            </w:r>
            <w:r w:rsidRPr="000904BD">
              <w:rPr>
                <w:sz w:val="24"/>
              </w:rPr>
              <w:t>ются группой низкого риска; с баллами 1 и более – группой высокого риска.</w:t>
            </w:r>
          </w:p>
        </w:tc>
      </w:tr>
    </w:tbl>
    <w:p w:rsidR="008D3AA9" w:rsidRPr="000904BD" w:rsidRDefault="008D3AA9">
      <w:pPr>
        <w:pStyle w:val="a3"/>
        <w:spacing w:before="11"/>
        <w:rPr>
          <w:sz w:val="36"/>
        </w:rPr>
      </w:pPr>
    </w:p>
    <w:p w:rsidR="008D3AA9" w:rsidRPr="000904BD" w:rsidRDefault="000904BD">
      <w:pPr>
        <w:pStyle w:val="2"/>
        <w:rPr>
          <w:b w:val="0"/>
        </w:rPr>
      </w:pPr>
      <w:bookmarkStart w:id="14" w:name="Общепринятое_лечение_тромбоза_глубоких_в"/>
      <w:bookmarkEnd w:id="14"/>
      <w:r w:rsidRPr="000904BD">
        <w:rPr>
          <w:b w:val="0"/>
        </w:rPr>
        <w:t>Общепринятое лечение тромбоза глубоких вен и ТЭЛА</w:t>
      </w:r>
    </w:p>
    <w:p w:rsidR="008D3AA9" w:rsidRPr="000904BD" w:rsidRDefault="000904BD">
      <w:pPr>
        <w:pStyle w:val="a3"/>
        <w:spacing w:before="226" w:line="237" w:lineRule="auto"/>
        <w:ind w:left="479" w:right="1147"/>
      </w:pPr>
      <w:r w:rsidRPr="000904BD">
        <w:t>Лечение немассивного тромбоза вен проходит в три этапа: начальный этап, этап ранней поддержки и этап долгосрочной вторичной профил</w:t>
      </w:r>
      <w:r w:rsidRPr="000904BD">
        <w:t>актики (Рисунок 3).</w:t>
      </w:r>
    </w:p>
    <w:p w:rsidR="008D3AA9" w:rsidRPr="000904BD" w:rsidRDefault="000904BD">
      <w:pPr>
        <w:pStyle w:val="a3"/>
        <w:spacing w:before="3"/>
        <w:ind w:left="479" w:right="845"/>
      </w:pPr>
      <w:r w:rsidRPr="000904BD">
        <w:t>Низкомолекулярный гепарин и фондапаринукс являются краеугольными камнями начальной терапии у пациентов с глубоким тромбозом и ТЭЛА. Гепарин действует через связывание с натуральным антикоагулянтом антитромбином, таким образом через антитромбин он значитель</w:t>
      </w:r>
      <w:r w:rsidRPr="000904BD">
        <w:t>но усиливает инактивацию тромбина и других факторов свертывания, включая активированный фактор свертывания Х (Ха).</w:t>
      </w:r>
    </w:p>
    <w:p w:rsidR="008D3AA9" w:rsidRPr="000904BD" w:rsidRDefault="000904BD">
      <w:pPr>
        <w:pStyle w:val="a3"/>
        <w:ind w:left="479" w:right="914"/>
      </w:pPr>
      <w:r w:rsidRPr="000904BD">
        <w:t>Нефракционированный гепарин обычно назначается стартовым болюсом, с последующей непрерывной внутривенной инфузией. Так как в связывании гепар</w:t>
      </w:r>
      <w:r w:rsidRPr="000904BD">
        <w:t>ина с белками плазмы наблюдаются большие индивидуальные различия, дозы должны оцениваться по результатам таких анализов крови, как АЧТВ или анти-Ха активности гепарина. Главное преимущество низкомолекулярных гепаринов в том, что они могут назначаться подко</w:t>
      </w:r>
      <w:r w:rsidRPr="000904BD">
        <w:t>жно в фиксированных массо-зависимых дозах без мониторинга в большинстве случаев.</w:t>
      </w:r>
    </w:p>
    <w:p w:rsidR="008D3AA9" w:rsidRPr="000904BD" w:rsidRDefault="000904BD">
      <w:pPr>
        <w:pStyle w:val="a3"/>
        <w:spacing w:line="242" w:lineRule="auto"/>
        <w:ind w:left="479" w:right="901"/>
      </w:pPr>
      <w:r w:rsidRPr="000904BD">
        <w:t>Механизм действия этих гепаринов близок к механизму нефракционированного гепарина, но с более ярко выраженным эффектом действия на Ха в сравнеии с тромбином.</w:t>
      </w:r>
    </w:p>
    <w:p w:rsidR="008D3AA9" w:rsidRPr="000904BD" w:rsidRDefault="008D3AA9">
      <w:pPr>
        <w:spacing w:line="242" w:lineRule="auto"/>
        <w:sectPr w:rsidR="008D3AA9" w:rsidRPr="000904BD">
          <w:pgSz w:w="11910" w:h="16840"/>
          <w:pgMar w:top="1040" w:right="0" w:bottom="280" w:left="1220" w:header="720" w:footer="720" w:gutter="0"/>
          <w:cols w:space="720"/>
        </w:sectPr>
      </w:pPr>
    </w:p>
    <w:p w:rsidR="008D3AA9" w:rsidRPr="000904BD" w:rsidRDefault="000904BD">
      <w:pPr>
        <w:pStyle w:val="a3"/>
        <w:spacing w:before="66" w:after="4" w:line="242" w:lineRule="auto"/>
        <w:ind w:left="479" w:right="1286"/>
        <w:jc w:val="both"/>
      </w:pPr>
      <w:r w:rsidRPr="000904BD">
        <w:lastRenderedPageBreak/>
        <w:t>Кли</w:t>
      </w:r>
      <w:r w:rsidRPr="000904BD">
        <w:t>ническая равнозначность низкомолекулярных гепаринов и нефракционированного гепарина в лечении тромбоза глубоких вен была подтверждена метаанализом.</w:t>
      </w:r>
    </w:p>
    <w:p w:rsidR="008D3AA9" w:rsidRPr="000904BD" w:rsidRDefault="000904BD">
      <w:pPr>
        <w:pStyle w:val="a3"/>
        <w:ind w:left="481"/>
        <w:rPr>
          <w:sz w:val="20"/>
        </w:rPr>
      </w:pPr>
      <w:r w:rsidRPr="000904BD">
        <w:rPr>
          <w:noProof/>
          <w:sz w:val="20"/>
          <w:lang w:bidi="ar-SA"/>
        </w:rPr>
        <w:drawing>
          <wp:inline distT="0" distB="0" distL="0" distR="0" wp14:anchorId="1B0F3E21" wp14:editId="32CF3AD3">
            <wp:extent cx="5849666" cy="5643943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9666" cy="5643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3AA9" w:rsidRPr="000904BD" w:rsidRDefault="000904BD">
      <w:pPr>
        <w:pStyle w:val="a3"/>
        <w:spacing w:before="134"/>
        <w:ind w:left="479"/>
        <w:jc w:val="both"/>
      </w:pPr>
      <w:r w:rsidRPr="000904BD">
        <w:t>Рисунок 3.</w:t>
      </w:r>
    </w:p>
    <w:p w:rsidR="008D3AA9" w:rsidRPr="000904BD" w:rsidRDefault="000904BD">
      <w:pPr>
        <w:pStyle w:val="a3"/>
        <w:spacing w:before="2" w:line="275" w:lineRule="exact"/>
        <w:ind w:left="479"/>
        <w:jc w:val="both"/>
      </w:pPr>
      <w:r w:rsidRPr="000904BD">
        <w:t>Три этапа болезни в соответствии с общепринятым лечением.</w:t>
      </w:r>
    </w:p>
    <w:p w:rsidR="008D3AA9" w:rsidRPr="000904BD" w:rsidRDefault="000904BD">
      <w:pPr>
        <w:pStyle w:val="a3"/>
        <w:ind w:left="479" w:right="1323"/>
        <w:jc w:val="both"/>
      </w:pPr>
      <w:r w:rsidRPr="000904BD">
        <w:t>А и В изображают потенциально новые с</w:t>
      </w:r>
      <w:r w:rsidRPr="000904BD">
        <w:t>хемы лечения, основанные на режиме прием, изучавшемся в RECOVER с дабигатрана этексилатом (А) (60) или в EINSTEIN DVТ с ривароксабаном (В) (61).</w:t>
      </w:r>
    </w:p>
    <w:p w:rsidR="008D3AA9" w:rsidRPr="000904BD" w:rsidRDefault="000904BD">
      <w:pPr>
        <w:pStyle w:val="a3"/>
        <w:spacing w:before="1"/>
        <w:ind w:left="479" w:right="5499"/>
      </w:pPr>
      <w:r w:rsidRPr="000904BD">
        <w:t>Нефрк.гепр = нефракционированный гепарин НМГепр = низкомолекулярный гепарин АнтВитК = антагонист витамина К</w:t>
      </w:r>
    </w:p>
    <w:p w:rsidR="008D3AA9" w:rsidRPr="000904BD" w:rsidRDefault="000904BD">
      <w:pPr>
        <w:pStyle w:val="a3"/>
        <w:ind w:left="479" w:right="845"/>
      </w:pPr>
      <w:r w:rsidRPr="000904BD">
        <w:t>МНО</w:t>
      </w:r>
      <w:r w:rsidRPr="000904BD">
        <w:t xml:space="preserve"> = международное нормализованное отношение. Одно исследование подтвердило это утверждение для ТЭЛА. Фондапаринукс практически идентичен к мельчайшему природному компоненту гепарина, который, связываясь с антитромбином, селективно ингибирует Ха. В отличие о</w:t>
      </w:r>
      <w:r w:rsidRPr="000904BD">
        <w:t>т нефракционированного гепарина и низкомолекулярных гепаринов, полученных из кишечника свиньи, фондапаринукс является синтетическим соединением. Этот препарат не уступает низкомолекулярным гепаринам и нефракционированному гепарину у больных с тромбозом глу</w:t>
      </w:r>
      <w:r w:rsidRPr="000904BD">
        <w:t>боких вен и ТЭЛА. Низкомолекулярный гепарин и фондапаринукс выводятся преимущественно почками.</w:t>
      </w:r>
    </w:p>
    <w:p w:rsidR="008D3AA9" w:rsidRPr="000904BD" w:rsidRDefault="000904BD">
      <w:pPr>
        <w:pStyle w:val="a3"/>
        <w:spacing w:line="242" w:lineRule="auto"/>
        <w:ind w:left="479" w:right="1251"/>
      </w:pPr>
      <w:r w:rsidRPr="000904BD">
        <w:t>Особая осторожность рекомендована, когда расчетный клиренс креатинина составляет менее, чем 30 мл / мин. В таких случаях, варианты антикоагуляционной терапии</w:t>
      </w:r>
    </w:p>
    <w:p w:rsidR="008D3AA9" w:rsidRPr="000904BD" w:rsidRDefault="008D3AA9">
      <w:pPr>
        <w:spacing w:line="242" w:lineRule="auto"/>
        <w:sectPr w:rsidR="008D3AA9" w:rsidRPr="000904BD">
          <w:pgSz w:w="11910" w:h="16840"/>
          <w:pgMar w:top="1040" w:right="0" w:bottom="280" w:left="1220" w:header="720" w:footer="720" w:gutter="0"/>
          <w:cols w:space="720"/>
        </w:sectPr>
      </w:pPr>
    </w:p>
    <w:p w:rsidR="008D3AA9" w:rsidRPr="000904BD" w:rsidRDefault="000904BD">
      <w:pPr>
        <w:pStyle w:val="a3"/>
        <w:spacing w:before="66"/>
        <w:ind w:left="479" w:right="843"/>
      </w:pPr>
      <w:r w:rsidRPr="000904BD">
        <w:lastRenderedPageBreak/>
        <w:t xml:space="preserve">включают в себя снижение дозы, увеличение интервала между инъекциями, мониторинг Xa активности, или использование нефракционированного гепарина. Назначение гепаринов или фондапаринукса должно перекрываться хотя бы в течение 5 дней назначением антаготистов </w:t>
      </w:r>
      <w:r w:rsidRPr="000904BD">
        <w:t>витамина К. Внутривенное вливание препаратов может быть прекращено, когда концентрация ангикоагулянтов, индуцированных антагонистами витамина К, достигнет уровня 2,0 в международном нормализованном отношении (МНО). Пациентам, больным раком, рекомендовано л</w:t>
      </w:r>
      <w:r w:rsidRPr="000904BD">
        <w:t>ечиться по меньшей мере 3 месяца с использованием низкомолекулярных гепаринов вместо антагонистов витамина К. Эти анагонисты блокируют биосинтез четырех плазменных факторов свертывания (тромбина, или фактора II, и факторов VII, IX и X) в печени. Из-за разл</w:t>
      </w:r>
      <w:r w:rsidRPr="000904BD">
        <w:t>ичий времени полураспада циркулирующих факторов, устойчивая антикоагуляция не может быть достигнута ранее 4- 7 дней. По этой причине, а также из-за генетически опосредованной метаболической вариабельности (67, 68), переменного содержания витамина К в пище,</w:t>
      </w:r>
      <w:r w:rsidRPr="000904BD">
        <w:t xml:space="preserve"> узкого терапевтического индекса, и некоторыми взаимодействиями с другими препаратами, при лечении антагонистами витамина К необходим строгий контроль МНО; целевой терапевтический уровень 2,5 (диапазон 2,0-3,0). Хотя тромболизис, вне зависимости от способа</w:t>
      </w:r>
      <w:r w:rsidRPr="000904BD">
        <w:t>, не превосходит стандартное лечение, он может быть использован для отдельных пациентов (особенно с тромбозом подвздошной или илеофеморальной вен и с массивной ТЭЛА), если опыт и ресурсы позволяют это сделать.</w:t>
      </w:r>
    </w:p>
    <w:p w:rsidR="008D3AA9" w:rsidRPr="000904BD" w:rsidRDefault="008D3AA9">
      <w:pPr>
        <w:pStyle w:val="a3"/>
        <w:spacing w:before="4"/>
        <w:rPr>
          <w:sz w:val="33"/>
        </w:rPr>
      </w:pPr>
    </w:p>
    <w:p w:rsidR="008D3AA9" w:rsidRPr="000904BD" w:rsidRDefault="000904BD">
      <w:pPr>
        <w:pStyle w:val="2"/>
        <w:spacing w:before="1"/>
        <w:rPr>
          <w:b w:val="0"/>
        </w:rPr>
      </w:pPr>
      <w:bookmarkStart w:id="15" w:name="Безопасность_терапии_антикоагулянтами"/>
      <w:bookmarkEnd w:id="15"/>
      <w:r w:rsidRPr="000904BD">
        <w:rPr>
          <w:b w:val="0"/>
        </w:rPr>
        <w:t>Безопасность терапии антикоагулянтами</w:t>
      </w:r>
    </w:p>
    <w:p w:rsidR="008D3AA9" w:rsidRPr="000904BD" w:rsidRDefault="000904BD">
      <w:pPr>
        <w:pStyle w:val="a3"/>
        <w:spacing w:before="218"/>
        <w:ind w:left="479" w:right="858"/>
      </w:pPr>
      <w:r w:rsidRPr="000904BD">
        <w:t>Все ант</w:t>
      </w:r>
      <w:r w:rsidRPr="000904BD">
        <w:t xml:space="preserve">икоагулянты могут вызвать кровотечение, особенно в начале </w:t>
      </w:r>
      <w:r w:rsidRPr="000904BD">
        <w:rPr>
          <w:spacing w:val="-3"/>
        </w:rPr>
        <w:t xml:space="preserve">курса </w:t>
      </w:r>
      <w:r w:rsidRPr="000904BD">
        <w:t xml:space="preserve">лечения (например, при проявлении ранее скрытых симптомов). Обширные кровотечения связаны с ростом уровня антагонистов витамина К, увеличивающихся с возрастом. Клиническая оценка – к примеру, </w:t>
      </w:r>
      <w:r w:rsidRPr="000904BD">
        <w:t xml:space="preserve">шкалы HEMORR2HAGES69 или RIETE70 (Табл. 4) в перспективе могут быть использованы (не в </w:t>
      </w:r>
      <w:r w:rsidRPr="000904BD">
        <w:rPr>
          <w:spacing w:val="-3"/>
        </w:rPr>
        <w:t xml:space="preserve">случае </w:t>
      </w:r>
      <w:r w:rsidRPr="000904BD">
        <w:t xml:space="preserve">венозной тромбоэмболии для HEMORR2HAGES) для оценки риска кровотечений. Лечение антагонистами витамина К может быть более безопасным при наблюдении за пациентом, </w:t>
      </w:r>
      <w:r w:rsidRPr="000904BD">
        <w:t>избегании применения препаратов с конкурирующим эффектом, ограничением употребления алкоголя и, в некоторых случаях, самонаблюдения и самоконтроля71 (этот вопрос остается открытым). Кроме того, следует избегать применения больших доз из-за риска развития п</w:t>
      </w:r>
      <w:r w:rsidRPr="000904BD">
        <w:t>арадоксальных претромботических состояний в результате истощения белка С (Витамин К-зависимый ингибитор коагуляции с коротким периодом полураспада). Для коррекции дозировки варфарина следует использовать генетические тесты для быстрого определения белка С.</w:t>
      </w:r>
      <w:r w:rsidRPr="000904BD">
        <w:t xml:space="preserve">68 Гепарин-индуцированная тромбоцитопения – грозное осложнение лечения препаратами гепарина и низкомолекулярного гепарина. Несмотря на то, что </w:t>
      </w:r>
      <w:r w:rsidRPr="000904BD">
        <w:rPr>
          <w:spacing w:val="-3"/>
        </w:rPr>
        <w:t xml:space="preserve">это </w:t>
      </w:r>
      <w:r w:rsidRPr="000904BD">
        <w:t>осложнение встречается редко (при применении фондапаринукса – крайне редко), оно может спровоцировать венозну</w:t>
      </w:r>
      <w:r w:rsidRPr="000904BD">
        <w:t>ю и артериальную тромбоэмболию с серьезными последствиями.Однако несмотря на это, мониторинг количества тромбоцитов является спорной методикой из-за гипердиагностики на основе позитивного</w:t>
      </w:r>
      <w:r w:rsidRPr="000904BD">
        <w:rPr>
          <w:spacing w:val="-20"/>
        </w:rPr>
        <w:t xml:space="preserve"> </w:t>
      </w:r>
      <w:r w:rsidRPr="000904BD">
        <w:t>гепарин-PF4-теста.</w:t>
      </w:r>
    </w:p>
    <w:p w:rsidR="008D3AA9" w:rsidRPr="000904BD" w:rsidRDefault="000904BD">
      <w:pPr>
        <w:spacing w:before="5" w:after="58"/>
        <w:ind w:left="479" w:right="845"/>
        <w:rPr>
          <w:sz w:val="24"/>
        </w:rPr>
      </w:pPr>
      <w:r w:rsidRPr="000904BD">
        <w:rPr>
          <w:sz w:val="24"/>
        </w:rPr>
        <w:t>Мониторинг функциональных показателей тромбоцитов</w:t>
      </w:r>
      <w:r w:rsidRPr="000904BD">
        <w:rPr>
          <w:sz w:val="24"/>
        </w:rPr>
        <w:t xml:space="preserve"> не следует проводить регулярно после 14 дней и он должен сочетаться с клинической оценкой риска гепарин- индуцированной тромбоцитопении. </w:t>
      </w:r>
      <w:r w:rsidRPr="000904BD">
        <w:rPr>
          <w:sz w:val="24"/>
        </w:rPr>
        <w:t>Таблица 4. Клинические шкалы для предотвращения кровотечений при антикоагулянтной терапиии</w:t>
      </w:r>
    </w:p>
    <w:tbl>
      <w:tblPr>
        <w:tblStyle w:val="TableNormal"/>
        <w:tblW w:w="0" w:type="auto"/>
        <w:tblInd w:w="335" w:type="dxa"/>
        <w:tblLayout w:type="fixed"/>
        <w:tblLook w:val="01E0" w:firstRow="1" w:lastRow="1" w:firstColumn="1" w:lastColumn="1" w:noHBand="0" w:noVBand="0"/>
      </w:tblPr>
      <w:tblGrid>
        <w:gridCol w:w="6580"/>
        <w:gridCol w:w="3429"/>
      </w:tblGrid>
      <w:tr w:rsidR="008D3AA9" w:rsidRPr="000904BD">
        <w:trPr>
          <w:trHeight w:val="298"/>
        </w:trPr>
        <w:tc>
          <w:tcPr>
            <w:tcW w:w="6580" w:type="dxa"/>
          </w:tcPr>
          <w:p w:rsidR="008D3AA9" w:rsidRPr="000904BD" w:rsidRDefault="000904BD">
            <w:pPr>
              <w:pStyle w:val="TableParagraph"/>
              <w:spacing w:before="0" w:line="266" w:lineRule="exact"/>
              <w:rPr>
                <w:sz w:val="24"/>
              </w:rPr>
            </w:pPr>
            <w:r w:rsidRPr="000904BD">
              <w:rPr>
                <w:sz w:val="24"/>
              </w:rPr>
              <w:t>Шкала оценки риска кровотеч</w:t>
            </w:r>
            <w:r w:rsidRPr="000904BD">
              <w:rPr>
                <w:sz w:val="24"/>
              </w:rPr>
              <w:t>ений HEMORR2HAGES*</w:t>
            </w:r>
          </w:p>
        </w:tc>
        <w:tc>
          <w:tcPr>
            <w:tcW w:w="3429" w:type="dxa"/>
          </w:tcPr>
          <w:p w:rsidR="008D3AA9" w:rsidRPr="000904BD" w:rsidRDefault="008D3AA9">
            <w:pPr>
              <w:pStyle w:val="TableParagraph"/>
              <w:spacing w:before="0"/>
              <w:ind w:left="0"/>
            </w:pPr>
          </w:p>
        </w:tc>
      </w:tr>
      <w:tr w:rsidR="008D3AA9" w:rsidRPr="000904BD">
        <w:trPr>
          <w:trHeight w:val="333"/>
        </w:trPr>
        <w:tc>
          <w:tcPr>
            <w:tcW w:w="6580" w:type="dxa"/>
          </w:tcPr>
          <w:p w:rsidR="008D3AA9" w:rsidRPr="000904BD" w:rsidRDefault="000904BD">
            <w:pPr>
              <w:pStyle w:val="TableParagraph"/>
              <w:spacing w:before="22"/>
              <w:rPr>
                <w:sz w:val="24"/>
              </w:rPr>
            </w:pPr>
            <w:r w:rsidRPr="000904BD">
              <w:rPr>
                <w:sz w:val="24"/>
              </w:rPr>
              <w:t>Болезнь почек или печени</w:t>
            </w:r>
          </w:p>
        </w:tc>
        <w:tc>
          <w:tcPr>
            <w:tcW w:w="3429" w:type="dxa"/>
          </w:tcPr>
          <w:p w:rsidR="008D3AA9" w:rsidRPr="000904BD" w:rsidRDefault="000904BD">
            <w:pPr>
              <w:pStyle w:val="TableParagraph"/>
              <w:spacing w:before="22"/>
              <w:ind w:left="0" w:right="198"/>
              <w:jc w:val="right"/>
              <w:rPr>
                <w:sz w:val="24"/>
              </w:rPr>
            </w:pPr>
            <w:r w:rsidRPr="000904BD">
              <w:rPr>
                <w:sz w:val="24"/>
              </w:rPr>
              <w:t>1</w:t>
            </w:r>
          </w:p>
        </w:tc>
      </w:tr>
      <w:tr w:rsidR="008D3AA9" w:rsidRPr="000904BD">
        <w:trPr>
          <w:trHeight w:val="336"/>
        </w:trPr>
        <w:tc>
          <w:tcPr>
            <w:tcW w:w="6580" w:type="dxa"/>
          </w:tcPr>
          <w:p w:rsidR="008D3AA9" w:rsidRPr="000904BD" w:rsidRDefault="000904BD">
            <w:pPr>
              <w:pStyle w:val="TableParagraph"/>
              <w:rPr>
                <w:sz w:val="24"/>
              </w:rPr>
            </w:pPr>
            <w:r w:rsidRPr="000904BD">
              <w:rPr>
                <w:sz w:val="24"/>
              </w:rPr>
              <w:t>Алкогольная зависимость</w:t>
            </w:r>
          </w:p>
        </w:tc>
        <w:tc>
          <w:tcPr>
            <w:tcW w:w="3429" w:type="dxa"/>
          </w:tcPr>
          <w:p w:rsidR="008D3AA9" w:rsidRPr="000904BD" w:rsidRDefault="000904BD">
            <w:pPr>
              <w:pStyle w:val="TableParagraph"/>
              <w:ind w:left="0" w:right="198"/>
              <w:jc w:val="right"/>
              <w:rPr>
                <w:sz w:val="24"/>
              </w:rPr>
            </w:pPr>
            <w:r w:rsidRPr="000904BD">
              <w:rPr>
                <w:sz w:val="24"/>
              </w:rPr>
              <w:t>1</w:t>
            </w:r>
          </w:p>
        </w:tc>
      </w:tr>
      <w:tr w:rsidR="008D3AA9" w:rsidRPr="000904BD">
        <w:trPr>
          <w:trHeight w:val="335"/>
        </w:trPr>
        <w:tc>
          <w:tcPr>
            <w:tcW w:w="6580" w:type="dxa"/>
          </w:tcPr>
          <w:p w:rsidR="008D3AA9" w:rsidRPr="000904BD" w:rsidRDefault="000904BD">
            <w:pPr>
              <w:pStyle w:val="TableParagraph"/>
              <w:rPr>
                <w:sz w:val="24"/>
              </w:rPr>
            </w:pPr>
            <w:r w:rsidRPr="000904BD">
              <w:rPr>
                <w:sz w:val="24"/>
              </w:rPr>
              <w:t>Злокачественная опухоль</w:t>
            </w:r>
          </w:p>
        </w:tc>
        <w:tc>
          <w:tcPr>
            <w:tcW w:w="3429" w:type="dxa"/>
          </w:tcPr>
          <w:p w:rsidR="008D3AA9" w:rsidRPr="000904BD" w:rsidRDefault="000904BD">
            <w:pPr>
              <w:pStyle w:val="TableParagraph"/>
              <w:ind w:left="0" w:right="198"/>
              <w:jc w:val="right"/>
              <w:rPr>
                <w:sz w:val="24"/>
              </w:rPr>
            </w:pPr>
            <w:r w:rsidRPr="000904BD">
              <w:rPr>
                <w:sz w:val="24"/>
              </w:rPr>
              <w:t>1</w:t>
            </w:r>
          </w:p>
        </w:tc>
      </w:tr>
      <w:tr w:rsidR="008D3AA9" w:rsidRPr="000904BD">
        <w:trPr>
          <w:trHeight w:val="335"/>
        </w:trPr>
        <w:tc>
          <w:tcPr>
            <w:tcW w:w="6580" w:type="dxa"/>
          </w:tcPr>
          <w:p w:rsidR="008D3AA9" w:rsidRPr="000904BD" w:rsidRDefault="000904BD">
            <w:pPr>
              <w:pStyle w:val="TableParagraph"/>
              <w:rPr>
                <w:sz w:val="24"/>
              </w:rPr>
            </w:pPr>
            <w:r w:rsidRPr="000904BD">
              <w:rPr>
                <w:sz w:val="24"/>
              </w:rPr>
              <w:t>Возраст &gt;75 лет</w:t>
            </w:r>
          </w:p>
        </w:tc>
        <w:tc>
          <w:tcPr>
            <w:tcW w:w="3429" w:type="dxa"/>
          </w:tcPr>
          <w:p w:rsidR="008D3AA9" w:rsidRPr="000904BD" w:rsidRDefault="000904BD">
            <w:pPr>
              <w:pStyle w:val="TableParagraph"/>
              <w:ind w:left="0" w:right="198"/>
              <w:jc w:val="right"/>
              <w:rPr>
                <w:sz w:val="24"/>
              </w:rPr>
            </w:pPr>
            <w:r w:rsidRPr="000904BD">
              <w:rPr>
                <w:sz w:val="24"/>
              </w:rPr>
              <w:t>1</w:t>
            </w:r>
          </w:p>
        </w:tc>
      </w:tr>
      <w:tr w:rsidR="008D3AA9" w:rsidRPr="000904BD">
        <w:trPr>
          <w:trHeight w:val="300"/>
        </w:trPr>
        <w:tc>
          <w:tcPr>
            <w:tcW w:w="6580" w:type="dxa"/>
          </w:tcPr>
          <w:p w:rsidR="008D3AA9" w:rsidRPr="000904BD" w:rsidRDefault="000904BD">
            <w:pPr>
              <w:pStyle w:val="TableParagraph"/>
              <w:spacing w:line="256" w:lineRule="exact"/>
              <w:rPr>
                <w:sz w:val="24"/>
              </w:rPr>
            </w:pPr>
            <w:r w:rsidRPr="000904BD">
              <w:rPr>
                <w:sz w:val="24"/>
              </w:rPr>
              <w:t>Неконтролируемая гипертензия</w:t>
            </w:r>
          </w:p>
        </w:tc>
        <w:tc>
          <w:tcPr>
            <w:tcW w:w="3429" w:type="dxa"/>
          </w:tcPr>
          <w:p w:rsidR="008D3AA9" w:rsidRPr="000904BD" w:rsidRDefault="000904BD">
            <w:pPr>
              <w:pStyle w:val="TableParagraph"/>
              <w:spacing w:line="256" w:lineRule="exact"/>
              <w:ind w:left="0" w:right="198"/>
              <w:jc w:val="right"/>
              <w:rPr>
                <w:sz w:val="24"/>
              </w:rPr>
            </w:pPr>
            <w:r w:rsidRPr="000904BD">
              <w:rPr>
                <w:sz w:val="24"/>
              </w:rPr>
              <w:t>1</w:t>
            </w:r>
          </w:p>
        </w:tc>
      </w:tr>
    </w:tbl>
    <w:p w:rsidR="008D3AA9" w:rsidRPr="000904BD" w:rsidRDefault="008D3AA9">
      <w:pPr>
        <w:spacing w:line="256" w:lineRule="exact"/>
        <w:jc w:val="right"/>
        <w:rPr>
          <w:sz w:val="24"/>
        </w:rPr>
        <w:sectPr w:rsidR="008D3AA9" w:rsidRPr="000904BD">
          <w:pgSz w:w="11910" w:h="16840"/>
          <w:pgMar w:top="1040" w:right="0" w:bottom="280" w:left="1220" w:header="720" w:footer="720" w:gutter="0"/>
          <w:cols w:space="720"/>
        </w:sectPr>
      </w:pPr>
    </w:p>
    <w:p w:rsidR="008D3AA9" w:rsidRPr="000904BD" w:rsidRDefault="000904BD">
      <w:pPr>
        <w:pStyle w:val="a3"/>
        <w:rPr>
          <w:sz w:val="20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982980</wp:posOffset>
                </wp:positionH>
                <wp:positionV relativeFrom="page">
                  <wp:posOffset>739140</wp:posOffset>
                </wp:positionV>
                <wp:extent cx="6708775" cy="32575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8775" cy="3257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217"/>
                              <w:gridCol w:w="2347"/>
                            </w:tblGrid>
                            <w:tr w:rsidR="008D3AA9">
                              <w:trPr>
                                <w:trHeight w:val="300"/>
                              </w:trPr>
                              <w:tc>
                                <w:tcPr>
                                  <w:tcW w:w="8217" w:type="dxa"/>
                                </w:tcPr>
                                <w:p w:rsidR="008D3AA9" w:rsidRDefault="000904BD">
                                  <w:pPr>
                                    <w:pStyle w:val="TableParagraph"/>
                                    <w:spacing w:before="0" w:line="266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Анемия</w:t>
                                  </w:r>
                                </w:p>
                              </w:tc>
                              <w:tc>
                                <w:tcPr>
                                  <w:tcW w:w="2347" w:type="dxa"/>
                                </w:tcPr>
                                <w:p w:rsidR="008D3AA9" w:rsidRDefault="000904BD">
                                  <w:pPr>
                                    <w:pStyle w:val="TableParagraph"/>
                                    <w:spacing w:before="0" w:line="266" w:lineRule="exact"/>
                                    <w:ind w:left="147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8D3AA9">
                              <w:trPr>
                                <w:trHeight w:val="336"/>
                              </w:trPr>
                              <w:tc>
                                <w:tcPr>
                                  <w:tcW w:w="8217" w:type="dxa"/>
                                </w:tcPr>
                                <w:p w:rsidR="008D3AA9" w:rsidRDefault="000904B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Частые падения</w:t>
                                  </w:r>
                                </w:p>
                              </w:tc>
                              <w:tc>
                                <w:tcPr>
                                  <w:tcW w:w="2347" w:type="dxa"/>
                                </w:tcPr>
                                <w:p w:rsidR="008D3AA9" w:rsidRDefault="000904BD">
                                  <w:pPr>
                                    <w:pStyle w:val="TableParagraph"/>
                                    <w:ind w:left="147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8D3AA9">
                              <w:trPr>
                                <w:trHeight w:val="335"/>
                              </w:trPr>
                              <w:tc>
                                <w:tcPr>
                                  <w:tcW w:w="8217" w:type="dxa"/>
                                </w:tcPr>
                                <w:p w:rsidR="008D3AA9" w:rsidRDefault="000904B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Инсульт</w:t>
                                  </w:r>
                                </w:p>
                              </w:tc>
                              <w:tc>
                                <w:tcPr>
                                  <w:tcW w:w="2347" w:type="dxa"/>
                                </w:tcPr>
                                <w:p w:rsidR="008D3AA9" w:rsidRDefault="000904BD">
                                  <w:pPr>
                                    <w:pStyle w:val="TableParagraph"/>
                                    <w:ind w:left="147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8D3AA9">
                              <w:trPr>
                                <w:trHeight w:val="336"/>
                              </w:trPr>
                              <w:tc>
                                <w:tcPr>
                                  <w:tcW w:w="8217" w:type="dxa"/>
                                </w:tcPr>
                                <w:p w:rsidR="008D3AA9" w:rsidRDefault="000904B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Нарушения функции тромбоцитов или снижение их количества</w:t>
                                  </w:r>
                                </w:p>
                              </w:tc>
                              <w:tc>
                                <w:tcPr>
                                  <w:tcW w:w="2347" w:type="dxa"/>
                                </w:tcPr>
                                <w:p w:rsidR="008D3AA9" w:rsidRDefault="000904BD">
                                  <w:pPr>
                                    <w:pStyle w:val="TableParagraph"/>
                                    <w:ind w:left="147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8D3AA9">
                              <w:trPr>
                                <w:trHeight w:val="336"/>
                              </w:trPr>
                              <w:tc>
                                <w:tcPr>
                                  <w:tcW w:w="8217" w:type="dxa"/>
                                </w:tcPr>
                                <w:p w:rsidR="008D3AA9" w:rsidRDefault="000904B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Предшествовавшие кровотечения</w:t>
                                  </w:r>
                                </w:p>
                              </w:tc>
                              <w:tc>
                                <w:tcPr>
                                  <w:tcW w:w="2347" w:type="dxa"/>
                                </w:tcPr>
                                <w:p w:rsidR="008D3AA9" w:rsidRDefault="000904BD">
                                  <w:pPr>
                                    <w:pStyle w:val="TableParagraph"/>
                                    <w:ind w:left="147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8D3AA9">
                              <w:trPr>
                                <w:trHeight w:val="335"/>
                              </w:trPr>
                              <w:tc>
                                <w:tcPr>
                                  <w:tcW w:w="8217" w:type="dxa"/>
                                </w:tcPr>
                                <w:p w:rsidR="008D3AA9" w:rsidRDefault="000904B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Шкала оценки риска кровотечений RIETE</w:t>
                                  </w:r>
                                  <w:r>
                                    <w:rPr>
                                      <w:sz w:val="24"/>
                                    </w:rPr>
                                    <w:t>†</w:t>
                                  </w:r>
                                </w:p>
                              </w:tc>
                              <w:tc>
                                <w:tcPr>
                                  <w:tcW w:w="2347" w:type="dxa"/>
                                </w:tcPr>
                                <w:p w:rsidR="008D3AA9" w:rsidRDefault="008D3AA9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8D3AA9">
                              <w:trPr>
                                <w:trHeight w:val="336"/>
                              </w:trPr>
                              <w:tc>
                                <w:tcPr>
                                  <w:tcW w:w="8217" w:type="dxa"/>
                                </w:tcPr>
                                <w:p w:rsidR="008D3AA9" w:rsidRDefault="000904B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Перенесенное недавно крупное кровотечение</w:t>
                                  </w:r>
                                </w:p>
                              </w:tc>
                              <w:tc>
                                <w:tcPr>
                                  <w:tcW w:w="2347" w:type="dxa"/>
                                </w:tcPr>
                                <w:p w:rsidR="008D3AA9" w:rsidRDefault="000904BD">
                                  <w:pPr>
                                    <w:pStyle w:val="TableParagraph"/>
                                    <w:ind w:left="147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8D3AA9">
                              <w:trPr>
                                <w:trHeight w:val="335"/>
                              </w:trPr>
                              <w:tc>
                                <w:tcPr>
                                  <w:tcW w:w="8217" w:type="dxa"/>
                                </w:tcPr>
                                <w:p w:rsidR="008D3AA9" w:rsidRDefault="000904B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Креатининемия &gt;1,2 мг/дл</w:t>
                                  </w:r>
                                </w:p>
                              </w:tc>
                              <w:tc>
                                <w:tcPr>
                                  <w:tcW w:w="2347" w:type="dxa"/>
                                </w:tcPr>
                                <w:p w:rsidR="008D3AA9" w:rsidRDefault="000904BD">
                                  <w:pPr>
                                    <w:pStyle w:val="TableParagraph"/>
                                    <w:ind w:left="147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1,5</w:t>
                                  </w:r>
                                </w:p>
                              </w:tc>
                            </w:tr>
                            <w:tr w:rsidR="008D3AA9">
                              <w:trPr>
                                <w:trHeight w:val="336"/>
                              </w:trPr>
                              <w:tc>
                                <w:tcPr>
                                  <w:tcW w:w="8217" w:type="dxa"/>
                                </w:tcPr>
                                <w:p w:rsidR="008D3AA9" w:rsidRDefault="000904B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Гемоглобин &lt;13 г/дл (муж.) или 12 мг/дл (жен.)</w:t>
                                  </w:r>
                                </w:p>
                              </w:tc>
                              <w:tc>
                                <w:tcPr>
                                  <w:tcW w:w="2347" w:type="dxa"/>
                                </w:tcPr>
                                <w:p w:rsidR="008D3AA9" w:rsidRDefault="000904BD">
                                  <w:pPr>
                                    <w:pStyle w:val="TableParagraph"/>
                                    <w:ind w:left="147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1,5</w:t>
                                  </w:r>
                                </w:p>
                              </w:tc>
                            </w:tr>
                            <w:tr w:rsidR="008D3AA9">
                              <w:trPr>
                                <w:trHeight w:val="336"/>
                              </w:trPr>
                              <w:tc>
                                <w:tcPr>
                                  <w:tcW w:w="8217" w:type="dxa"/>
                                </w:tcPr>
                                <w:p w:rsidR="008D3AA9" w:rsidRDefault="000904B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Злокачественная опухоль</w:t>
                                  </w:r>
                                </w:p>
                              </w:tc>
                              <w:tc>
                                <w:tcPr>
                                  <w:tcW w:w="2347" w:type="dxa"/>
                                </w:tcPr>
                                <w:p w:rsidR="008D3AA9" w:rsidRDefault="000904BD">
                                  <w:pPr>
                                    <w:pStyle w:val="TableParagraph"/>
                                    <w:ind w:left="147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8D3AA9">
                              <w:trPr>
                                <w:trHeight w:val="336"/>
                              </w:trPr>
                              <w:tc>
                                <w:tcPr>
                                  <w:tcW w:w="8217" w:type="dxa"/>
                                </w:tcPr>
                                <w:p w:rsidR="008D3AA9" w:rsidRDefault="000904B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Выраженная ТЭЛА</w:t>
                                  </w:r>
                                </w:p>
                              </w:tc>
                              <w:tc>
                                <w:tcPr>
                                  <w:tcW w:w="2347" w:type="dxa"/>
                                </w:tcPr>
                                <w:p w:rsidR="008D3AA9" w:rsidRDefault="000904BD">
                                  <w:pPr>
                                    <w:pStyle w:val="TableParagraph"/>
                                    <w:ind w:left="147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8D3AA9">
                              <w:trPr>
                                <w:trHeight w:val="335"/>
                              </w:trPr>
                              <w:tc>
                                <w:tcPr>
                                  <w:tcW w:w="8217" w:type="dxa"/>
                                </w:tcPr>
                                <w:p w:rsidR="008D3AA9" w:rsidRDefault="000904B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Возраст &gt;75 лет</w:t>
                                  </w:r>
                                </w:p>
                              </w:tc>
                              <w:tc>
                                <w:tcPr>
                                  <w:tcW w:w="2347" w:type="dxa"/>
                                </w:tcPr>
                                <w:p w:rsidR="008D3AA9" w:rsidRDefault="000904BD">
                                  <w:pPr>
                                    <w:pStyle w:val="TableParagraph"/>
                                    <w:ind w:left="147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8D3AA9">
                              <w:trPr>
                                <w:trHeight w:val="1131"/>
                              </w:trPr>
                              <w:tc>
                                <w:tcPr>
                                  <w:tcW w:w="10564" w:type="dxa"/>
                                  <w:gridSpan w:val="2"/>
                                </w:tcPr>
                                <w:p w:rsidR="008D3AA9" w:rsidRDefault="000904BD">
                                  <w:pPr>
                                    <w:pStyle w:val="TableParagraph"/>
                                    <w:ind w:right="197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RIETE=Registry</w:t>
                                  </w:r>
                                  <w:r>
                                    <w:rPr>
                                      <w:spacing w:val="-1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Patients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Venous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Thromboembolism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(Регистр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пациентов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венозной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тромбоэм тромбоэмболия легочной артерии*0 баллов – риск крупного кровотечения – 1,9; 1 балл – 2,5; 2 бал 8,4;4 балла – 10,4; 5 и более баллов – 12,3 (на 1000 пациентов в год)†0 баллов – 0,3; 1-3 балла –</w:t>
                                  </w:r>
                                  <w:r>
                                    <w:rPr>
                                      <w:spacing w:val="-2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2,6</w:t>
                                  </w:r>
                                </w:p>
                                <w:p w:rsidR="008D3AA9" w:rsidRDefault="000904BD">
                                  <w:pPr>
                                    <w:pStyle w:val="TableParagraph"/>
                                    <w:spacing w:before="3" w:line="256" w:lineRule="exact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– 7,3 (на 1000 пациентов в год)</w:t>
                                  </w:r>
                                </w:p>
                              </w:tc>
                            </w:tr>
                          </w:tbl>
                          <w:p w:rsidR="008D3AA9" w:rsidRDefault="008D3AA9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7.4pt;margin-top:58.2pt;width:528.25pt;height:256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217"/>
                        <w:gridCol w:w="2347"/>
                      </w:tblGrid>
                      <w:tr w:rsidR="008D3AA9">
                        <w:trPr>
                          <w:trHeight w:val="300"/>
                        </w:trPr>
                        <w:tc>
                          <w:tcPr>
                            <w:tcW w:w="8217" w:type="dxa"/>
                          </w:tcPr>
                          <w:p w:rsidR="008D3AA9" w:rsidRDefault="000904BD">
                            <w:pPr>
                              <w:pStyle w:val="TableParagraph"/>
                              <w:spacing w:before="0" w:line="266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Анемия</w:t>
                            </w:r>
                          </w:p>
                        </w:tc>
                        <w:tc>
                          <w:tcPr>
                            <w:tcW w:w="2347" w:type="dxa"/>
                          </w:tcPr>
                          <w:p w:rsidR="008D3AA9" w:rsidRDefault="000904BD">
                            <w:pPr>
                              <w:pStyle w:val="TableParagraph"/>
                              <w:spacing w:before="0" w:line="266" w:lineRule="exact"/>
                              <w:ind w:left="147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</w:tr>
                      <w:tr w:rsidR="008D3AA9">
                        <w:trPr>
                          <w:trHeight w:val="336"/>
                        </w:trPr>
                        <w:tc>
                          <w:tcPr>
                            <w:tcW w:w="8217" w:type="dxa"/>
                          </w:tcPr>
                          <w:p w:rsidR="008D3AA9" w:rsidRDefault="000904B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Частые падения</w:t>
                            </w:r>
                          </w:p>
                        </w:tc>
                        <w:tc>
                          <w:tcPr>
                            <w:tcW w:w="2347" w:type="dxa"/>
                          </w:tcPr>
                          <w:p w:rsidR="008D3AA9" w:rsidRDefault="000904BD">
                            <w:pPr>
                              <w:pStyle w:val="TableParagraph"/>
                              <w:ind w:left="147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</w:tr>
                      <w:tr w:rsidR="008D3AA9">
                        <w:trPr>
                          <w:trHeight w:val="335"/>
                        </w:trPr>
                        <w:tc>
                          <w:tcPr>
                            <w:tcW w:w="8217" w:type="dxa"/>
                          </w:tcPr>
                          <w:p w:rsidR="008D3AA9" w:rsidRDefault="000904B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Инсульт</w:t>
                            </w:r>
                          </w:p>
                        </w:tc>
                        <w:tc>
                          <w:tcPr>
                            <w:tcW w:w="2347" w:type="dxa"/>
                          </w:tcPr>
                          <w:p w:rsidR="008D3AA9" w:rsidRDefault="000904BD">
                            <w:pPr>
                              <w:pStyle w:val="TableParagraph"/>
                              <w:ind w:left="147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</w:tr>
                      <w:tr w:rsidR="008D3AA9">
                        <w:trPr>
                          <w:trHeight w:val="336"/>
                        </w:trPr>
                        <w:tc>
                          <w:tcPr>
                            <w:tcW w:w="8217" w:type="dxa"/>
                          </w:tcPr>
                          <w:p w:rsidR="008D3AA9" w:rsidRDefault="000904B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Нарушения функции тромбоцитов или снижение их количества</w:t>
                            </w:r>
                          </w:p>
                        </w:tc>
                        <w:tc>
                          <w:tcPr>
                            <w:tcW w:w="2347" w:type="dxa"/>
                          </w:tcPr>
                          <w:p w:rsidR="008D3AA9" w:rsidRDefault="000904BD">
                            <w:pPr>
                              <w:pStyle w:val="TableParagraph"/>
                              <w:ind w:left="147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</w:tr>
                      <w:tr w:rsidR="008D3AA9">
                        <w:trPr>
                          <w:trHeight w:val="336"/>
                        </w:trPr>
                        <w:tc>
                          <w:tcPr>
                            <w:tcW w:w="8217" w:type="dxa"/>
                          </w:tcPr>
                          <w:p w:rsidR="008D3AA9" w:rsidRDefault="000904B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Предшествовавшие кровотечения</w:t>
                            </w:r>
                          </w:p>
                        </w:tc>
                        <w:tc>
                          <w:tcPr>
                            <w:tcW w:w="2347" w:type="dxa"/>
                          </w:tcPr>
                          <w:p w:rsidR="008D3AA9" w:rsidRDefault="000904BD">
                            <w:pPr>
                              <w:pStyle w:val="TableParagraph"/>
                              <w:ind w:left="147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</w:p>
                        </w:tc>
                      </w:tr>
                      <w:tr w:rsidR="008D3AA9">
                        <w:trPr>
                          <w:trHeight w:val="335"/>
                        </w:trPr>
                        <w:tc>
                          <w:tcPr>
                            <w:tcW w:w="8217" w:type="dxa"/>
                          </w:tcPr>
                          <w:p w:rsidR="008D3AA9" w:rsidRDefault="000904B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Шкала оценки риска кровотечений RIETE</w:t>
                            </w:r>
                            <w:r>
                              <w:rPr>
                                <w:sz w:val="24"/>
                              </w:rPr>
                              <w:t>†</w:t>
                            </w:r>
                          </w:p>
                        </w:tc>
                        <w:tc>
                          <w:tcPr>
                            <w:tcW w:w="2347" w:type="dxa"/>
                          </w:tcPr>
                          <w:p w:rsidR="008D3AA9" w:rsidRDefault="008D3AA9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8D3AA9">
                        <w:trPr>
                          <w:trHeight w:val="336"/>
                        </w:trPr>
                        <w:tc>
                          <w:tcPr>
                            <w:tcW w:w="8217" w:type="dxa"/>
                          </w:tcPr>
                          <w:p w:rsidR="008D3AA9" w:rsidRDefault="000904B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Перенесенное недавно крупное кровотечение</w:t>
                            </w:r>
                          </w:p>
                        </w:tc>
                        <w:tc>
                          <w:tcPr>
                            <w:tcW w:w="2347" w:type="dxa"/>
                          </w:tcPr>
                          <w:p w:rsidR="008D3AA9" w:rsidRDefault="000904BD">
                            <w:pPr>
                              <w:pStyle w:val="TableParagraph"/>
                              <w:ind w:left="147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</w:p>
                        </w:tc>
                      </w:tr>
                      <w:tr w:rsidR="008D3AA9">
                        <w:trPr>
                          <w:trHeight w:val="335"/>
                        </w:trPr>
                        <w:tc>
                          <w:tcPr>
                            <w:tcW w:w="8217" w:type="dxa"/>
                          </w:tcPr>
                          <w:p w:rsidR="008D3AA9" w:rsidRDefault="000904B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Креатининемия &gt;1,2 мг/дл</w:t>
                            </w:r>
                          </w:p>
                        </w:tc>
                        <w:tc>
                          <w:tcPr>
                            <w:tcW w:w="2347" w:type="dxa"/>
                          </w:tcPr>
                          <w:p w:rsidR="008D3AA9" w:rsidRDefault="000904BD">
                            <w:pPr>
                              <w:pStyle w:val="TableParagraph"/>
                              <w:ind w:left="147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1,5</w:t>
                            </w:r>
                          </w:p>
                        </w:tc>
                      </w:tr>
                      <w:tr w:rsidR="008D3AA9">
                        <w:trPr>
                          <w:trHeight w:val="336"/>
                        </w:trPr>
                        <w:tc>
                          <w:tcPr>
                            <w:tcW w:w="8217" w:type="dxa"/>
                          </w:tcPr>
                          <w:p w:rsidR="008D3AA9" w:rsidRDefault="000904B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Гемоглобин &lt;13 г/дл (муж.) или 12 мг/дл (жен.)</w:t>
                            </w:r>
                          </w:p>
                        </w:tc>
                        <w:tc>
                          <w:tcPr>
                            <w:tcW w:w="2347" w:type="dxa"/>
                          </w:tcPr>
                          <w:p w:rsidR="008D3AA9" w:rsidRDefault="000904BD">
                            <w:pPr>
                              <w:pStyle w:val="TableParagraph"/>
                              <w:ind w:left="147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1,5</w:t>
                            </w:r>
                          </w:p>
                        </w:tc>
                      </w:tr>
                      <w:tr w:rsidR="008D3AA9">
                        <w:trPr>
                          <w:trHeight w:val="336"/>
                        </w:trPr>
                        <w:tc>
                          <w:tcPr>
                            <w:tcW w:w="8217" w:type="dxa"/>
                          </w:tcPr>
                          <w:p w:rsidR="008D3AA9" w:rsidRDefault="000904B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Злокачественная опухоль</w:t>
                            </w:r>
                          </w:p>
                        </w:tc>
                        <w:tc>
                          <w:tcPr>
                            <w:tcW w:w="2347" w:type="dxa"/>
                          </w:tcPr>
                          <w:p w:rsidR="008D3AA9" w:rsidRDefault="000904BD">
                            <w:pPr>
                              <w:pStyle w:val="TableParagraph"/>
                              <w:ind w:left="147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</w:tr>
                      <w:tr w:rsidR="008D3AA9">
                        <w:trPr>
                          <w:trHeight w:val="336"/>
                        </w:trPr>
                        <w:tc>
                          <w:tcPr>
                            <w:tcW w:w="8217" w:type="dxa"/>
                          </w:tcPr>
                          <w:p w:rsidR="008D3AA9" w:rsidRDefault="000904B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Выраженная ТЭЛА</w:t>
                            </w:r>
                          </w:p>
                        </w:tc>
                        <w:tc>
                          <w:tcPr>
                            <w:tcW w:w="2347" w:type="dxa"/>
                          </w:tcPr>
                          <w:p w:rsidR="008D3AA9" w:rsidRDefault="000904BD">
                            <w:pPr>
                              <w:pStyle w:val="TableParagraph"/>
                              <w:ind w:left="147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</w:tr>
                      <w:tr w:rsidR="008D3AA9">
                        <w:trPr>
                          <w:trHeight w:val="335"/>
                        </w:trPr>
                        <w:tc>
                          <w:tcPr>
                            <w:tcW w:w="8217" w:type="dxa"/>
                          </w:tcPr>
                          <w:p w:rsidR="008D3AA9" w:rsidRDefault="000904B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Возраст &gt;75 лет</w:t>
                            </w:r>
                          </w:p>
                        </w:tc>
                        <w:tc>
                          <w:tcPr>
                            <w:tcW w:w="2347" w:type="dxa"/>
                          </w:tcPr>
                          <w:p w:rsidR="008D3AA9" w:rsidRDefault="000904BD">
                            <w:pPr>
                              <w:pStyle w:val="TableParagraph"/>
                              <w:ind w:left="147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</w:tr>
                      <w:tr w:rsidR="008D3AA9">
                        <w:trPr>
                          <w:trHeight w:val="1131"/>
                        </w:trPr>
                        <w:tc>
                          <w:tcPr>
                            <w:tcW w:w="10564" w:type="dxa"/>
                            <w:gridSpan w:val="2"/>
                          </w:tcPr>
                          <w:p w:rsidR="008D3AA9" w:rsidRDefault="000904BD">
                            <w:pPr>
                              <w:pStyle w:val="TableParagraph"/>
                              <w:ind w:right="197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RIETE=Registry</w:t>
                            </w:r>
                            <w:r>
                              <w:rPr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of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Patients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with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Venous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Thromboembolism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(Регистр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пациентов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венозной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тромбоэм тромбоэмболия легочной артерии*0 баллов – риск крупного кровотечения – 1,9; 1 балл – 2,5; 2 бал 8,4;4 балла – 10,4; 5 и более баллов – 12,3 (на 1000 пациентов в год)†0 баллов – 0,3; 1-3 балла –</w:t>
                            </w:r>
                            <w:r>
                              <w:rPr>
                                <w:spacing w:val="-2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2,6</w:t>
                            </w:r>
                          </w:p>
                          <w:p w:rsidR="008D3AA9" w:rsidRDefault="000904BD">
                            <w:pPr>
                              <w:pStyle w:val="TableParagraph"/>
                              <w:spacing w:before="3" w:line="256" w:lineRule="exact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– 7,3 (на 1000 пациентов в год)</w:t>
                            </w:r>
                          </w:p>
                        </w:tc>
                      </w:tr>
                    </w:tbl>
                    <w:p w:rsidR="008D3AA9" w:rsidRDefault="008D3AA9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D3AA9" w:rsidRPr="000904BD" w:rsidRDefault="008D3AA9">
      <w:pPr>
        <w:pStyle w:val="a3"/>
        <w:rPr>
          <w:sz w:val="20"/>
        </w:rPr>
      </w:pPr>
    </w:p>
    <w:p w:rsidR="008D3AA9" w:rsidRPr="000904BD" w:rsidRDefault="008D3AA9">
      <w:pPr>
        <w:pStyle w:val="a3"/>
        <w:rPr>
          <w:sz w:val="20"/>
        </w:rPr>
      </w:pPr>
    </w:p>
    <w:p w:rsidR="008D3AA9" w:rsidRPr="000904BD" w:rsidRDefault="008D3AA9">
      <w:pPr>
        <w:pStyle w:val="a3"/>
        <w:rPr>
          <w:sz w:val="20"/>
        </w:rPr>
      </w:pPr>
    </w:p>
    <w:p w:rsidR="008D3AA9" w:rsidRPr="000904BD" w:rsidRDefault="008D3AA9">
      <w:pPr>
        <w:pStyle w:val="a3"/>
        <w:rPr>
          <w:sz w:val="20"/>
        </w:rPr>
      </w:pPr>
    </w:p>
    <w:p w:rsidR="008D3AA9" w:rsidRPr="000904BD" w:rsidRDefault="008D3AA9">
      <w:pPr>
        <w:pStyle w:val="a3"/>
        <w:rPr>
          <w:sz w:val="20"/>
        </w:rPr>
      </w:pPr>
    </w:p>
    <w:p w:rsidR="008D3AA9" w:rsidRPr="000904BD" w:rsidRDefault="008D3AA9">
      <w:pPr>
        <w:pStyle w:val="a3"/>
        <w:rPr>
          <w:sz w:val="20"/>
        </w:rPr>
      </w:pPr>
    </w:p>
    <w:p w:rsidR="008D3AA9" w:rsidRPr="000904BD" w:rsidRDefault="008D3AA9">
      <w:pPr>
        <w:pStyle w:val="a3"/>
        <w:rPr>
          <w:sz w:val="20"/>
        </w:rPr>
      </w:pPr>
    </w:p>
    <w:p w:rsidR="008D3AA9" w:rsidRPr="000904BD" w:rsidRDefault="008D3AA9">
      <w:pPr>
        <w:pStyle w:val="a3"/>
        <w:rPr>
          <w:sz w:val="20"/>
        </w:rPr>
      </w:pPr>
    </w:p>
    <w:p w:rsidR="008D3AA9" w:rsidRPr="000904BD" w:rsidRDefault="008D3AA9">
      <w:pPr>
        <w:pStyle w:val="a3"/>
        <w:rPr>
          <w:sz w:val="20"/>
        </w:rPr>
      </w:pPr>
    </w:p>
    <w:p w:rsidR="008D3AA9" w:rsidRPr="000904BD" w:rsidRDefault="008D3AA9">
      <w:pPr>
        <w:pStyle w:val="a3"/>
        <w:rPr>
          <w:sz w:val="20"/>
        </w:rPr>
      </w:pPr>
    </w:p>
    <w:p w:rsidR="008D3AA9" w:rsidRPr="000904BD" w:rsidRDefault="008D3AA9">
      <w:pPr>
        <w:pStyle w:val="a3"/>
        <w:rPr>
          <w:sz w:val="20"/>
        </w:rPr>
      </w:pPr>
    </w:p>
    <w:p w:rsidR="008D3AA9" w:rsidRPr="000904BD" w:rsidRDefault="008D3AA9">
      <w:pPr>
        <w:pStyle w:val="a3"/>
        <w:rPr>
          <w:sz w:val="20"/>
        </w:rPr>
      </w:pPr>
    </w:p>
    <w:p w:rsidR="008D3AA9" w:rsidRPr="000904BD" w:rsidRDefault="008D3AA9">
      <w:pPr>
        <w:pStyle w:val="a3"/>
        <w:rPr>
          <w:sz w:val="20"/>
        </w:rPr>
      </w:pPr>
    </w:p>
    <w:p w:rsidR="008D3AA9" w:rsidRPr="000904BD" w:rsidRDefault="008D3AA9">
      <w:pPr>
        <w:pStyle w:val="a3"/>
        <w:rPr>
          <w:sz w:val="20"/>
        </w:rPr>
      </w:pPr>
    </w:p>
    <w:p w:rsidR="008D3AA9" w:rsidRPr="000904BD" w:rsidRDefault="008D3AA9">
      <w:pPr>
        <w:pStyle w:val="a3"/>
        <w:rPr>
          <w:sz w:val="20"/>
        </w:rPr>
      </w:pPr>
    </w:p>
    <w:p w:rsidR="008D3AA9" w:rsidRPr="000904BD" w:rsidRDefault="008D3AA9">
      <w:pPr>
        <w:pStyle w:val="a3"/>
        <w:rPr>
          <w:sz w:val="20"/>
        </w:rPr>
      </w:pPr>
    </w:p>
    <w:p w:rsidR="008D3AA9" w:rsidRPr="000904BD" w:rsidRDefault="008D3AA9">
      <w:pPr>
        <w:pStyle w:val="a3"/>
        <w:rPr>
          <w:sz w:val="20"/>
        </w:rPr>
      </w:pPr>
    </w:p>
    <w:p w:rsidR="008D3AA9" w:rsidRPr="000904BD" w:rsidRDefault="008D3AA9">
      <w:pPr>
        <w:pStyle w:val="a3"/>
        <w:rPr>
          <w:sz w:val="20"/>
        </w:rPr>
      </w:pPr>
    </w:p>
    <w:p w:rsidR="008D3AA9" w:rsidRPr="000904BD" w:rsidRDefault="008D3AA9">
      <w:pPr>
        <w:pStyle w:val="a3"/>
        <w:rPr>
          <w:sz w:val="20"/>
        </w:rPr>
      </w:pPr>
    </w:p>
    <w:p w:rsidR="008D3AA9" w:rsidRPr="000904BD" w:rsidRDefault="008D3AA9">
      <w:pPr>
        <w:pStyle w:val="a3"/>
        <w:rPr>
          <w:sz w:val="20"/>
        </w:rPr>
      </w:pPr>
    </w:p>
    <w:p w:rsidR="008D3AA9" w:rsidRPr="000904BD" w:rsidRDefault="008D3AA9">
      <w:pPr>
        <w:pStyle w:val="a3"/>
        <w:rPr>
          <w:sz w:val="20"/>
        </w:rPr>
      </w:pPr>
    </w:p>
    <w:p w:rsidR="008D3AA9" w:rsidRPr="000904BD" w:rsidRDefault="008D3AA9">
      <w:pPr>
        <w:pStyle w:val="a3"/>
        <w:rPr>
          <w:sz w:val="20"/>
        </w:rPr>
      </w:pPr>
    </w:p>
    <w:p w:rsidR="008D3AA9" w:rsidRPr="000904BD" w:rsidRDefault="008D3AA9">
      <w:pPr>
        <w:pStyle w:val="a3"/>
        <w:rPr>
          <w:sz w:val="20"/>
        </w:rPr>
      </w:pPr>
    </w:p>
    <w:p w:rsidR="008D3AA9" w:rsidRPr="000904BD" w:rsidRDefault="008D3AA9">
      <w:pPr>
        <w:pStyle w:val="a3"/>
        <w:spacing w:before="6"/>
        <w:rPr>
          <w:sz w:val="19"/>
        </w:rPr>
      </w:pPr>
    </w:p>
    <w:p w:rsidR="008D3AA9" w:rsidRPr="000904BD" w:rsidRDefault="000904BD">
      <w:pPr>
        <w:pStyle w:val="2"/>
        <w:spacing w:before="90"/>
        <w:rPr>
          <w:b w:val="0"/>
        </w:rPr>
      </w:pPr>
      <w:bookmarkStart w:id="16" w:name="Продолжительность_лечения_после_ТГВ_и_ТЭ"/>
      <w:bookmarkEnd w:id="16"/>
      <w:r w:rsidRPr="000904BD">
        <w:rPr>
          <w:b w:val="0"/>
        </w:rPr>
        <w:t>Продолжительность лечения после ТГВ и ТЭЛА</w:t>
      </w:r>
    </w:p>
    <w:p w:rsidR="008D3AA9" w:rsidRPr="000904BD" w:rsidRDefault="000904BD">
      <w:pPr>
        <w:pStyle w:val="a3"/>
        <w:spacing w:before="223"/>
        <w:ind w:left="479" w:right="861"/>
      </w:pPr>
      <w:r w:rsidRPr="000904BD">
        <w:t>Продолжительность лечения антикоагулянтами должна быть продиктована необходимостью балансирования между риском повторной венозной тромбоэмболии с/без лечения и риском вызванных лечением кровотечений. В шкале RIETE75 вероятность повторных кровотечений у пац</w:t>
      </w:r>
      <w:r w:rsidRPr="000904BD">
        <w:t xml:space="preserve">иентов, получавших лечение антикоагулянтами, находилась на уровне 7,0%. В литературе даны рекомендации по продолжительности лечения указаны в руководстве </w:t>
      </w:r>
      <w:r w:rsidRPr="000904BD">
        <w:rPr>
          <w:spacing w:val="-3"/>
        </w:rPr>
        <w:t xml:space="preserve">АССР </w:t>
      </w:r>
      <w:r w:rsidRPr="000904BD">
        <w:t>(АККФ) 8-го пересмотра (Таблица 5), Kearon с коллегами41 говорят о том, что трехмесячный курс леч</w:t>
      </w:r>
      <w:r w:rsidRPr="000904BD">
        <w:t xml:space="preserve">ения антикоагулянтами был столь же эффективен, как и </w:t>
      </w:r>
      <w:r w:rsidRPr="000904BD">
        <w:rPr>
          <w:spacing w:val="-3"/>
        </w:rPr>
        <w:t xml:space="preserve">курс </w:t>
      </w:r>
      <w:r w:rsidRPr="000904BD">
        <w:t>продолжительностью 6-12 месяцев, и что венозная тромбоэмболия связана с переходными (обратимыми) факторами риска (такими, как операции, травма и.т.д), риск повторения которых мал. Решение об оптимал</w:t>
      </w:r>
      <w:r w:rsidRPr="000904BD">
        <w:t>ьной продолжительности терапии антикоагулянтами может быть принято в индивидуальном порядке на основе клинических показателей, концентрации D-димера после прекращения приема антикоагулянтов либо наличия остаточных тромбов в венах нижних конечностей. Эти ме</w:t>
      </w:r>
      <w:r w:rsidRPr="000904BD">
        <w:t>тоды не получили должного внимания. В настоящее время все пациенты с ТГВ или ТЭЛА должны находиться на лечении не менее 3 месяцев. В случае же переходных или обратимых факторов риска антикоагулянтная терапия может быть</w:t>
      </w:r>
      <w:r w:rsidRPr="000904BD">
        <w:rPr>
          <w:spacing w:val="-6"/>
        </w:rPr>
        <w:t xml:space="preserve"> </w:t>
      </w:r>
      <w:r w:rsidRPr="000904BD">
        <w:t>остановлена.</w:t>
      </w:r>
    </w:p>
    <w:p w:rsidR="008D3AA9" w:rsidRPr="000904BD" w:rsidRDefault="000904BD">
      <w:pPr>
        <w:pStyle w:val="a3"/>
        <w:spacing w:before="2"/>
        <w:ind w:left="479" w:right="845"/>
      </w:pPr>
      <w:r w:rsidRPr="000904BD">
        <w:t>Пациенты, у которых пуск</w:t>
      </w:r>
      <w:r w:rsidRPr="000904BD">
        <w:t>овой фактор выявить невозможно (идиопатическая или неспровоцированная), должны получать лечения в течение такого времени, когда баланс между риском и пользой остаётся положительным, в то время как пациенты с онкологическими заболеваниями и венозной тромбоэ</w:t>
      </w:r>
      <w:r w:rsidRPr="000904BD">
        <w:t xml:space="preserve">мболией получают лечение до тех пор, пока опухоль не будет вылечена или взята под контроль. </w:t>
      </w:r>
      <w:r w:rsidRPr="000904BD">
        <w:t>Таблица 5.</w:t>
      </w:r>
    </w:p>
    <w:p w:rsidR="008D3AA9" w:rsidRPr="000904BD" w:rsidRDefault="000904BD">
      <w:pPr>
        <w:spacing w:before="5" w:after="57" w:line="237" w:lineRule="auto"/>
        <w:ind w:left="479" w:right="1374"/>
        <w:rPr>
          <w:sz w:val="24"/>
        </w:rPr>
      </w:pPr>
      <w:r w:rsidRPr="000904BD">
        <w:rPr>
          <w:sz w:val="24"/>
        </w:rPr>
        <w:t>Рекомендованная продолжительность терапии антикоагулянтами при венозных тромбоэмболиях.</w:t>
      </w:r>
    </w:p>
    <w:tbl>
      <w:tblPr>
        <w:tblStyle w:val="TableNormal"/>
        <w:tblW w:w="0" w:type="auto"/>
        <w:tblInd w:w="335" w:type="dxa"/>
        <w:tblLayout w:type="fixed"/>
        <w:tblLook w:val="01E0" w:firstRow="1" w:lastRow="1" w:firstColumn="1" w:lastColumn="1" w:noHBand="0" w:noVBand="0"/>
      </w:tblPr>
      <w:tblGrid>
        <w:gridCol w:w="3185"/>
        <w:gridCol w:w="3223"/>
        <w:gridCol w:w="2752"/>
      </w:tblGrid>
      <w:tr w:rsidR="008D3AA9" w:rsidRPr="000904BD">
        <w:trPr>
          <w:trHeight w:val="575"/>
        </w:trPr>
        <w:tc>
          <w:tcPr>
            <w:tcW w:w="3185" w:type="dxa"/>
          </w:tcPr>
          <w:p w:rsidR="008D3AA9" w:rsidRPr="000904BD" w:rsidRDefault="008D3AA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223" w:type="dxa"/>
          </w:tcPr>
          <w:p w:rsidR="008D3AA9" w:rsidRPr="000904BD" w:rsidRDefault="000904BD">
            <w:pPr>
              <w:pStyle w:val="TableParagraph"/>
              <w:spacing w:before="0" w:line="237" w:lineRule="auto"/>
              <w:ind w:left="146" w:right="141"/>
              <w:rPr>
                <w:sz w:val="24"/>
              </w:rPr>
            </w:pPr>
            <w:r w:rsidRPr="000904BD">
              <w:rPr>
                <w:sz w:val="24"/>
              </w:rPr>
              <w:t>Рекомендованная продолжительность лечения</w:t>
            </w:r>
          </w:p>
        </w:tc>
        <w:tc>
          <w:tcPr>
            <w:tcW w:w="2752" w:type="dxa"/>
          </w:tcPr>
          <w:p w:rsidR="008D3AA9" w:rsidRPr="000904BD" w:rsidRDefault="000904BD">
            <w:pPr>
              <w:pStyle w:val="TableParagraph"/>
              <w:spacing w:before="124"/>
              <w:ind w:left="159"/>
              <w:rPr>
                <w:sz w:val="24"/>
              </w:rPr>
            </w:pPr>
            <w:r w:rsidRPr="000904BD">
              <w:rPr>
                <w:sz w:val="24"/>
              </w:rPr>
              <w:t>Уровень рекомендаций</w:t>
            </w:r>
          </w:p>
        </w:tc>
      </w:tr>
      <w:tr w:rsidR="008D3AA9" w:rsidRPr="000904BD">
        <w:trPr>
          <w:trHeight w:val="579"/>
        </w:trPr>
        <w:tc>
          <w:tcPr>
            <w:tcW w:w="3185" w:type="dxa"/>
          </w:tcPr>
          <w:p w:rsidR="008D3AA9" w:rsidRPr="000904BD" w:rsidRDefault="000904BD">
            <w:pPr>
              <w:pStyle w:val="TableParagraph"/>
              <w:spacing w:before="21" w:line="280" w:lineRule="atLeast"/>
              <w:ind w:right="127"/>
              <w:rPr>
                <w:sz w:val="24"/>
              </w:rPr>
            </w:pPr>
            <w:r w:rsidRPr="000904BD">
              <w:rPr>
                <w:sz w:val="24"/>
              </w:rPr>
              <w:t>Первый случай ТЭЛА или ТГВ с обратимой причиной</w:t>
            </w:r>
          </w:p>
        </w:tc>
        <w:tc>
          <w:tcPr>
            <w:tcW w:w="3223" w:type="dxa"/>
          </w:tcPr>
          <w:p w:rsidR="008D3AA9" w:rsidRPr="000904BD" w:rsidRDefault="000904BD">
            <w:pPr>
              <w:pStyle w:val="TableParagraph"/>
              <w:spacing w:before="164"/>
              <w:ind w:left="146"/>
              <w:rPr>
                <w:sz w:val="24"/>
              </w:rPr>
            </w:pPr>
            <w:r w:rsidRPr="000904BD">
              <w:rPr>
                <w:sz w:val="24"/>
              </w:rPr>
              <w:t>3 месяца</w:t>
            </w:r>
          </w:p>
        </w:tc>
        <w:tc>
          <w:tcPr>
            <w:tcW w:w="2752" w:type="dxa"/>
          </w:tcPr>
          <w:p w:rsidR="008D3AA9" w:rsidRPr="000904BD" w:rsidRDefault="000904BD">
            <w:pPr>
              <w:pStyle w:val="TableParagraph"/>
              <w:spacing w:before="164"/>
              <w:ind w:left="159"/>
              <w:rPr>
                <w:sz w:val="24"/>
              </w:rPr>
            </w:pPr>
            <w:r w:rsidRPr="000904BD">
              <w:rPr>
                <w:sz w:val="24"/>
              </w:rPr>
              <w:t>1А</w:t>
            </w:r>
          </w:p>
        </w:tc>
      </w:tr>
    </w:tbl>
    <w:p w:rsidR="008D3AA9" w:rsidRPr="000904BD" w:rsidRDefault="008D3AA9">
      <w:pPr>
        <w:rPr>
          <w:sz w:val="24"/>
        </w:rPr>
        <w:sectPr w:rsidR="008D3AA9" w:rsidRPr="000904BD">
          <w:pgSz w:w="11910" w:h="16840"/>
          <w:pgMar w:top="1140" w:right="0" w:bottom="280" w:left="1220" w:header="720" w:footer="720" w:gutter="0"/>
          <w:cols w:space="720"/>
        </w:sectPr>
      </w:pPr>
    </w:p>
    <w:tbl>
      <w:tblPr>
        <w:tblStyle w:val="TableNormal"/>
        <w:tblW w:w="0" w:type="auto"/>
        <w:tblInd w:w="335" w:type="dxa"/>
        <w:tblLayout w:type="fixed"/>
        <w:tblLook w:val="01E0" w:firstRow="1" w:lastRow="1" w:firstColumn="1" w:lastColumn="1" w:noHBand="0" w:noVBand="0"/>
      </w:tblPr>
      <w:tblGrid>
        <w:gridCol w:w="3178"/>
        <w:gridCol w:w="3333"/>
        <w:gridCol w:w="2998"/>
      </w:tblGrid>
      <w:tr w:rsidR="008D3AA9" w:rsidRPr="000904BD">
        <w:trPr>
          <w:trHeight w:val="852"/>
        </w:trPr>
        <w:tc>
          <w:tcPr>
            <w:tcW w:w="3178" w:type="dxa"/>
          </w:tcPr>
          <w:p w:rsidR="008D3AA9" w:rsidRPr="000904BD" w:rsidRDefault="000904BD">
            <w:pPr>
              <w:pStyle w:val="TableParagraph"/>
              <w:spacing w:before="0"/>
              <w:rPr>
                <w:sz w:val="24"/>
              </w:rPr>
            </w:pPr>
            <w:r w:rsidRPr="000904BD">
              <w:rPr>
                <w:sz w:val="24"/>
              </w:rPr>
              <w:lastRenderedPageBreak/>
              <w:t>Первый случай ТЭЛА или ТГВ с невыясненной этиологией</w:t>
            </w:r>
          </w:p>
        </w:tc>
        <w:tc>
          <w:tcPr>
            <w:tcW w:w="3333" w:type="dxa"/>
          </w:tcPr>
          <w:p w:rsidR="008D3AA9" w:rsidRPr="000904BD" w:rsidRDefault="008D3AA9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8D3AA9" w:rsidRPr="000904BD" w:rsidRDefault="000904BD">
            <w:pPr>
              <w:pStyle w:val="TableParagraph"/>
              <w:spacing w:before="0"/>
              <w:ind w:left="153"/>
              <w:rPr>
                <w:sz w:val="24"/>
              </w:rPr>
            </w:pPr>
            <w:r w:rsidRPr="000904BD">
              <w:rPr>
                <w:sz w:val="24"/>
              </w:rPr>
              <w:t>Не менее 3 месяцев</w:t>
            </w:r>
          </w:p>
        </w:tc>
        <w:tc>
          <w:tcPr>
            <w:tcW w:w="2998" w:type="dxa"/>
          </w:tcPr>
          <w:p w:rsidR="008D3AA9" w:rsidRPr="000904BD" w:rsidRDefault="008D3AA9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8D3AA9" w:rsidRPr="000904BD" w:rsidRDefault="000904BD">
            <w:pPr>
              <w:pStyle w:val="TableParagraph"/>
              <w:spacing w:before="0"/>
              <w:ind w:left="56"/>
              <w:rPr>
                <w:sz w:val="24"/>
              </w:rPr>
            </w:pPr>
            <w:r w:rsidRPr="000904BD">
              <w:rPr>
                <w:sz w:val="24"/>
              </w:rPr>
              <w:t>1А</w:t>
            </w:r>
          </w:p>
        </w:tc>
      </w:tr>
      <w:tr w:rsidR="008D3AA9" w:rsidRPr="000904BD">
        <w:trPr>
          <w:trHeight w:val="615"/>
        </w:trPr>
        <w:tc>
          <w:tcPr>
            <w:tcW w:w="3178" w:type="dxa"/>
          </w:tcPr>
          <w:p w:rsidR="008D3AA9" w:rsidRPr="000904BD" w:rsidRDefault="000904BD">
            <w:pPr>
              <w:pStyle w:val="TableParagraph"/>
              <w:spacing w:line="242" w:lineRule="auto"/>
              <w:ind w:right="635"/>
              <w:rPr>
                <w:sz w:val="24"/>
              </w:rPr>
            </w:pPr>
            <w:r w:rsidRPr="000904BD">
              <w:rPr>
                <w:sz w:val="24"/>
              </w:rPr>
              <w:t>В конце 3-х месячного периода</w:t>
            </w:r>
          </w:p>
        </w:tc>
        <w:tc>
          <w:tcPr>
            <w:tcW w:w="3333" w:type="dxa"/>
          </w:tcPr>
          <w:p w:rsidR="008D3AA9" w:rsidRPr="000904BD" w:rsidRDefault="000904BD">
            <w:pPr>
              <w:pStyle w:val="TableParagraph"/>
              <w:spacing w:line="242" w:lineRule="auto"/>
              <w:ind w:left="153" w:right="413"/>
              <w:rPr>
                <w:sz w:val="24"/>
              </w:rPr>
            </w:pPr>
            <w:r w:rsidRPr="000904BD">
              <w:rPr>
                <w:sz w:val="24"/>
              </w:rPr>
              <w:t>Оценка для долгосрочного лечения</w:t>
            </w:r>
          </w:p>
        </w:tc>
        <w:tc>
          <w:tcPr>
            <w:tcW w:w="2998" w:type="dxa"/>
          </w:tcPr>
          <w:p w:rsidR="008D3AA9" w:rsidRPr="000904BD" w:rsidRDefault="000904BD">
            <w:pPr>
              <w:pStyle w:val="TableParagraph"/>
              <w:spacing w:before="164"/>
              <w:ind w:left="56"/>
              <w:rPr>
                <w:sz w:val="24"/>
              </w:rPr>
            </w:pPr>
            <w:r w:rsidRPr="000904BD">
              <w:rPr>
                <w:sz w:val="24"/>
              </w:rPr>
              <w:t>1С</w:t>
            </w:r>
          </w:p>
        </w:tc>
      </w:tr>
      <w:tr w:rsidR="008D3AA9" w:rsidRPr="000904BD">
        <w:trPr>
          <w:trHeight w:val="609"/>
        </w:trPr>
        <w:tc>
          <w:tcPr>
            <w:tcW w:w="3178" w:type="dxa"/>
          </w:tcPr>
          <w:p w:rsidR="008D3AA9" w:rsidRPr="000904BD" w:rsidRDefault="000904BD">
            <w:pPr>
              <w:pStyle w:val="TableParagraph"/>
              <w:spacing w:before="27" w:line="237" w:lineRule="auto"/>
              <w:ind w:right="1064"/>
              <w:rPr>
                <w:sz w:val="24"/>
              </w:rPr>
            </w:pPr>
            <w:r w:rsidRPr="000904BD">
              <w:rPr>
                <w:sz w:val="24"/>
              </w:rPr>
              <w:t>При отсутствии противопоказаний</w:t>
            </w:r>
          </w:p>
        </w:tc>
        <w:tc>
          <w:tcPr>
            <w:tcW w:w="3333" w:type="dxa"/>
          </w:tcPr>
          <w:p w:rsidR="008D3AA9" w:rsidRPr="000904BD" w:rsidRDefault="000904BD">
            <w:pPr>
              <w:pStyle w:val="TableParagraph"/>
              <w:spacing w:before="164"/>
              <w:ind w:left="153"/>
              <w:rPr>
                <w:sz w:val="24"/>
              </w:rPr>
            </w:pPr>
            <w:r w:rsidRPr="000904BD">
              <w:rPr>
                <w:sz w:val="24"/>
              </w:rPr>
              <w:t>Длительное лечение</w:t>
            </w:r>
          </w:p>
        </w:tc>
        <w:tc>
          <w:tcPr>
            <w:tcW w:w="2998" w:type="dxa"/>
          </w:tcPr>
          <w:p w:rsidR="008D3AA9" w:rsidRPr="000904BD" w:rsidRDefault="000904BD">
            <w:pPr>
              <w:pStyle w:val="TableParagraph"/>
              <w:spacing w:before="164"/>
              <w:ind w:left="56"/>
              <w:rPr>
                <w:sz w:val="24"/>
              </w:rPr>
            </w:pPr>
            <w:r w:rsidRPr="000904BD">
              <w:rPr>
                <w:sz w:val="24"/>
              </w:rPr>
              <w:t>1А</w:t>
            </w:r>
          </w:p>
        </w:tc>
      </w:tr>
      <w:tr w:rsidR="008D3AA9" w:rsidRPr="000904BD">
        <w:trPr>
          <w:trHeight w:val="335"/>
        </w:trPr>
        <w:tc>
          <w:tcPr>
            <w:tcW w:w="3178" w:type="dxa"/>
          </w:tcPr>
          <w:p w:rsidR="008D3AA9" w:rsidRPr="000904BD" w:rsidRDefault="000904BD">
            <w:pPr>
              <w:pStyle w:val="TableParagraph"/>
              <w:rPr>
                <w:sz w:val="24"/>
              </w:rPr>
            </w:pPr>
            <w:r w:rsidRPr="000904BD">
              <w:rPr>
                <w:sz w:val="24"/>
              </w:rPr>
              <w:t>При длительной терапии</w:t>
            </w:r>
          </w:p>
        </w:tc>
        <w:tc>
          <w:tcPr>
            <w:tcW w:w="3333" w:type="dxa"/>
          </w:tcPr>
          <w:p w:rsidR="008D3AA9" w:rsidRPr="000904BD" w:rsidRDefault="000904BD">
            <w:pPr>
              <w:pStyle w:val="TableParagraph"/>
              <w:ind w:left="153"/>
              <w:rPr>
                <w:sz w:val="24"/>
              </w:rPr>
            </w:pPr>
            <w:r w:rsidRPr="000904BD">
              <w:rPr>
                <w:sz w:val="24"/>
              </w:rPr>
              <w:t>Периодическая оценка рисков</w:t>
            </w:r>
          </w:p>
        </w:tc>
        <w:tc>
          <w:tcPr>
            <w:tcW w:w="2998" w:type="dxa"/>
          </w:tcPr>
          <w:p w:rsidR="008D3AA9" w:rsidRPr="000904BD" w:rsidRDefault="000904BD">
            <w:pPr>
              <w:pStyle w:val="TableParagraph"/>
              <w:ind w:left="56"/>
              <w:rPr>
                <w:sz w:val="24"/>
              </w:rPr>
            </w:pPr>
            <w:r w:rsidRPr="000904BD">
              <w:rPr>
                <w:sz w:val="24"/>
              </w:rPr>
              <w:t>1С</w:t>
            </w:r>
          </w:p>
        </w:tc>
      </w:tr>
      <w:tr w:rsidR="008D3AA9" w:rsidRPr="000904BD">
        <w:trPr>
          <w:trHeight w:val="888"/>
        </w:trPr>
        <w:tc>
          <w:tcPr>
            <w:tcW w:w="3178" w:type="dxa"/>
          </w:tcPr>
          <w:p w:rsidR="008D3AA9" w:rsidRPr="000904BD" w:rsidRDefault="000904BD">
            <w:pPr>
              <w:pStyle w:val="TableParagraph"/>
              <w:ind w:right="145"/>
              <w:rPr>
                <w:sz w:val="24"/>
              </w:rPr>
            </w:pPr>
            <w:r w:rsidRPr="000904BD">
              <w:rPr>
                <w:sz w:val="24"/>
              </w:rPr>
              <w:t>Повторный ТГВ или ТЭЛА или выраженная тромбофилия</w:t>
            </w:r>
          </w:p>
        </w:tc>
        <w:tc>
          <w:tcPr>
            <w:tcW w:w="3333" w:type="dxa"/>
          </w:tcPr>
          <w:p w:rsidR="008D3AA9" w:rsidRPr="000904BD" w:rsidRDefault="008D3AA9">
            <w:pPr>
              <w:pStyle w:val="TableParagraph"/>
              <w:spacing w:before="4"/>
              <w:ind w:left="0"/>
              <w:rPr>
                <w:sz w:val="26"/>
              </w:rPr>
            </w:pPr>
          </w:p>
          <w:p w:rsidR="008D3AA9" w:rsidRPr="000904BD" w:rsidRDefault="000904BD">
            <w:pPr>
              <w:pStyle w:val="TableParagraph"/>
              <w:spacing w:before="0"/>
              <w:ind w:left="153"/>
              <w:rPr>
                <w:sz w:val="24"/>
              </w:rPr>
            </w:pPr>
            <w:r w:rsidRPr="000904BD">
              <w:rPr>
                <w:sz w:val="24"/>
              </w:rPr>
              <w:t>Длительное лечение</w:t>
            </w:r>
          </w:p>
        </w:tc>
        <w:tc>
          <w:tcPr>
            <w:tcW w:w="2998" w:type="dxa"/>
          </w:tcPr>
          <w:p w:rsidR="008D3AA9" w:rsidRPr="000904BD" w:rsidRDefault="008D3AA9">
            <w:pPr>
              <w:pStyle w:val="TableParagraph"/>
              <w:spacing w:before="4"/>
              <w:ind w:left="0"/>
              <w:rPr>
                <w:sz w:val="26"/>
              </w:rPr>
            </w:pPr>
          </w:p>
          <w:p w:rsidR="008D3AA9" w:rsidRPr="000904BD" w:rsidRDefault="000904BD">
            <w:pPr>
              <w:pStyle w:val="TableParagraph"/>
              <w:spacing w:before="0"/>
              <w:ind w:left="56"/>
              <w:rPr>
                <w:sz w:val="24"/>
              </w:rPr>
            </w:pPr>
            <w:r w:rsidRPr="000904BD">
              <w:rPr>
                <w:sz w:val="24"/>
              </w:rPr>
              <w:t>1А</w:t>
            </w:r>
          </w:p>
        </w:tc>
      </w:tr>
      <w:tr w:rsidR="008D3AA9" w:rsidRPr="000904BD">
        <w:trPr>
          <w:trHeight w:val="1992"/>
        </w:trPr>
        <w:tc>
          <w:tcPr>
            <w:tcW w:w="3178" w:type="dxa"/>
          </w:tcPr>
          <w:p w:rsidR="008D3AA9" w:rsidRPr="000904BD" w:rsidRDefault="008D3AA9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:rsidR="008D3AA9" w:rsidRPr="000904BD" w:rsidRDefault="008D3AA9">
            <w:pPr>
              <w:pStyle w:val="TableParagraph"/>
              <w:spacing w:before="3"/>
              <w:ind w:left="0"/>
              <w:rPr>
                <w:sz w:val="36"/>
              </w:rPr>
            </w:pPr>
          </w:p>
          <w:p w:rsidR="008D3AA9" w:rsidRPr="000904BD" w:rsidRDefault="000904BD">
            <w:pPr>
              <w:pStyle w:val="TableParagraph"/>
              <w:spacing w:before="0" w:line="242" w:lineRule="auto"/>
              <w:ind w:right="135"/>
              <w:rPr>
                <w:sz w:val="24"/>
              </w:rPr>
            </w:pPr>
            <w:r w:rsidRPr="000904BD">
              <w:rPr>
                <w:sz w:val="24"/>
              </w:rPr>
              <w:t>Вторичный ТГВ/ТЭЛА при злокачественных опухолях</w:t>
            </w:r>
          </w:p>
        </w:tc>
        <w:tc>
          <w:tcPr>
            <w:tcW w:w="3333" w:type="dxa"/>
          </w:tcPr>
          <w:p w:rsidR="008D3AA9" w:rsidRPr="000904BD" w:rsidRDefault="000904BD">
            <w:pPr>
              <w:pStyle w:val="TableParagraph"/>
              <w:ind w:left="153" w:right="36"/>
              <w:rPr>
                <w:sz w:val="24"/>
              </w:rPr>
            </w:pPr>
            <w:r w:rsidRPr="000904BD">
              <w:rPr>
                <w:sz w:val="24"/>
              </w:rPr>
              <w:t>Длительное лечение с использованием низкомолекулярного гепарина в течение первых 3-6 месяцев, после этого антикоагулянтная терапия до ликвидации опухоли.</w:t>
            </w:r>
          </w:p>
        </w:tc>
        <w:tc>
          <w:tcPr>
            <w:tcW w:w="2998" w:type="dxa"/>
          </w:tcPr>
          <w:p w:rsidR="008D3AA9" w:rsidRPr="000904BD" w:rsidRDefault="008D3AA9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:rsidR="008D3AA9" w:rsidRPr="000904BD" w:rsidRDefault="008D3AA9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:rsidR="008D3AA9" w:rsidRPr="000904BD" w:rsidRDefault="008D3AA9">
            <w:pPr>
              <w:pStyle w:val="TableParagraph"/>
              <w:spacing w:before="4"/>
              <w:ind w:left="0"/>
            </w:pPr>
          </w:p>
          <w:p w:rsidR="008D3AA9" w:rsidRPr="000904BD" w:rsidRDefault="000904BD">
            <w:pPr>
              <w:pStyle w:val="TableParagraph"/>
              <w:spacing w:before="0"/>
              <w:ind w:left="56"/>
              <w:rPr>
                <w:sz w:val="24"/>
              </w:rPr>
            </w:pPr>
            <w:r w:rsidRPr="000904BD">
              <w:rPr>
                <w:sz w:val="24"/>
              </w:rPr>
              <w:t>1А1С</w:t>
            </w:r>
          </w:p>
        </w:tc>
      </w:tr>
      <w:tr w:rsidR="008D3AA9" w:rsidRPr="000904BD">
        <w:trPr>
          <w:trHeight w:val="1957"/>
        </w:trPr>
        <w:tc>
          <w:tcPr>
            <w:tcW w:w="9509" w:type="dxa"/>
            <w:gridSpan w:val="3"/>
          </w:tcPr>
          <w:p w:rsidR="008D3AA9" w:rsidRPr="000904BD" w:rsidRDefault="000904BD">
            <w:pPr>
              <w:pStyle w:val="TableParagraph"/>
              <w:ind w:right="47"/>
              <w:rPr>
                <w:sz w:val="24"/>
              </w:rPr>
            </w:pPr>
            <w:r w:rsidRPr="000904BD">
              <w:rPr>
                <w:sz w:val="24"/>
              </w:rPr>
              <w:t>Согласно восьмому пересмотру рекомендация Американской ассоциации специалистов по заболевания</w:t>
            </w:r>
            <w:r w:rsidRPr="000904BD">
              <w:rPr>
                <w:sz w:val="24"/>
              </w:rPr>
              <w:t>м органов грудной полости (CHEST).Уровень 1 относится к ситуациям, когда желательные эффекты перевешивают нежелательные. А и С – качество метода получения доказательств. А=доказано в нескольких рандомизированных исследованиях. С=доказано в испытания по кра</w:t>
            </w:r>
            <w:r w:rsidRPr="000904BD">
              <w:rPr>
                <w:sz w:val="24"/>
              </w:rPr>
              <w:t>йней мере с одним клиническим исходом, либо в</w:t>
            </w:r>
          </w:p>
          <w:p w:rsidR="008D3AA9" w:rsidRPr="000904BD" w:rsidRDefault="000904BD">
            <w:pPr>
              <w:pStyle w:val="TableParagraph"/>
              <w:spacing w:before="7" w:line="274" w:lineRule="exact"/>
              <w:ind w:right="1309"/>
              <w:rPr>
                <w:sz w:val="24"/>
              </w:rPr>
            </w:pPr>
            <w:r w:rsidRPr="000904BD">
              <w:rPr>
                <w:sz w:val="24"/>
              </w:rPr>
              <w:t>нескольких испытаниях с недостатками.ТГВ – тромбоз глубоких вен. ТЭЛА - тромбоэмболия легочной артерии</w:t>
            </w:r>
          </w:p>
        </w:tc>
      </w:tr>
    </w:tbl>
    <w:p w:rsidR="008D3AA9" w:rsidRPr="000904BD" w:rsidRDefault="008D3AA9">
      <w:pPr>
        <w:pStyle w:val="a3"/>
        <w:rPr>
          <w:sz w:val="20"/>
        </w:rPr>
      </w:pPr>
    </w:p>
    <w:p w:rsidR="008D3AA9" w:rsidRPr="000904BD" w:rsidRDefault="008D3AA9">
      <w:pPr>
        <w:pStyle w:val="a3"/>
        <w:rPr>
          <w:sz w:val="20"/>
        </w:rPr>
      </w:pPr>
    </w:p>
    <w:p w:rsidR="008D3AA9" w:rsidRPr="000904BD" w:rsidRDefault="008D3AA9">
      <w:pPr>
        <w:pStyle w:val="a3"/>
        <w:spacing w:before="7"/>
        <w:rPr>
          <w:sz w:val="21"/>
        </w:rPr>
      </w:pPr>
    </w:p>
    <w:p w:rsidR="008D3AA9" w:rsidRPr="000904BD" w:rsidRDefault="000904BD">
      <w:pPr>
        <w:pStyle w:val="2"/>
        <w:spacing w:before="1"/>
        <w:rPr>
          <w:b w:val="0"/>
        </w:rPr>
      </w:pPr>
      <w:bookmarkStart w:id="17" w:name="Достижения_в_лечении_антикоагулянтами"/>
      <w:bookmarkEnd w:id="17"/>
      <w:r w:rsidRPr="000904BD">
        <w:rPr>
          <w:b w:val="0"/>
        </w:rPr>
        <w:t>Достижения в лечении антикоагулянтами</w:t>
      </w:r>
    </w:p>
    <w:p w:rsidR="008D3AA9" w:rsidRPr="000904BD" w:rsidRDefault="000904BD">
      <w:pPr>
        <w:pStyle w:val="a3"/>
        <w:spacing w:before="218"/>
        <w:ind w:left="479" w:right="851"/>
      </w:pPr>
      <w:r w:rsidRPr="000904BD">
        <w:t>В разработке находятся несколько препаратов пероральных антикоагулянтов.80 Это прямые (антитромбин-независимые) ингибиторы фактора Ха (например, ривароксабан, апиксабан) или тромбина (дабигатран), лишенные большей части недостатков гепарина и способны заме</w:t>
      </w:r>
      <w:r w:rsidRPr="000904BD">
        <w:t>нить антагонисты витамина К или гепарин у многих пациентов. Эти препараты принимаются в фиксированных дозах, не требуют постоянного лабораторного контроля коагуляции и мало взаимодействуют с иными препаратами и продуктами питания. В рандомизированном, двой</w:t>
      </w:r>
      <w:r w:rsidRPr="000904BD">
        <w:t>ном контрольном исследовании RECOVER60, в котором участвовали пациенты с острой венозной тромбоэмболией, которые вначале получали лечение парентеральными антикоагулянтами в среднем в течении 9 дней (IQR 8-</w:t>
      </w:r>
    </w:p>
    <w:p w:rsidR="008D3AA9" w:rsidRPr="000904BD" w:rsidRDefault="000904BD">
      <w:pPr>
        <w:pStyle w:val="a3"/>
        <w:spacing w:before="3"/>
        <w:ind w:left="479" w:right="888"/>
      </w:pPr>
      <w:r w:rsidRPr="000904BD">
        <w:t>11) и перорально дабигатрана этексилат 150 мг дваж</w:t>
      </w:r>
      <w:r w:rsidRPr="000904BD">
        <w:t>ды в день без мониторинга. В результате данный препарат оказался не хуже варфарина, связанного в низкомолекулярным гепарином (целевое МНО – 2.0 – 3.0) с аналогичным профилем безопасности81. В многоцентровых рандомизированных исследованиях EINSTEIN-DVT и EI</w:t>
      </w:r>
      <w:r w:rsidRPr="000904BD">
        <w:t>NSTEIN-EXTENSION61, ривароксабан (15 мг дважды в день в течение 3 недель, в последующем 20 мг один раз в день без мониторинга) проявил себя не хуже антагонистов витамина К, связанных с низкомолекулярным гепарином с одинаковым профилем безопасности. Для вто</w:t>
      </w:r>
      <w:r w:rsidRPr="000904BD">
        <w:t>ричной долговременной профилактики ривароксабан (20 мг один раз в день) был лучше плацебо на 82% (HR 0,18, 95% CI 0,09–0,39; p&lt;0,001) относительно снижая риск повторной тромбоэмболии и не увеличивая риск геморрагических осложнений. Тем не менее, вероятност</w:t>
      </w:r>
      <w:r w:rsidRPr="000904BD">
        <w:t>ь клинически значимых не крупных кровотечений достоверно различалась в обеих группах (в группе плацебо – 1,2%, в группе</w:t>
      </w:r>
    </w:p>
    <w:p w:rsidR="008D3AA9" w:rsidRPr="000904BD" w:rsidRDefault="008D3AA9">
      <w:pPr>
        <w:sectPr w:rsidR="008D3AA9" w:rsidRPr="000904BD">
          <w:pgSz w:w="11910" w:h="16840"/>
          <w:pgMar w:top="1140" w:right="0" w:bottom="280" w:left="1220" w:header="720" w:footer="720" w:gutter="0"/>
          <w:cols w:space="720"/>
        </w:sectPr>
      </w:pPr>
    </w:p>
    <w:p w:rsidR="008D3AA9" w:rsidRPr="000904BD" w:rsidRDefault="000904BD">
      <w:pPr>
        <w:pStyle w:val="a3"/>
        <w:spacing w:before="66" w:line="242" w:lineRule="auto"/>
        <w:ind w:left="479" w:right="1062"/>
      </w:pPr>
      <w:r w:rsidRPr="000904BD">
        <w:lastRenderedPageBreak/>
        <w:t>ривароксабана – 5,4%). Рисунок 3 показывает потенциал новых препаратов в влиянии на лечение острых венозных тромбоэмболий.</w:t>
      </w:r>
    </w:p>
    <w:p w:rsidR="008D3AA9" w:rsidRPr="000904BD" w:rsidRDefault="008D3AA9">
      <w:pPr>
        <w:pStyle w:val="a3"/>
        <w:spacing w:before="8"/>
        <w:rPr>
          <w:sz w:val="32"/>
        </w:rPr>
      </w:pPr>
    </w:p>
    <w:p w:rsidR="008D3AA9" w:rsidRPr="000904BD" w:rsidRDefault="000904BD">
      <w:pPr>
        <w:pStyle w:val="1"/>
        <w:rPr>
          <w:b w:val="0"/>
        </w:rPr>
      </w:pPr>
      <w:bookmarkStart w:id="18" w:name="Профилактика"/>
      <w:bookmarkEnd w:id="18"/>
      <w:r w:rsidRPr="000904BD">
        <w:rPr>
          <w:b w:val="0"/>
        </w:rPr>
        <w:t>Профилактика</w:t>
      </w:r>
    </w:p>
    <w:p w:rsidR="008D3AA9" w:rsidRPr="000904BD" w:rsidRDefault="000904BD">
      <w:pPr>
        <w:spacing w:before="220" w:line="242" w:lineRule="auto"/>
        <w:ind w:left="479" w:right="1257"/>
        <w:rPr>
          <w:sz w:val="24"/>
        </w:rPr>
      </w:pPr>
      <w:r w:rsidRPr="000904BD">
        <w:rPr>
          <w:sz w:val="24"/>
        </w:rPr>
        <w:t xml:space="preserve">Клинические испытания показали эффективность и безопасность фармакорлогической профилактики с использованием низких доз антикоагулянтов (Вставка 2). </w:t>
      </w:r>
      <w:r w:rsidRPr="000904BD">
        <w:rPr>
          <w:sz w:val="24"/>
        </w:rPr>
        <w:t>Вставка 2. Фармакологическая профилактика венозных тромбоэмболий.</w:t>
      </w:r>
    </w:p>
    <w:p w:rsidR="008D3AA9" w:rsidRPr="000904BD" w:rsidRDefault="000904BD">
      <w:pPr>
        <w:pStyle w:val="a4"/>
        <w:numPr>
          <w:ilvl w:val="0"/>
          <w:numId w:val="1"/>
        </w:numPr>
        <w:tabs>
          <w:tab w:val="left" w:pos="479"/>
          <w:tab w:val="left" w:pos="480"/>
        </w:tabs>
        <w:spacing w:line="269" w:lineRule="exact"/>
        <w:ind w:hanging="361"/>
        <w:rPr>
          <w:sz w:val="24"/>
        </w:rPr>
      </w:pPr>
      <w:r w:rsidRPr="000904BD">
        <w:rPr>
          <w:sz w:val="24"/>
        </w:rPr>
        <w:t>Нефракционированный гепарин в низких дозах 2-3 раза в</w:t>
      </w:r>
      <w:r w:rsidRPr="000904BD">
        <w:rPr>
          <w:spacing w:val="-5"/>
          <w:sz w:val="24"/>
        </w:rPr>
        <w:t xml:space="preserve"> </w:t>
      </w:r>
      <w:r w:rsidRPr="000904BD">
        <w:rPr>
          <w:sz w:val="24"/>
        </w:rPr>
        <w:t>день.</w:t>
      </w:r>
    </w:p>
    <w:p w:rsidR="008D3AA9" w:rsidRPr="000904BD" w:rsidRDefault="000904BD">
      <w:pPr>
        <w:pStyle w:val="a4"/>
        <w:numPr>
          <w:ilvl w:val="0"/>
          <w:numId w:val="1"/>
        </w:numPr>
        <w:tabs>
          <w:tab w:val="left" w:pos="479"/>
          <w:tab w:val="left" w:pos="480"/>
        </w:tabs>
        <w:ind w:hanging="361"/>
        <w:rPr>
          <w:sz w:val="24"/>
        </w:rPr>
      </w:pPr>
      <w:r w:rsidRPr="000904BD">
        <w:rPr>
          <w:sz w:val="24"/>
        </w:rPr>
        <w:t>Низкомолекулярный</w:t>
      </w:r>
      <w:r w:rsidRPr="000904BD">
        <w:rPr>
          <w:spacing w:val="2"/>
          <w:sz w:val="24"/>
        </w:rPr>
        <w:t xml:space="preserve"> </w:t>
      </w:r>
      <w:r w:rsidRPr="000904BD">
        <w:rPr>
          <w:sz w:val="24"/>
        </w:rPr>
        <w:t>гепарин.</w:t>
      </w:r>
    </w:p>
    <w:p w:rsidR="008D3AA9" w:rsidRPr="000904BD" w:rsidRDefault="000904BD">
      <w:pPr>
        <w:pStyle w:val="a4"/>
        <w:numPr>
          <w:ilvl w:val="0"/>
          <w:numId w:val="1"/>
        </w:numPr>
        <w:tabs>
          <w:tab w:val="left" w:pos="479"/>
          <w:tab w:val="left" w:pos="480"/>
        </w:tabs>
        <w:spacing w:before="3" w:line="240" w:lineRule="auto"/>
        <w:ind w:right="1003"/>
        <w:rPr>
          <w:sz w:val="24"/>
        </w:rPr>
      </w:pPr>
      <w:r w:rsidRPr="000904BD">
        <w:rPr>
          <w:sz w:val="24"/>
        </w:rPr>
        <w:t>Фондапаринукс 2,5 мг/день в случае ортопедических или обширных хирургических операций, в некоторых странах – в случае острых заболеваний (также часто</w:t>
      </w:r>
      <w:r w:rsidRPr="000904BD">
        <w:rPr>
          <w:spacing w:val="-36"/>
          <w:sz w:val="24"/>
        </w:rPr>
        <w:t xml:space="preserve"> </w:t>
      </w:r>
      <w:r w:rsidRPr="000904BD">
        <w:rPr>
          <w:sz w:val="24"/>
        </w:rPr>
        <w:t>используется в случ</w:t>
      </w:r>
      <w:r w:rsidRPr="000904BD">
        <w:rPr>
          <w:sz w:val="24"/>
        </w:rPr>
        <w:t>ае гепарин-индуцированных</w:t>
      </w:r>
      <w:r w:rsidRPr="000904BD">
        <w:rPr>
          <w:spacing w:val="-1"/>
          <w:sz w:val="24"/>
        </w:rPr>
        <w:t xml:space="preserve"> </w:t>
      </w:r>
      <w:r w:rsidRPr="000904BD">
        <w:rPr>
          <w:sz w:val="24"/>
        </w:rPr>
        <w:t>тромбоцитопений)</w:t>
      </w:r>
    </w:p>
    <w:p w:rsidR="008D3AA9" w:rsidRPr="000904BD" w:rsidRDefault="000904BD">
      <w:pPr>
        <w:pStyle w:val="2"/>
        <w:spacing w:before="3" w:line="275" w:lineRule="exact"/>
        <w:rPr>
          <w:b w:val="0"/>
        </w:rPr>
      </w:pPr>
      <w:r w:rsidRPr="000904BD">
        <w:rPr>
          <w:b w:val="0"/>
        </w:rPr>
        <w:t>Только в ортопедии и травматологии:</w:t>
      </w:r>
    </w:p>
    <w:p w:rsidR="008D3AA9" w:rsidRPr="000904BD" w:rsidRDefault="000904BD">
      <w:pPr>
        <w:pStyle w:val="a4"/>
        <w:numPr>
          <w:ilvl w:val="0"/>
          <w:numId w:val="1"/>
        </w:numPr>
        <w:tabs>
          <w:tab w:val="left" w:pos="479"/>
          <w:tab w:val="left" w:pos="480"/>
        </w:tabs>
        <w:spacing w:line="274" w:lineRule="exact"/>
        <w:ind w:hanging="361"/>
        <w:rPr>
          <w:sz w:val="24"/>
        </w:rPr>
      </w:pPr>
      <w:r w:rsidRPr="000904BD">
        <w:rPr>
          <w:sz w:val="24"/>
        </w:rPr>
        <w:t>Дабигатран</w:t>
      </w:r>
    </w:p>
    <w:p w:rsidR="008D3AA9" w:rsidRPr="000904BD" w:rsidRDefault="000904BD">
      <w:pPr>
        <w:pStyle w:val="a4"/>
        <w:numPr>
          <w:ilvl w:val="0"/>
          <w:numId w:val="1"/>
        </w:numPr>
        <w:tabs>
          <w:tab w:val="left" w:pos="479"/>
          <w:tab w:val="left" w:pos="480"/>
        </w:tabs>
        <w:ind w:hanging="361"/>
        <w:rPr>
          <w:sz w:val="24"/>
        </w:rPr>
      </w:pPr>
      <w:r w:rsidRPr="000904BD">
        <w:rPr>
          <w:sz w:val="24"/>
        </w:rPr>
        <w:t>Ривароксабан</w:t>
      </w:r>
    </w:p>
    <w:p w:rsidR="008D3AA9" w:rsidRPr="000904BD" w:rsidRDefault="000904BD">
      <w:pPr>
        <w:pStyle w:val="a4"/>
        <w:numPr>
          <w:ilvl w:val="0"/>
          <w:numId w:val="1"/>
        </w:numPr>
        <w:tabs>
          <w:tab w:val="left" w:pos="479"/>
          <w:tab w:val="left" w:pos="480"/>
        </w:tabs>
        <w:spacing w:before="3"/>
        <w:ind w:hanging="361"/>
        <w:rPr>
          <w:sz w:val="24"/>
        </w:rPr>
      </w:pPr>
      <w:r w:rsidRPr="000904BD">
        <w:rPr>
          <w:sz w:val="24"/>
        </w:rPr>
        <w:t>Апиксабан</w:t>
      </w:r>
    </w:p>
    <w:p w:rsidR="008D3AA9" w:rsidRPr="000904BD" w:rsidRDefault="000904BD">
      <w:pPr>
        <w:pStyle w:val="a4"/>
        <w:numPr>
          <w:ilvl w:val="0"/>
          <w:numId w:val="1"/>
        </w:numPr>
        <w:tabs>
          <w:tab w:val="left" w:pos="479"/>
          <w:tab w:val="left" w:pos="480"/>
        </w:tabs>
        <w:ind w:hanging="361"/>
        <w:rPr>
          <w:sz w:val="24"/>
        </w:rPr>
      </w:pPr>
      <w:r w:rsidRPr="000904BD">
        <w:rPr>
          <w:sz w:val="24"/>
        </w:rPr>
        <w:t>Варфарин</w:t>
      </w:r>
    </w:p>
    <w:p w:rsidR="008D3AA9" w:rsidRPr="000904BD" w:rsidRDefault="000904BD">
      <w:pPr>
        <w:pStyle w:val="a4"/>
        <w:numPr>
          <w:ilvl w:val="0"/>
          <w:numId w:val="1"/>
        </w:numPr>
        <w:tabs>
          <w:tab w:val="left" w:pos="479"/>
          <w:tab w:val="left" w:pos="480"/>
        </w:tabs>
        <w:spacing w:before="2"/>
        <w:ind w:hanging="361"/>
        <w:rPr>
          <w:sz w:val="24"/>
        </w:rPr>
      </w:pPr>
      <w:r w:rsidRPr="000904BD">
        <w:rPr>
          <w:sz w:val="24"/>
        </w:rPr>
        <w:t>Аспирин</w:t>
      </w:r>
    </w:p>
    <w:p w:rsidR="008D3AA9" w:rsidRPr="000904BD" w:rsidRDefault="000904BD">
      <w:pPr>
        <w:pStyle w:val="a4"/>
        <w:numPr>
          <w:ilvl w:val="0"/>
          <w:numId w:val="1"/>
        </w:numPr>
        <w:tabs>
          <w:tab w:val="left" w:pos="479"/>
          <w:tab w:val="left" w:pos="480"/>
        </w:tabs>
        <w:ind w:hanging="361"/>
        <w:rPr>
          <w:sz w:val="24"/>
        </w:rPr>
      </w:pPr>
      <w:r w:rsidRPr="000904BD">
        <w:rPr>
          <w:sz w:val="24"/>
        </w:rPr>
        <w:t>Десирудин</w:t>
      </w:r>
    </w:p>
    <w:p w:rsidR="008D3AA9" w:rsidRPr="000904BD" w:rsidRDefault="000904BD">
      <w:pPr>
        <w:pStyle w:val="a3"/>
        <w:spacing w:before="2"/>
        <w:ind w:left="479" w:right="930"/>
      </w:pPr>
      <w:r w:rsidRPr="000904BD">
        <w:t>Для пациентов, перенесших ортопедические операции (например, на бедре или коленном суставе), было одобрено применени</w:t>
      </w:r>
      <w:r w:rsidRPr="000904BD">
        <w:t>е пероральных антикоагулянтов (вместо варфарина, гепарина, фондапаринукса). Меры по механической профилактике, включая компрессионные чулки и пневматические компрессионные устройства, должны рассматриваться для применения в группе людей, которые не являютс</w:t>
      </w:r>
      <w:r w:rsidRPr="000904BD">
        <w:t>я кандидатами на фармакологическую профилактику. Фильтры в нижней полой вене могут быть использованы для профилактики ТЭЛА, но они не могут остановить процессы тромбообразования. В США, судя по всему, возросло использование этих фильтров для профилактики в</w:t>
      </w:r>
      <w:r w:rsidRPr="000904BD">
        <w:t xml:space="preserve">енозной тромбоэмболии. Хотя профилактика тромбоэмболий является обязательной для всех пациентов в группах со средним и высоким риском, решение о продолжении профилактики после выписки все еще остается сложным. Риск развития тромбоэмболий редко уменьшается </w:t>
      </w:r>
      <w:r w:rsidRPr="000904BD">
        <w:t>в период перед выпиской или в квалифицированных учреждениях для ухода за больными. Быстрый перевод пациента в реабилитационный центр или учреждение для ухода, а также уход на дому позволяет сократить время его пребывания в стационаре. В период нахождения в</w:t>
      </w:r>
      <w:r w:rsidRPr="000904BD">
        <w:t xml:space="preserve"> стационаре врачи и медсестры поощряют пациента больше двигаться. После выписки же нередко пациент двигается меньше, что ведет к парадоксальному росту риска развития тромбоэмболии. Ранняя выписка сокращает длину пребывания в стационаре, но размывает традиц</w:t>
      </w:r>
      <w:r w:rsidRPr="000904BD">
        <w:t>ионное понятие о стационарной и амбулаторной помощи. К примеру, для женщин риск венозной тромбоэмболии остается высоким в течение 12 недель после операции. Современный подход к профилактике венозной тромбоэмболии основывается на преемственности помощи. Так</w:t>
      </w:r>
      <w:r w:rsidRPr="000904BD">
        <w:t>им образом, расширенная профилактика (до 5 недель) рекомендуется после полной артропластики бедра. Исследование MAGELLAN, в котором обследовались пациенты, поступившие в больницу (представлена в 2011 году на научной сессии Американского общества кардиолого</w:t>
      </w:r>
      <w:r w:rsidRPr="000904BD">
        <w:t>в) показало, что при приеме эноксапарина в течение 6-14 дней для профилактики сердечной и дыхательной недостаточности или пневмонии, а смертность, связанная с тромбоэмболией в течение 5 недель, была на уровне 1,0%, большинство случаев происходило после вып</w:t>
      </w:r>
      <w:r w:rsidRPr="000904BD">
        <w:t>иски из стационара. В результатах исследования 1897 пациентов в Уорчестере, штат Массачусетс показано, что 74% пациентов страдали ТГВ или ТЭЛА не в условиях стационара, 37% пациентов с венозной тромбоэмболией были госпитализированы незадолго до заболевания</w:t>
      </w:r>
      <w:r w:rsidRPr="000904BD">
        <w:t>, а 23% перенесли крупную операцию за три месяца до возникновения острой тромбоэмболии. Из всех</w:t>
      </w:r>
    </w:p>
    <w:p w:rsidR="008D3AA9" w:rsidRPr="000904BD" w:rsidRDefault="008D3AA9">
      <w:pPr>
        <w:sectPr w:rsidR="008D3AA9" w:rsidRPr="000904BD">
          <w:pgSz w:w="11910" w:h="16840"/>
          <w:pgMar w:top="1040" w:right="0" w:bottom="280" w:left="1220" w:header="720" w:footer="720" w:gutter="0"/>
          <w:cols w:space="720"/>
        </w:sectPr>
      </w:pPr>
    </w:p>
    <w:p w:rsidR="008D3AA9" w:rsidRPr="000904BD" w:rsidRDefault="000904BD">
      <w:pPr>
        <w:pStyle w:val="a3"/>
        <w:spacing w:before="66"/>
        <w:ind w:left="479" w:right="866"/>
      </w:pPr>
      <w:r w:rsidRPr="000904BD">
        <w:lastRenderedPageBreak/>
        <w:t>случаев венозной тромбоэмболии, произошедших в течение 3 месяцев после предыдущей госпитализации, 67% произошли в первый месяц после выписки. Сред</w:t>
      </w:r>
      <w:r w:rsidRPr="000904BD">
        <w:t>няя длительность пребывания составила 4 дня. В исследовании EXCLAIM, в котором исследовалась продолжительность профилактики венозной тромбоэмболии после выписки из стационара пациентов из группы высокого риска с сердечной недостаточностью, дыхательной недо</w:t>
      </w:r>
      <w:r w:rsidRPr="000904BD">
        <w:t>статочностью, инфекционными заболеваниями с ограниченной</w:t>
      </w:r>
      <w:r w:rsidRPr="000904BD">
        <w:rPr>
          <w:spacing w:val="-20"/>
        </w:rPr>
        <w:t xml:space="preserve"> </w:t>
      </w:r>
      <w:r w:rsidRPr="000904BD">
        <w:t>подвижностью.</w:t>
      </w:r>
    </w:p>
    <w:p w:rsidR="008D3AA9" w:rsidRPr="000904BD" w:rsidRDefault="000904BD">
      <w:pPr>
        <w:pStyle w:val="a3"/>
        <w:spacing w:before="1"/>
        <w:ind w:left="479" w:right="870"/>
      </w:pPr>
      <w:r w:rsidRPr="000904BD">
        <w:t>Заболеваемость венозной тромбоэмболией была снижена у пациентов, получавших после выписки эноксопарин по 40 мг в день. Тем не менее, в условиях была методологическая проблема, исправленная в середине исследования: критерии включения в эксперимент были боле</w:t>
      </w:r>
      <w:r w:rsidRPr="000904BD">
        <w:t>е строгими, чем в начале исследования и требовали низкой подвижности пациентов для участия в испытании. В целом, увеличенная продолжительность приема эноксопарина уменьшает риск развития на 28 дней с 4,0% в группе плацебо до 2,5% в группе, принимавшей энок</w:t>
      </w:r>
      <w:r w:rsidRPr="000904BD">
        <w:t>сопарин (разница абсолютного риска –1,53, 95% CI –2,54 до – 0,52). Крупные кровотечения в течение 30 дней встречались чаще в группе, принимавшей эноксопарин. В реестре IMPROVE из 15156 пациентов, которые были госпитализированы, у 45% из 184 венозная тромбо</w:t>
      </w:r>
      <w:r w:rsidRPr="000904BD">
        <w:t>эмболия развилась после выписки или же в</w:t>
      </w:r>
      <w:r w:rsidRPr="000904BD">
        <w:rPr>
          <w:spacing w:val="-22"/>
        </w:rPr>
        <w:t xml:space="preserve"> </w:t>
      </w:r>
      <w:r w:rsidRPr="000904BD">
        <w:t>больнице.</w:t>
      </w:r>
    </w:p>
    <w:p w:rsidR="008D3AA9" w:rsidRPr="000904BD" w:rsidRDefault="000904BD">
      <w:pPr>
        <w:pStyle w:val="a3"/>
        <w:spacing w:before="1"/>
        <w:ind w:left="479" w:right="843"/>
      </w:pPr>
      <w:r w:rsidRPr="000904BD">
        <w:t xml:space="preserve">Независимые факторы риска венозной тромбоэмболии, такие, как перенесенная венозная тромбоэмболия, выявленная тромбофилия, рак, возраст старше 60 лет, паралич нижних конечностей, иммобилизация не менее чем </w:t>
      </w:r>
      <w:r w:rsidRPr="000904BD">
        <w:t>на 1 неделю или нахождение в палате интенсивной терапии. Самая большая трудность в профилактике венозной тромбоэмболии в условия стационара – недостаточное использование имеющихся антикоагулянтов. В медицинских картах почти 200000 госпитализированных амери</w:t>
      </w:r>
      <w:r w:rsidRPr="000904BD">
        <w:t>канцев со средним или высоким риском развития венозных тромбоэмболий, надлежащая профилактика была назначена только в 34% случаев90. В исследовании различных групп пациентов с ТГВ из 183 лечебных учреждений США из 2609 госпитализированных сопутствующая ТЭЛ</w:t>
      </w:r>
      <w:r w:rsidRPr="000904BD">
        <w:t>А встречалась реже, чем среди 1953 не госпитализированных (22% и 16%</w:t>
      </w:r>
      <w:r w:rsidRPr="000904BD">
        <w:rPr>
          <w:spacing w:val="-11"/>
        </w:rPr>
        <w:t xml:space="preserve"> </w:t>
      </w:r>
      <w:r w:rsidRPr="000904BD">
        <w:t>соответственно).</w:t>
      </w:r>
    </w:p>
    <w:p w:rsidR="008D3AA9" w:rsidRPr="000904BD" w:rsidRDefault="000904BD">
      <w:pPr>
        <w:pStyle w:val="a3"/>
        <w:spacing w:before="1"/>
        <w:ind w:left="479" w:right="878"/>
      </w:pPr>
      <w:r w:rsidRPr="000904BD">
        <w:t>Как это ни парадоксально, профилактика госпитализированных пациентов проводится гораздо реже, чем не госпитализированных (25 и 54% соответственно). Таким образом, они ста</w:t>
      </w:r>
      <w:r w:rsidRPr="000904BD">
        <w:t>лкиваются в так называемой «двойной проблемой», поскольку они чаще не получают необходимой профилактики, у них чаще развивается ТЭЛА и ТГВ. Проблемы с предотвращением венозной тромбоэмболии происходят во всем мире. В исследовании ENDORSE, проведенном среди</w:t>
      </w:r>
      <w:r w:rsidRPr="000904BD">
        <w:t xml:space="preserve"> 68183 пациентов в 32 странах на шести континентах, 52% находились в группах среднего и высокого риска развития тромбоэмболий. При общем низком показателе профилактики данного состояния пациенты хирургического профиля получали его чаще, чем остальные (58% </w:t>
      </w:r>
      <w:r w:rsidRPr="000904BD">
        <w:t xml:space="preserve">и 40% соответственно). </w:t>
      </w:r>
      <w:r w:rsidRPr="000904BD">
        <w:rPr>
          <w:spacing w:val="-3"/>
        </w:rPr>
        <w:t xml:space="preserve">Из </w:t>
      </w:r>
      <w:r w:rsidRPr="000904BD">
        <w:t xml:space="preserve">9257 пациентов в 81 больнице Соединенных Штатов, которые принимали участие в этом исследовании, эти показатели варьировали в широких пределах (от 40% в квартили с самыми низкими показателями </w:t>
      </w:r>
      <w:r w:rsidRPr="000904BD">
        <w:rPr>
          <w:spacing w:val="-4"/>
        </w:rPr>
        <w:t xml:space="preserve">до </w:t>
      </w:r>
      <w:r w:rsidRPr="000904BD">
        <w:t xml:space="preserve">74% в лучшей квартили). </w:t>
      </w:r>
      <w:r w:rsidRPr="000904BD">
        <w:rPr>
          <w:spacing w:val="-3"/>
        </w:rPr>
        <w:t xml:space="preserve">По </w:t>
      </w:r>
      <w:r w:rsidRPr="000904BD">
        <w:t>сравнению</w:t>
      </w:r>
      <w:r w:rsidRPr="000904BD">
        <w:t xml:space="preserve"> с квартилью с низкими показателями, больше больниц с лучшими показателями имело программы по ординатуре (5% и 43% соответственно), большее количество коек (140 против 277) и имели внутрибольничные протоколы по профилактике венозных тромбоэмболий (40% и 76</w:t>
      </w:r>
      <w:r w:rsidRPr="000904BD">
        <w:t xml:space="preserve">% соответственно). В Швейцарии должная профилактика не была назначена 40% из 257 пациентов с онкологическими заболеваниями, которые были госпитализированы </w:t>
      </w:r>
      <w:r w:rsidRPr="000904BD">
        <w:rPr>
          <w:spacing w:val="-4"/>
        </w:rPr>
        <w:t xml:space="preserve">до </w:t>
      </w:r>
      <w:r w:rsidRPr="000904BD">
        <w:t>начала острой венозной тромбоэмболии. Независимо от выбранной стратегии профилактики венозной тром</w:t>
      </w:r>
      <w:r w:rsidRPr="000904BD">
        <w:t>боэмболии, профессиональная культура, похоже, меняется. Отказы в назначении профилактики венозных тромбоэмболий теперь не допускаются. Во Вставке 3 перечислены катализаторы для улучшения профилактики венозной тромбоэмболии. Однако даже если профилактика на</w:t>
      </w:r>
      <w:r w:rsidRPr="000904BD">
        <w:t>значена пациенту, она выполняется</w:t>
      </w:r>
      <w:r w:rsidRPr="000904BD">
        <w:rPr>
          <w:spacing w:val="-34"/>
        </w:rPr>
        <w:t xml:space="preserve"> </w:t>
      </w:r>
      <w:r w:rsidRPr="000904BD">
        <w:t>не обязательно. В одном исследовании отказ пациентов был одной из наиболее частых причин несоблюдения режима приема инъекционных антикоагулянтов. Для улучшения эффективности профилактики венозных тромбоэмболий у госпитализ</w:t>
      </w:r>
      <w:r w:rsidRPr="000904BD">
        <w:t>ированных больных доступны разнообразные подходы. Компьютеризированная система принятия решений</w:t>
      </w:r>
      <w:r w:rsidRPr="000904BD">
        <w:rPr>
          <w:spacing w:val="-20"/>
        </w:rPr>
        <w:t xml:space="preserve"> </w:t>
      </w:r>
      <w:r w:rsidRPr="000904BD">
        <w:t>с</w:t>
      </w:r>
    </w:p>
    <w:p w:rsidR="008D3AA9" w:rsidRPr="000904BD" w:rsidRDefault="008D3AA9">
      <w:pPr>
        <w:sectPr w:rsidR="008D3AA9" w:rsidRPr="000904BD">
          <w:pgSz w:w="11910" w:h="16840"/>
          <w:pgMar w:top="1040" w:right="0" w:bottom="280" w:left="1220" w:header="720" w:footer="720" w:gutter="0"/>
          <w:cols w:space="720"/>
        </w:sectPr>
      </w:pPr>
    </w:p>
    <w:p w:rsidR="008D3AA9" w:rsidRPr="000904BD" w:rsidRDefault="000904BD">
      <w:pPr>
        <w:pStyle w:val="a3"/>
        <w:spacing w:before="66"/>
        <w:ind w:left="479" w:right="859"/>
      </w:pPr>
      <w:r w:rsidRPr="000904BD">
        <w:lastRenderedPageBreak/>
        <w:t>оповещениями может помочь врачу при назначении профилактики. В одном из рандомизированных исследований подобная система снизила частоту развития</w:t>
      </w:r>
      <w:r w:rsidRPr="000904BD">
        <w:t xml:space="preserve"> симптомов венозной тромбоэмболии более чем на 40%. Мультискрин-системы оповещения проявили себя эффективнее. Подобные электронные системы эффективны в течение долгого времени. Больницы, которые не имею ресурсов для создания и обслуживания подобных систем,</w:t>
      </w:r>
      <w:r w:rsidRPr="000904BD">
        <w:t xml:space="preserve"> персонал может наблюдать за пациентами в группе риска, не получавшими профилактики, и оповещать лечащего врача по телефону.Искоренение венозных тромбоэмболий, встречающихся наиболее часто в больницах, полностью в наших силах.</w:t>
      </w:r>
    </w:p>
    <w:p w:rsidR="008D3AA9" w:rsidRPr="000904BD" w:rsidRDefault="000904BD">
      <w:pPr>
        <w:spacing w:before="1" w:line="242" w:lineRule="auto"/>
        <w:ind w:left="479" w:right="929"/>
        <w:rPr>
          <w:sz w:val="24"/>
        </w:rPr>
      </w:pPr>
      <w:r w:rsidRPr="000904BD">
        <w:rPr>
          <w:sz w:val="24"/>
        </w:rPr>
        <w:t>Сочетая меры в области образо</w:t>
      </w:r>
      <w:r w:rsidRPr="000904BD">
        <w:rPr>
          <w:sz w:val="24"/>
        </w:rPr>
        <w:t xml:space="preserve">вания иулучшения протоколов, а также реализуя проверенные стратегии, мы можем максимизировать эффективность этих мер. </w:t>
      </w:r>
      <w:r w:rsidRPr="000904BD">
        <w:rPr>
          <w:sz w:val="24"/>
        </w:rPr>
        <w:t>Вставка 3. Катализаторы для повышения эффективности профилактики венозных тромбоэмболий.</w:t>
      </w:r>
    </w:p>
    <w:p w:rsidR="008D3AA9" w:rsidRPr="000904BD" w:rsidRDefault="000904BD">
      <w:pPr>
        <w:pStyle w:val="a4"/>
        <w:numPr>
          <w:ilvl w:val="0"/>
          <w:numId w:val="1"/>
        </w:numPr>
        <w:tabs>
          <w:tab w:val="left" w:pos="479"/>
          <w:tab w:val="left" w:pos="480"/>
        </w:tabs>
        <w:spacing w:line="265" w:lineRule="exact"/>
        <w:ind w:hanging="361"/>
        <w:rPr>
          <w:sz w:val="24"/>
        </w:rPr>
      </w:pPr>
      <w:r w:rsidRPr="000904BD">
        <w:rPr>
          <w:sz w:val="24"/>
        </w:rPr>
        <w:t>Доказательства с клинических</w:t>
      </w:r>
      <w:r w:rsidRPr="000904BD">
        <w:rPr>
          <w:spacing w:val="-7"/>
          <w:sz w:val="24"/>
        </w:rPr>
        <w:t xml:space="preserve"> </w:t>
      </w:r>
      <w:r w:rsidRPr="000904BD">
        <w:rPr>
          <w:sz w:val="24"/>
        </w:rPr>
        <w:t>испытаний</w:t>
      </w:r>
    </w:p>
    <w:p w:rsidR="008D3AA9" w:rsidRPr="000904BD" w:rsidRDefault="000904BD">
      <w:pPr>
        <w:pStyle w:val="a4"/>
        <w:numPr>
          <w:ilvl w:val="0"/>
          <w:numId w:val="1"/>
        </w:numPr>
        <w:tabs>
          <w:tab w:val="left" w:pos="479"/>
          <w:tab w:val="left" w:pos="480"/>
        </w:tabs>
        <w:spacing w:before="3"/>
        <w:ind w:hanging="361"/>
        <w:rPr>
          <w:sz w:val="24"/>
        </w:rPr>
      </w:pPr>
      <w:r w:rsidRPr="000904BD">
        <w:rPr>
          <w:sz w:val="24"/>
        </w:rPr>
        <w:t>Образовате</w:t>
      </w:r>
      <w:r w:rsidRPr="000904BD">
        <w:rPr>
          <w:sz w:val="24"/>
        </w:rPr>
        <w:t>льные программы для врачей и пациентов</w:t>
      </w:r>
    </w:p>
    <w:p w:rsidR="008D3AA9" w:rsidRPr="000904BD" w:rsidRDefault="000904BD">
      <w:pPr>
        <w:pStyle w:val="a4"/>
        <w:numPr>
          <w:ilvl w:val="0"/>
          <w:numId w:val="1"/>
        </w:numPr>
        <w:tabs>
          <w:tab w:val="left" w:pos="479"/>
          <w:tab w:val="left" w:pos="480"/>
        </w:tabs>
        <w:spacing w:line="242" w:lineRule="auto"/>
        <w:ind w:right="1345"/>
        <w:rPr>
          <w:sz w:val="24"/>
        </w:rPr>
      </w:pPr>
      <w:r w:rsidRPr="000904BD">
        <w:rPr>
          <w:sz w:val="24"/>
        </w:rPr>
        <w:t xml:space="preserve">Инициативы по улучшению качества </w:t>
      </w:r>
      <w:r w:rsidRPr="000904BD">
        <w:rPr>
          <w:spacing w:val="-3"/>
          <w:sz w:val="24"/>
        </w:rPr>
        <w:t xml:space="preserve">услуг </w:t>
      </w:r>
      <w:r w:rsidRPr="000904BD">
        <w:rPr>
          <w:sz w:val="24"/>
        </w:rPr>
        <w:t>(в т.ч. внедрение индивидуализированных протоколов)</w:t>
      </w:r>
    </w:p>
    <w:p w:rsidR="008D3AA9" w:rsidRPr="000904BD" w:rsidRDefault="000904BD">
      <w:pPr>
        <w:pStyle w:val="a4"/>
        <w:numPr>
          <w:ilvl w:val="0"/>
          <w:numId w:val="1"/>
        </w:numPr>
        <w:tabs>
          <w:tab w:val="left" w:pos="479"/>
          <w:tab w:val="left" w:pos="480"/>
        </w:tabs>
        <w:spacing w:line="242" w:lineRule="auto"/>
        <w:ind w:right="1130"/>
        <w:rPr>
          <w:sz w:val="24"/>
        </w:rPr>
      </w:pPr>
      <w:r w:rsidRPr="000904BD">
        <w:rPr>
          <w:sz w:val="24"/>
        </w:rPr>
        <w:t>Электронные системы оповещения для лечащих врачей пациентов, которые находятся в группе высокого риска, но не получают</w:t>
      </w:r>
      <w:r w:rsidRPr="000904BD">
        <w:rPr>
          <w:spacing w:val="3"/>
          <w:sz w:val="24"/>
        </w:rPr>
        <w:t xml:space="preserve"> </w:t>
      </w:r>
      <w:r w:rsidRPr="000904BD">
        <w:rPr>
          <w:sz w:val="24"/>
        </w:rPr>
        <w:t>профилактики.</w:t>
      </w:r>
    </w:p>
    <w:p w:rsidR="008D3AA9" w:rsidRPr="000904BD" w:rsidRDefault="000904BD">
      <w:pPr>
        <w:pStyle w:val="a4"/>
        <w:numPr>
          <w:ilvl w:val="0"/>
          <w:numId w:val="1"/>
        </w:numPr>
        <w:tabs>
          <w:tab w:val="left" w:pos="479"/>
          <w:tab w:val="left" w:pos="480"/>
        </w:tabs>
        <w:spacing w:line="271" w:lineRule="exact"/>
        <w:ind w:hanging="361"/>
        <w:rPr>
          <w:sz w:val="24"/>
        </w:rPr>
      </w:pPr>
      <w:r w:rsidRPr="000904BD">
        <w:rPr>
          <w:sz w:val="24"/>
        </w:rPr>
        <w:t xml:space="preserve">Контроль </w:t>
      </w:r>
      <w:r w:rsidRPr="000904BD">
        <w:rPr>
          <w:spacing w:val="-3"/>
          <w:sz w:val="24"/>
        </w:rPr>
        <w:t xml:space="preserve">со </w:t>
      </w:r>
      <w:r w:rsidRPr="000904BD">
        <w:rPr>
          <w:sz w:val="24"/>
        </w:rPr>
        <w:t>стороны</w:t>
      </w:r>
      <w:r w:rsidRPr="000904BD">
        <w:rPr>
          <w:spacing w:val="9"/>
          <w:sz w:val="24"/>
        </w:rPr>
        <w:t xml:space="preserve"> </w:t>
      </w:r>
      <w:r w:rsidRPr="000904BD">
        <w:rPr>
          <w:sz w:val="24"/>
        </w:rPr>
        <w:t>коллег.</w:t>
      </w:r>
    </w:p>
    <w:p w:rsidR="008D3AA9" w:rsidRPr="000904BD" w:rsidRDefault="000904BD">
      <w:pPr>
        <w:pStyle w:val="a4"/>
        <w:numPr>
          <w:ilvl w:val="0"/>
          <w:numId w:val="1"/>
        </w:numPr>
        <w:tabs>
          <w:tab w:val="left" w:pos="479"/>
          <w:tab w:val="left" w:pos="480"/>
        </w:tabs>
        <w:ind w:hanging="361"/>
        <w:rPr>
          <w:sz w:val="24"/>
        </w:rPr>
      </w:pPr>
      <w:r w:rsidRPr="000904BD">
        <w:rPr>
          <w:sz w:val="24"/>
        </w:rPr>
        <w:t>Контроль администрации больницы.</w:t>
      </w:r>
    </w:p>
    <w:p w:rsidR="008D3AA9" w:rsidRPr="000904BD" w:rsidRDefault="000904BD">
      <w:pPr>
        <w:pStyle w:val="a4"/>
        <w:numPr>
          <w:ilvl w:val="0"/>
          <w:numId w:val="1"/>
        </w:numPr>
        <w:tabs>
          <w:tab w:val="left" w:pos="479"/>
          <w:tab w:val="left" w:pos="480"/>
        </w:tabs>
        <w:ind w:hanging="361"/>
        <w:rPr>
          <w:sz w:val="24"/>
        </w:rPr>
      </w:pPr>
      <w:r w:rsidRPr="000904BD">
        <w:rPr>
          <w:sz w:val="24"/>
        </w:rPr>
        <w:t>Проверки со стороны общественности и вышестоящих</w:t>
      </w:r>
      <w:r w:rsidRPr="000904BD">
        <w:rPr>
          <w:spacing w:val="-4"/>
          <w:sz w:val="24"/>
        </w:rPr>
        <w:t xml:space="preserve"> </w:t>
      </w:r>
      <w:r w:rsidRPr="000904BD">
        <w:rPr>
          <w:sz w:val="24"/>
        </w:rPr>
        <w:t>органов.</w:t>
      </w:r>
    </w:p>
    <w:p w:rsidR="008D3AA9" w:rsidRPr="000904BD" w:rsidRDefault="000904BD">
      <w:pPr>
        <w:pStyle w:val="a4"/>
        <w:numPr>
          <w:ilvl w:val="0"/>
          <w:numId w:val="1"/>
        </w:numPr>
        <w:tabs>
          <w:tab w:val="left" w:pos="479"/>
          <w:tab w:val="left" w:pos="480"/>
        </w:tabs>
        <w:ind w:hanging="361"/>
        <w:rPr>
          <w:sz w:val="24"/>
        </w:rPr>
      </w:pPr>
      <w:r w:rsidRPr="000904BD">
        <w:rPr>
          <w:sz w:val="24"/>
        </w:rPr>
        <w:t xml:space="preserve">Запросы </w:t>
      </w:r>
      <w:r w:rsidRPr="000904BD">
        <w:rPr>
          <w:spacing w:val="-3"/>
          <w:sz w:val="24"/>
        </w:rPr>
        <w:t xml:space="preserve">со </w:t>
      </w:r>
      <w:r w:rsidRPr="000904BD">
        <w:rPr>
          <w:sz w:val="24"/>
        </w:rPr>
        <w:t>стороны пациента и его</w:t>
      </w:r>
      <w:r w:rsidRPr="000904BD">
        <w:rPr>
          <w:spacing w:val="11"/>
          <w:sz w:val="24"/>
        </w:rPr>
        <w:t xml:space="preserve"> </w:t>
      </w:r>
      <w:r w:rsidRPr="000904BD">
        <w:rPr>
          <w:sz w:val="24"/>
        </w:rPr>
        <w:t>родственников.</w:t>
      </w:r>
    </w:p>
    <w:p w:rsidR="008D3AA9" w:rsidRPr="000904BD" w:rsidRDefault="000904BD">
      <w:pPr>
        <w:pStyle w:val="a4"/>
        <w:numPr>
          <w:ilvl w:val="0"/>
          <w:numId w:val="1"/>
        </w:numPr>
        <w:tabs>
          <w:tab w:val="left" w:pos="479"/>
          <w:tab w:val="left" w:pos="480"/>
        </w:tabs>
        <w:ind w:hanging="361"/>
        <w:rPr>
          <w:sz w:val="24"/>
        </w:rPr>
      </w:pPr>
      <w:r w:rsidRPr="000904BD">
        <w:rPr>
          <w:sz w:val="24"/>
        </w:rPr>
        <w:t>Пропаганда некоммерческих</w:t>
      </w:r>
      <w:r w:rsidRPr="000904BD">
        <w:rPr>
          <w:spacing w:val="-3"/>
          <w:sz w:val="24"/>
        </w:rPr>
        <w:t xml:space="preserve"> </w:t>
      </w:r>
      <w:r w:rsidRPr="000904BD">
        <w:rPr>
          <w:sz w:val="24"/>
        </w:rPr>
        <w:t>организаций.</w:t>
      </w:r>
    </w:p>
    <w:p w:rsidR="008D3AA9" w:rsidRPr="000904BD" w:rsidRDefault="000904BD">
      <w:pPr>
        <w:pStyle w:val="a4"/>
        <w:numPr>
          <w:ilvl w:val="0"/>
          <w:numId w:val="1"/>
        </w:numPr>
        <w:tabs>
          <w:tab w:val="left" w:pos="479"/>
          <w:tab w:val="left" w:pos="480"/>
        </w:tabs>
        <w:spacing w:before="1"/>
        <w:ind w:hanging="361"/>
        <w:rPr>
          <w:sz w:val="24"/>
        </w:rPr>
      </w:pPr>
      <w:r w:rsidRPr="000904BD">
        <w:rPr>
          <w:sz w:val="24"/>
        </w:rPr>
        <w:t>Денежные штрафы или удержание страховых или иных</w:t>
      </w:r>
      <w:r w:rsidRPr="000904BD">
        <w:rPr>
          <w:spacing w:val="-3"/>
          <w:sz w:val="24"/>
        </w:rPr>
        <w:t xml:space="preserve"> </w:t>
      </w:r>
      <w:r w:rsidRPr="000904BD">
        <w:rPr>
          <w:sz w:val="24"/>
        </w:rPr>
        <w:t>выплат.</w:t>
      </w:r>
    </w:p>
    <w:p w:rsidR="008D3AA9" w:rsidRPr="000904BD" w:rsidRDefault="000904BD">
      <w:pPr>
        <w:pStyle w:val="a4"/>
        <w:numPr>
          <w:ilvl w:val="0"/>
          <w:numId w:val="1"/>
        </w:numPr>
        <w:tabs>
          <w:tab w:val="left" w:pos="479"/>
          <w:tab w:val="left" w:pos="480"/>
        </w:tabs>
        <w:ind w:hanging="361"/>
        <w:rPr>
          <w:sz w:val="24"/>
        </w:rPr>
      </w:pPr>
      <w:r w:rsidRPr="000904BD">
        <w:rPr>
          <w:sz w:val="24"/>
        </w:rPr>
        <w:t>Судебные преследования</w:t>
      </w:r>
    </w:p>
    <w:p w:rsidR="008D3AA9" w:rsidRPr="000904BD" w:rsidRDefault="000904BD">
      <w:pPr>
        <w:spacing w:before="25"/>
        <w:ind w:left="119"/>
        <w:rPr>
          <w:sz w:val="20"/>
        </w:rPr>
      </w:pPr>
      <w:r w:rsidRPr="000904BD">
        <w:rPr>
          <w:sz w:val="20"/>
        </w:rPr>
        <w:t></w:t>
      </w:r>
    </w:p>
    <w:p w:rsidR="008D3AA9" w:rsidRPr="000904BD" w:rsidRDefault="000904BD">
      <w:pPr>
        <w:pStyle w:val="a3"/>
        <w:spacing w:before="6"/>
        <w:ind w:left="479"/>
      </w:pPr>
      <w:r w:rsidRPr="000904BD">
        <w:t>Авторы: Проф. С.З. Гольдхабер (SZG) Проф. Х. Бунамо (HB)</w:t>
      </w:r>
    </w:p>
    <w:sectPr w:rsidR="008D3AA9" w:rsidRPr="000904BD">
      <w:pgSz w:w="11910" w:h="16840"/>
      <w:pgMar w:top="1040" w:right="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F7A74"/>
    <w:multiLevelType w:val="hybridMultilevel"/>
    <w:tmpl w:val="319ED2FA"/>
    <w:lvl w:ilvl="0" w:tplc="387A0236">
      <w:numFmt w:val="bullet"/>
      <w:lvlText w:val=""/>
      <w:lvlJc w:val="left"/>
      <w:pPr>
        <w:ind w:left="479" w:hanging="360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1" w:tplc="3B96322E">
      <w:numFmt w:val="bullet"/>
      <w:lvlText w:val="•"/>
      <w:lvlJc w:val="left"/>
      <w:pPr>
        <w:ind w:left="1500" w:hanging="360"/>
      </w:pPr>
      <w:rPr>
        <w:rFonts w:hint="default"/>
        <w:lang w:val="ru-RU" w:eastAsia="ru-RU" w:bidi="ru-RU"/>
      </w:rPr>
    </w:lvl>
    <w:lvl w:ilvl="2" w:tplc="8CAE570A">
      <w:numFmt w:val="bullet"/>
      <w:lvlText w:val="•"/>
      <w:lvlJc w:val="left"/>
      <w:pPr>
        <w:ind w:left="2520" w:hanging="360"/>
      </w:pPr>
      <w:rPr>
        <w:rFonts w:hint="default"/>
        <w:lang w:val="ru-RU" w:eastAsia="ru-RU" w:bidi="ru-RU"/>
      </w:rPr>
    </w:lvl>
    <w:lvl w:ilvl="3" w:tplc="8A54352C">
      <w:numFmt w:val="bullet"/>
      <w:lvlText w:val="•"/>
      <w:lvlJc w:val="left"/>
      <w:pPr>
        <w:ind w:left="3541" w:hanging="360"/>
      </w:pPr>
      <w:rPr>
        <w:rFonts w:hint="default"/>
        <w:lang w:val="ru-RU" w:eastAsia="ru-RU" w:bidi="ru-RU"/>
      </w:rPr>
    </w:lvl>
    <w:lvl w:ilvl="4" w:tplc="2AF20A74">
      <w:numFmt w:val="bullet"/>
      <w:lvlText w:val="•"/>
      <w:lvlJc w:val="left"/>
      <w:pPr>
        <w:ind w:left="4561" w:hanging="360"/>
      </w:pPr>
      <w:rPr>
        <w:rFonts w:hint="default"/>
        <w:lang w:val="ru-RU" w:eastAsia="ru-RU" w:bidi="ru-RU"/>
      </w:rPr>
    </w:lvl>
    <w:lvl w:ilvl="5" w:tplc="3FECAFC2">
      <w:numFmt w:val="bullet"/>
      <w:lvlText w:val="•"/>
      <w:lvlJc w:val="left"/>
      <w:pPr>
        <w:ind w:left="5582" w:hanging="360"/>
      </w:pPr>
      <w:rPr>
        <w:rFonts w:hint="default"/>
        <w:lang w:val="ru-RU" w:eastAsia="ru-RU" w:bidi="ru-RU"/>
      </w:rPr>
    </w:lvl>
    <w:lvl w:ilvl="6" w:tplc="47A60DE4">
      <w:numFmt w:val="bullet"/>
      <w:lvlText w:val="•"/>
      <w:lvlJc w:val="left"/>
      <w:pPr>
        <w:ind w:left="6602" w:hanging="360"/>
      </w:pPr>
      <w:rPr>
        <w:rFonts w:hint="default"/>
        <w:lang w:val="ru-RU" w:eastAsia="ru-RU" w:bidi="ru-RU"/>
      </w:rPr>
    </w:lvl>
    <w:lvl w:ilvl="7" w:tplc="43A8E8AE">
      <w:numFmt w:val="bullet"/>
      <w:lvlText w:val="•"/>
      <w:lvlJc w:val="left"/>
      <w:pPr>
        <w:ind w:left="7622" w:hanging="360"/>
      </w:pPr>
      <w:rPr>
        <w:rFonts w:hint="default"/>
        <w:lang w:val="ru-RU" w:eastAsia="ru-RU" w:bidi="ru-RU"/>
      </w:rPr>
    </w:lvl>
    <w:lvl w:ilvl="8" w:tplc="FCB07F6C">
      <w:numFmt w:val="bullet"/>
      <w:lvlText w:val="•"/>
      <w:lvlJc w:val="left"/>
      <w:pPr>
        <w:ind w:left="8643" w:hanging="36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AA9"/>
    <w:rsid w:val="000904BD"/>
    <w:rsid w:val="008D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479"/>
      <w:outlineLvl w:val="0"/>
    </w:pPr>
    <w:rPr>
      <w:b/>
      <w:bCs/>
      <w:sz w:val="30"/>
      <w:szCs w:val="30"/>
    </w:rPr>
  </w:style>
  <w:style w:type="paragraph" w:styleId="2">
    <w:name w:val="heading 2"/>
    <w:basedOn w:val="a"/>
    <w:uiPriority w:val="1"/>
    <w:qFormat/>
    <w:pPr>
      <w:ind w:left="479"/>
      <w:outlineLvl w:val="1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75" w:lineRule="exact"/>
      <w:ind w:left="479" w:hanging="361"/>
    </w:pPr>
  </w:style>
  <w:style w:type="paragraph" w:customStyle="1" w:styleId="TableParagraph">
    <w:name w:val="Table Paragraph"/>
    <w:basedOn w:val="a"/>
    <w:uiPriority w:val="1"/>
    <w:qFormat/>
    <w:pPr>
      <w:spacing w:before="25"/>
      <w:ind w:left="200"/>
    </w:pPr>
  </w:style>
  <w:style w:type="paragraph" w:styleId="a5">
    <w:name w:val="Balloon Text"/>
    <w:basedOn w:val="a"/>
    <w:link w:val="a6"/>
    <w:uiPriority w:val="99"/>
    <w:semiHidden/>
    <w:unhideWhenUsed/>
    <w:rsid w:val="000904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04BD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479"/>
      <w:outlineLvl w:val="0"/>
    </w:pPr>
    <w:rPr>
      <w:b/>
      <w:bCs/>
      <w:sz w:val="30"/>
      <w:szCs w:val="30"/>
    </w:rPr>
  </w:style>
  <w:style w:type="paragraph" w:styleId="2">
    <w:name w:val="heading 2"/>
    <w:basedOn w:val="a"/>
    <w:uiPriority w:val="1"/>
    <w:qFormat/>
    <w:pPr>
      <w:ind w:left="479"/>
      <w:outlineLvl w:val="1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75" w:lineRule="exact"/>
      <w:ind w:left="479" w:hanging="361"/>
    </w:pPr>
  </w:style>
  <w:style w:type="paragraph" w:customStyle="1" w:styleId="TableParagraph">
    <w:name w:val="Table Paragraph"/>
    <w:basedOn w:val="a"/>
    <w:uiPriority w:val="1"/>
    <w:qFormat/>
    <w:pPr>
      <w:spacing w:before="25"/>
      <w:ind w:left="200"/>
    </w:pPr>
  </w:style>
  <w:style w:type="paragraph" w:styleId="a5">
    <w:name w:val="Balloon Text"/>
    <w:basedOn w:val="a"/>
    <w:link w:val="a6"/>
    <w:uiPriority w:val="99"/>
    <w:semiHidden/>
    <w:unhideWhenUsed/>
    <w:rsid w:val="000904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04BD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6840</Words>
  <Characters>38993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2020-12-16T10:39:00Z</dcterms:created>
  <dcterms:modified xsi:type="dcterms:W3CDTF">2020-12-16T10:39:00Z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2020-12-16T00:00:00Z</vt:filetime>
  </property>
</Properties>
</file>