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AEEF"/>
          <w:sz w:val="39"/>
          <w:szCs w:val="39"/>
          <w:lang w:val="en-US"/>
        </w:rPr>
      </w:pPr>
      <w:r w:rsidRPr="002C0E75">
        <w:rPr>
          <w:rFonts w:ascii="LiberationSerif-Bold" w:hAnsi="LiberationSerif-Bold" w:cs="LiberationSerif-Bold"/>
          <w:b/>
          <w:bCs/>
          <w:color w:val="00AEEF"/>
          <w:sz w:val="39"/>
          <w:szCs w:val="39"/>
          <w:lang w:val="en-US"/>
        </w:rPr>
        <w:t>Prevention and Control of Dental Caries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Italic" w:hAnsi="LiberationSerif-BoldItalic" w:cs="LiberationSerif-BoldItalic"/>
          <w:b/>
          <w:bCs/>
          <w:i/>
          <w:iCs/>
          <w:color w:val="00AEEF"/>
          <w:sz w:val="39"/>
          <w:szCs w:val="39"/>
          <w:lang w:val="en-US"/>
        </w:rPr>
      </w:pPr>
      <w:r w:rsidRPr="002C0E75">
        <w:rPr>
          <w:rFonts w:ascii="LiberationSerif-BoldItalic" w:hAnsi="LiberationSerif-BoldItalic" w:cs="LiberationSerif-BoldItalic"/>
          <w:b/>
          <w:bCs/>
          <w:i/>
          <w:iCs/>
          <w:color w:val="00AEEF"/>
          <w:sz w:val="39"/>
          <w:szCs w:val="39"/>
          <w:lang w:val="en-US"/>
        </w:rPr>
        <w:t>1. Increase the Resistance of the Teeth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0"/>
          <w:szCs w:val="30"/>
          <w:lang w:val="en-US"/>
        </w:rPr>
      </w:pPr>
      <w:r w:rsidRPr="002C0E7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0"/>
          <w:szCs w:val="30"/>
          <w:lang w:val="en-US"/>
        </w:rPr>
        <w:t>Systemic use of fluoride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Fluoridation of water, milk and salt;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Fluoride supplementation in the form of tablets and lozenges; and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Consuming a fluoride-rich diet such as tea, fish, etc.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0"/>
          <w:szCs w:val="30"/>
          <w:lang w:val="en-US"/>
        </w:rPr>
      </w:pPr>
      <w:r w:rsidRPr="002C0E7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0"/>
          <w:szCs w:val="30"/>
          <w:lang w:val="en-US"/>
        </w:rPr>
        <w:t>Topical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Use of fluoridated toothpaste and mouthwash;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Use of fluoride varnishes (in-office application, longer duration of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action, high fluoride content);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Use of casein </w:t>
      </w:r>
      <w:proofErr w:type="spellStart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phosphopeptide</w:t>
      </w:r>
      <w:proofErr w:type="spellEnd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-amorphous calcium phosphate (CPPACP),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which is available as tooth mousse, helps to </w:t>
      </w:r>
      <w:proofErr w:type="spellStart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remineralize</w:t>
      </w:r>
      <w:proofErr w:type="spellEnd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the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soft initial carious, demineralized areas of the teeth.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Italic" w:hAnsi="LiberationSerif-BoldItalic" w:cs="LiberationSerif-BoldItalic"/>
          <w:b/>
          <w:bCs/>
          <w:i/>
          <w:iCs/>
          <w:color w:val="00AEEF"/>
          <w:sz w:val="39"/>
          <w:szCs w:val="39"/>
          <w:lang w:val="en-US"/>
        </w:rPr>
      </w:pPr>
      <w:r w:rsidRPr="002C0E75">
        <w:rPr>
          <w:rFonts w:ascii="LiberationSerif-BoldItalic" w:hAnsi="LiberationSerif-BoldItalic" w:cs="LiberationSerif-BoldItalic"/>
          <w:b/>
          <w:bCs/>
          <w:i/>
          <w:iCs/>
          <w:color w:val="00AEEF"/>
          <w:sz w:val="39"/>
          <w:szCs w:val="39"/>
          <w:lang w:val="en-US"/>
        </w:rPr>
        <w:t>2. Combat the Microbial Plaque by Physical and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Italic" w:hAnsi="LiberationSerif-BoldItalic" w:cs="LiberationSerif-BoldItalic"/>
          <w:b/>
          <w:bCs/>
          <w:i/>
          <w:iCs/>
          <w:color w:val="00AEEF"/>
          <w:sz w:val="39"/>
          <w:szCs w:val="39"/>
          <w:lang w:val="en-US"/>
        </w:rPr>
      </w:pPr>
      <w:r w:rsidRPr="002C0E75">
        <w:rPr>
          <w:rFonts w:ascii="LiberationSerif-BoldItalic" w:hAnsi="LiberationSerif-BoldItalic" w:cs="LiberationSerif-BoldItalic"/>
          <w:b/>
          <w:bCs/>
          <w:i/>
          <w:iCs/>
          <w:color w:val="00AEEF"/>
          <w:sz w:val="39"/>
          <w:szCs w:val="39"/>
          <w:lang w:val="en-US"/>
        </w:rPr>
        <w:t>Chemical Methods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30"/>
          <w:szCs w:val="30"/>
          <w:lang w:val="en-US"/>
        </w:rPr>
      </w:pPr>
      <w:r w:rsidRPr="002C0E7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0"/>
          <w:szCs w:val="30"/>
          <w:lang w:val="en-US"/>
        </w:rPr>
        <w:t>Physical methods</w:t>
      </w:r>
      <w:r w:rsidRPr="002C0E75">
        <w:rPr>
          <w:rFonts w:ascii="LiberationSerif-Bold" w:hAnsi="LiberationSerif-Bold" w:cs="LiberationSerif-Bold"/>
          <w:b/>
          <w:bCs/>
          <w:color w:val="000000"/>
          <w:sz w:val="30"/>
          <w:szCs w:val="30"/>
          <w:lang w:val="en-US"/>
        </w:rPr>
        <w:t>: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The correct method and frequency of brushing </w:t>
      </w:r>
      <w:proofErr w:type="gramStart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should be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followed</w:t>
      </w:r>
      <w:proofErr w:type="gramEnd"/>
      <w:r w:rsidRPr="002C0E75">
        <w:rPr>
          <w:rFonts w:ascii="LiberationSerif" w:eastAsia="LiberationSerif" w:hAnsi="LiberationSerif-Bold" w:cs="LiberationSerif" w:hint="eastAsia"/>
          <w:color w:val="000000"/>
          <w:sz w:val="30"/>
          <w:szCs w:val="30"/>
          <w:lang w:val="en-US"/>
        </w:rPr>
        <w:t>—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in the morning and before going to bed and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preferably after every major meal.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Tongue cleaning and the use of indigenous agents such as the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bark of neem or mango (where toothbrush and paste are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unaffordable) should be encouraged. The use of coarse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toothpowder and tobacco-containing dentifrices </w:t>
      </w:r>
      <w:proofErr w:type="gramStart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should be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avoided</w:t>
      </w:r>
      <w:proofErr w:type="gramEnd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.</w:t>
      </w:r>
    </w:p>
    <w:p w:rsidR="006B4ABD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eastAsia="LiberationSerif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The use of various interdental cleaning aids such as dental floss,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interdental brush, water </w:t>
      </w:r>
      <w:proofErr w:type="spellStart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pik</w:t>
      </w:r>
      <w:proofErr w:type="spellEnd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, etc. supplements the cleansing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effect of a toothbrush. Use of an electronic toothbrush in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children and persons with decreased manual dexterity </w:t>
      </w:r>
      <w:proofErr w:type="gramStart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is</w:t>
      </w:r>
      <w:r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recommended</w:t>
      </w:r>
      <w:proofErr w:type="gramEnd"/>
      <w:r w:rsidRPr="002C0E75">
        <w:rPr>
          <w:rFonts w:ascii="LiberationSerif" w:eastAsia="LiberationSerif" w:hAnsi="LiberationSerif-Bold" w:cs="LiberationSerif"/>
          <w:color w:val="000000"/>
          <w:sz w:val="30"/>
          <w:szCs w:val="30"/>
          <w:lang w:val="en-US"/>
        </w:rPr>
        <w:t>.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</w:pPr>
      <w:r w:rsidRPr="002C0E75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0"/>
          <w:szCs w:val="30"/>
          <w:lang w:val="en-US"/>
        </w:rPr>
        <w:t>Chemical methods</w:t>
      </w:r>
      <w:r w:rsidRPr="002C0E75">
        <w:rPr>
          <w:rFonts w:ascii="LiberationSerif-Bold" w:hAnsi="LiberationSerif-Bold" w:cs="LiberationSerif-Bold"/>
          <w:b/>
          <w:bCs/>
          <w:color w:val="000000"/>
          <w:sz w:val="30"/>
          <w:szCs w:val="30"/>
          <w:lang w:val="en-US"/>
        </w:rPr>
        <w:t xml:space="preserve">: </w:t>
      </w:r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These include the use of a fluoride-containing</w:t>
      </w:r>
      <w:r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toothpaste, </w:t>
      </w:r>
      <w:proofErr w:type="spellStart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mouthrinses</w:t>
      </w:r>
      <w:proofErr w:type="spellEnd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and 0.2% chlorhexidine and </w:t>
      </w:r>
      <w:proofErr w:type="spellStart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povidine</w:t>
      </w:r>
      <w:proofErr w:type="spellEnd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-iodine</w:t>
      </w:r>
      <w:r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mouthwash. These </w:t>
      </w:r>
      <w:proofErr w:type="gramStart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should be used</w:t>
      </w:r>
      <w:proofErr w:type="gramEnd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on prescription of a dental surgeon.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Italic" w:hAnsi="LiberationSerif-BoldItalic" w:cs="LiberationSerif-BoldItalic"/>
          <w:b/>
          <w:bCs/>
          <w:i/>
          <w:iCs/>
          <w:color w:val="00AEEF"/>
          <w:sz w:val="39"/>
          <w:szCs w:val="39"/>
          <w:lang w:val="en-US"/>
        </w:rPr>
      </w:pPr>
      <w:r w:rsidRPr="002C0E75">
        <w:rPr>
          <w:rFonts w:ascii="LiberationSerif-BoldItalic" w:hAnsi="LiberationSerif-BoldItalic" w:cs="LiberationSerif-BoldItalic"/>
          <w:b/>
          <w:bCs/>
          <w:i/>
          <w:iCs/>
          <w:color w:val="00AEEF"/>
          <w:sz w:val="39"/>
          <w:szCs w:val="39"/>
          <w:lang w:val="en-US"/>
        </w:rPr>
        <w:t>3. Modify the Diet</w:t>
      </w:r>
    </w:p>
    <w:p w:rsidR="002C0E75" w:rsidRPr="002C0E75" w:rsidRDefault="002C0E75" w:rsidP="002C0E7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lastRenderedPageBreak/>
        <w:t>Reduce the intake and frequency of refined carbohydrates. Avoid sticky</w:t>
      </w:r>
      <w:r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foods and replace refined with unrefined natural food. Increase the intake of</w:t>
      </w:r>
      <w:r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fibrous food to stimulate salivary flow, which is protective against </w:t>
      </w:r>
      <w:bookmarkStart w:id="0" w:name="_GoBack"/>
      <w:bookmarkEnd w:id="0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caries.</w:t>
      </w:r>
      <w:r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Consume caries-protective foods such as cheese, nuts, raw vegetables, fruits,</w:t>
      </w:r>
      <w:r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etc. Stimulate salivary flow with </w:t>
      </w:r>
      <w:proofErr w:type="spellStart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sugarfree</w:t>
      </w:r>
      <w:proofErr w:type="spellEnd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chewing gum. Xylitol (a sugar</w:t>
      </w:r>
      <w:r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</w:t>
      </w:r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substitute)-containing chewing gum, if chewed between meals, produces an</w:t>
      </w:r>
      <w:r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</w:t>
      </w:r>
      <w:proofErr w:type="spellStart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>anticaries</w:t>
      </w:r>
      <w:proofErr w:type="spellEnd"/>
      <w:r w:rsidRPr="002C0E75">
        <w:rPr>
          <w:rFonts w:ascii="LiberationSerif" w:eastAsia="LiberationSerif" w:hAnsi="LiberationSerif-BoldItalic" w:cs="LiberationSerif"/>
          <w:color w:val="000000"/>
          <w:sz w:val="30"/>
          <w:szCs w:val="30"/>
          <w:lang w:val="en-US"/>
        </w:rPr>
        <w:t xml:space="preserve"> effect by stimulating salivary flow.</w:t>
      </w:r>
    </w:p>
    <w:sectPr w:rsidR="002C0E75" w:rsidRPr="002C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75"/>
    <w:rsid w:val="00223CDD"/>
    <w:rsid w:val="002C0E75"/>
    <w:rsid w:val="005E07DE"/>
    <w:rsid w:val="00AB177B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C52F"/>
  <w15:chartTrackingRefBased/>
  <w15:docId w15:val="{36036F8F-B843-4308-B2AC-5C2B000D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1</cp:revision>
  <dcterms:created xsi:type="dcterms:W3CDTF">2022-10-07T03:09:00Z</dcterms:created>
  <dcterms:modified xsi:type="dcterms:W3CDTF">2022-10-07T03:12:00Z</dcterms:modified>
</cp:coreProperties>
</file>