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E5" w:rsidRPr="00DF3876" w:rsidRDefault="00857A6B" w:rsidP="00577FA1">
      <w:pPr>
        <w:pStyle w:val="a3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DF3876">
        <w:rPr>
          <w:rFonts w:ascii="Times New Roman" w:hAnsi="Times New Roman" w:cs="Times New Roman"/>
          <w:color w:val="C00000"/>
          <w:sz w:val="32"/>
          <w:szCs w:val="32"/>
        </w:rPr>
        <w:t>Тема №1.</w:t>
      </w:r>
    </w:p>
    <w:p w:rsidR="00857A6B" w:rsidRDefault="00857A6B" w:rsidP="00577F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работы по приёму лекарс</w:t>
      </w:r>
      <w:r w:rsidR="00C30678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венных средств, товаров аптечного ассортимента. Документы, подтверждающие качество.</w:t>
      </w:r>
    </w:p>
    <w:p w:rsidR="00857A6B" w:rsidRDefault="00857A6B" w:rsidP="00577F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57A6B" w:rsidRDefault="00857A6B" w:rsidP="00577F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double"/>
        </w:rPr>
      </w:pPr>
      <w:r w:rsidRPr="002F74C4">
        <w:rPr>
          <w:rFonts w:ascii="Times New Roman" w:hAnsi="Times New Roman" w:cs="Times New Roman"/>
          <w:color w:val="000000"/>
          <w:sz w:val="28"/>
          <w:szCs w:val="28"/>
          <w:u w:val="double"/>
        </w:rPr>
        <w:t>Организация работы по приёму товара в аптеке.</w:t>
      </w:r>
    </w:p>
    <w:p w:rsidR="00857A6B" w:rsidRDefault="00857A6B" w:rsidP="00577F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Приёмочный контроль в аптеке производится согласно приказу </w:t>
      </w:r>
      <w:r w:rsidRPr="002F74C4">
        <w:rPr>
          <w:rFonts w:ascii="Times New Roman" w:hAnsi="Times New Roman" w:cs="Times New Roman"/>
          <w:color w:val="000000"/>
          <w:sz w:val="28"/>
          <w:szCs w:val="28"/>
        </w:rPr>
        <w:t>Минздрава России от 31.08.2016 N 647н "Об утверждении Правил надлежащей аптечной практики лекарственных препаратов для медицинского применения"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7A6B" w:rsidRDefault="00857A6B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приёмочного контроля работники аптеки проверяют, соответствует ли принимаемый товар товаросопроводительной документации по ассортименту, количеству и качеству, соблюдены ли специальные условия хранения, а также наличие повреждений транспортной тары. Если тара повреждена, нужно осуществлять приемочный контроль в присутствии компании-поставщика или транспортной компании.</w:t>
      </w:r>
    </w:p>
    <w:p w:rsidR="00857A6B" w:rsidRDefault="00857A6B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Приёмочный контроль проводится материально ответственным лицом, при этом должна быть создана приёмная комиссия в аптеке. Если все в порядке, приёмочный контроль проводит материально ответственное лицо и заверяет документы подписью, штампом или печатью. Если выявляется какое-то несоответствие, тогда начинает работать приемная комиссия, она составляет акт претензии поставщику. Все несоответствия нужно прописывать в договоре поставки. </w:t>
      </w:r>
    </w:p>
    <w:p w:rsidR="00857A6B" w:rsidRDefault="00857A6B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6B" w:rsidRPr="002F74C4" w:rsidRDefault="00857A6B" w:rsidP="00577F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2F74C4">
        <w:rPr>
          <w:rFonts w:ascii="Times New Roman" w:hAnsi="Times New Roman" w:cs="Times New Roman"/>
          <w:sz w:val="28"/>
          <w:szCs w:val="28"/>
          <w:u w:val="double"/>
        </w:rPr>
        <w:t>Организация работы по проведению контролю качества, получаемого товара. Документы, подтверждающие качество.</w:t>
      </w:r>
    </w:p>
    <w:p w:rsidR="00857A6B" w:rsidRDefault="00857A6B" w:rsidP="00577FA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577FA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качество товара:</w:t>
      </w:r>
    </w:p>
    <w:p w:rsidR="00857A6B" w:rsidRDefault="00857A6B" w:rsidP="00577F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Товарная накладная.</w:t>
      </w:r>
    </w:p>
    <w:p w:rsidR="00857A6B" w:rsidRDefault="00857A6B" w:rsidP="00577F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Товарно-транспортная накладная.</w:t>
      </w:r>
    </w:p>
    <w:p w:rsidR="00857A6B" w:rsidRDefault="00857A6B" w:rsidP="00577F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Счет-фактура.</w:t>
      </w:r>
    </w:p>
    <w:p w:rsidR="00857A6B" w:rsidRDefault="00857A6B" w:rsidP="00577F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документов по качеству и других документах, удостоверяющих количество или качество поступивших товаров.</w:t>
      </w:r>
    </w:p>
    <w:p w:rsidR="00857A6B" w:rsidRDefault="00857A6B" w:rsidP="00577F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согласования цен.</w:t>
      </w:r>
    </w:p>
    <w:p w:rsidR="00857A6B" w:rsidRDefault="00857A6B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Приёмочный контроль заключается в проверке членами комиссии  поступающих лекарственных препаратов путем оценки:</w:t>
      </w:r>
    </w:p>
    <w:p w:rsidR="00857A6B" w:rsidRDefault="00857A6B" w:rsidP="00577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Внешнего вида.</w:t>
      </w:r>
    </w:p>
    <w:p w:rsidR="00857A6B" w:rsidRDefault="00857A6B" w:rsidP="00577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и запаха.</w:t>
      </w:r>
    </w:p>
    <w:p w:rsidR="00857A6B" w:rsidRDefault="00857A6B" w:rsidP="00577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Целостности упаковки.</w:t>
      </w:r>
    </w:p>
    <w:p w:rsidR="00857A6B" w:rsidRDefault="00857A6B" w:rsidP="00577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оформления сопроводительных документов.</w:t>
      </w:r>
    </w:p>
    <w:p w:rsidR="00857A6B" w:rsidRDefault="00857A6B" w:rsidP="00577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маркировки лекарственных препаратов.</w:t>
      </w:r>
    </w:p>
    <w:p w:rsidR="00857A6B" w:rsidRPr="002F74C4" w:rsidRDefault="00857A6B" w:rsidP="00577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реестра деклараций, подтверждающих качество лекарственных средств, в соответствии с действующими </w:t>
      </w:r>
      <w:r w:rsidRPr="002F74C4">
        <w:rPr>
          <w:rFonts w:ascii="Times New Roman" w:hAnsi="Times New Roman" w:cs="Times New Roman"/>
          <w:sz w:val="28"/>
          <w:szCs w:val="28"/>
        </w:rPr>
        <w:t xml:space="preserve">нормативными документами. </w:t>
      </w:r>
    </w:p>
    <w:p w:rsidR="00857A6B" w:rsidRPr="002F74C4" w:rsidRDefault="00857A6B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74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несоответствия товаров аптечного ассортимента по условиям договора, данным сопроводительных документов материально-ответственное лицо оставляет претензию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57A6B" w:rsidRDefault="00857A6B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E3D">
        <w:rPr>
          <w:rFonts w:ascii="Times New Roman" w:hAnsi="Times New Roman" w:cs="Times New Roman"/>
          <w:bCs/>
          <w:sz w:val="28"/>
          <w:szCs w:val="28"/>
          <w:u w:val="single"/>
        </w:rPr>
        <w:t>Дезинфицирующие</w:t>
      </w:r>
      <w:r w:rsidRPr="00E37E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E37E3D">
        <w:rPr>
          <w:rFonts w:ascii="Times New Roman" w:hAnsi="Times New Roman" w:cs="Times New Roman"/>
          <w:bCs/>
          <w:sz w:val="28"/>
          <w:szCs w:val="28"/>
          <w:u w:val="single"/>
        </w:rPr>
        <w:t>средства</w:t>
      </w:r>
      <w:r w:rsidRPr="00E37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</w:t>
      </w:r>
      <w:r w:rsidRPr="00E37E3D">
        <w:rPr>
          <w:rFonts w:ascii="Times New Roman" w:hAnsi="Times New Roman" w:cs="Times New Roman"/>
          <w:bCs/>
          <w:sz w:val="28"/>
          <w:szCs w:val="28"/>
        </w:rPr>
        <w:t>дезинфицирующих</w:t>
      </w:r>
      <w:r w:rsidRPr="00E37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7E3D">
        <w:rPr>
          <w:rFonts w:ascii="Times New Roman" w:hAnsi="Times New Roman" w:cs="Times New Roman"/>
          <w:bCs/>
          <w:sz w:val="28"/>
          <w:szCs w:val="28"/>
        </w:rPr>
        <w:t>средствах</w:t>
      </w:r>
      <w:r w:rsidRPr="00E37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изготовителе, инструкций по применению.</w:t>
      </w:r>
    </w:p>
    <w:p w:rsidR="00857A6B" w:rsidRDefault="00857A6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7A6B" w:rsidRDefault="00857A6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E3D">
        <w:rPr>
          <w:rFonts w:ascii="Times New Roman" w:hAnsi="Times New Roman" w:cs="Times New Roman"/>
          <w:bCs/>
          <w:sz w:val="28"/>
          <w:szCs w:val="28"/>
          <w:u w:val="single"/>
        </w:rPr>
        <w:t>Парфюмерно</w:t>
      </w:r>
      <w:r w:rsidRPr="00E37E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r w:rsidRPr="00E37E3D">
        <w:rPr>
          <w:rFonts w:ascii="Times New Roman" w:hAnsi="Times New Roman" w:cs="Times New Roman"/>
          <w:bCs/>
          <w:sz w:val="28"/>
          <w:szCs w:val="28"/>
          <w:u w:val="single"/>
        </w:rPr>
        <w:t>косметическая</w:t>
      </w:r>
      <w:r w:rsidRPr="00E37E3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E37E3D">
        <w:rPr>
          <w:rFonts w:ascii="Times New Roman" w:hAnsi="Times New Roman" w:cs="Times New Roman"/>
          <w:bCs/>
          <w:sz w:val="28"/>
          <w:szCs w:val="28"/>
          <w:u w:val="single"/>
        </w:rPr>
        <w:t>продукция</w:t>
      </w:r>
      <w:r w:rsidRPr="00E37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подаваемая в торговую зону, должна соответствовать требованиям, определенным Решением Комиссии Таможенного союза от 23 сентября 2011 г. № 799 «О принятии технического регламента Таможенного союза «О безопасности </w:t>
      </w:r>
      <w:r w:rsidRPr="00E37E3D">
        <w:rPr>
          <w:rFonts w:ascii="Times New Roman" w:hAnsi="Times New Roman" w:cs="Times New Roman"/>
          <w:bCs/>
          <w:sz w:val="28"/>
          <w:szCs w:val="28"/>
        </w:rPr>
        <w:t>парфюмерно</w:t>
      </w:r>
      <w:r w:rsidRPr="00E37E3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37E3D">
        <w:rPr>
          <w:rFonts w:ascii="Times New Roman" w:hAnsi="Times New Roman" w:cs="Times New Roman"/>
          <w:bCs/>
          <w:sz w:val="28"/>
          <w:szCs w:val="28"/>
        </w:rPr>
        <w:t>косметической</w:t>
      </w:r>
      <w:r w:rsidRPr="00E37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7E3D">
        <w:rPr>
          <w:rFonts w:ascii="Times New Roman" w:hAnsi="Times New Roman" w:cs="Times New Roman"/>
          <w:bCs/>
          <w:sz w:val="28"/>
          <w:szCs w:val="28"/>
        </w:rPr>
        <w:t>продукции</w:t>
      </w:r>
      <w:r w:rsidRPr="00E37E3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57A6B" w:rsidRDefault="00857A6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7A6B" w:rsidRDefault="00857A6B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Торговая продукция, у которой целостность упаковки нарушена, запрещается. В случае всех нарушений торговая продукция подлежит возврату поставщику. </w:t>
      </w:r>
      <w:r w:rsidRPr="00857A6B">
        <w:rPr>
          <w:rFonts w:ascii="Times New Roman" w:hAnsi="Times New Roman" w:cs="Times New Roman"/>
          <w:sz w:val="28"/>
          <w:szCs w:val="28"/>
        </w:rPr>
        <w:t>Если же товар соответствует всем показателям, то на него наклеивают ценники и размещают по местам хранения.</w:t>
      </w:r>
    </w:p>
    <w:p w:rsidR="00927F52" w:rsidRDefault="00927F52" w:rsidP="00577FA1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  <w:u w:val="double"/>
        </w:rPr>
      </w:pPr>
    </w:p>
    <w:p w:rsidR="00927F52" w:rsidRPr="00927F52" w:rsidRDefault="00927F52" w:rsidP="00577FA1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  <w:u w:val="doub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double"/>
        </w:rPr>
        <w:t>Тема 1: оценка</w:t>
      </w:r>
      <w:r w:rsidRPr="00927F52"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5.</w:t>
      </w: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Default="00857A6B" w:rsidP="00857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6B" w:rsidRPr="00DF3876" w:rsidRDefault="00857A6B" w:rsidP="00857A6B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DF3876">
        <w:rPr>
          <w:rFonts w:ascii="Times New Roman" w:hAnsi="Times New Roman" w:cs="Times New Roman"/>
          <w:color w:val="C00000"/>
          <w:sz w:val="32"/>
          <w:szCs w:val="32"/>
        </w:rPr>
        <w:t>Тема №2.</w:t>
      </w:r>
    </w:p>
    <w:p w:rsidR="00857A6B" w:rsidRPr="00857A6B" w:rsidRDefault="00857A6B" w:rsidP="00857A6B">
      <w:pPr>
        <w:pStyle w:val="a3"/>
        <w:rPr>
          <w:rFonts w:ascii="Times New Roman" w:hAnsi="Times New Roman" w:cs="Times New Roman"/>
          <w:sz w:val="32"/>
          <w:szCs w:val="32"/>
        </w:rPr>
      </w:pPr>
      <w:r w:rsidRPr="00857A6B">
        <w:rPr>
          <w:rFonts w:ascii="Times New Roman" w:hAnsi="Times New Roman" w:cs="Times New Roman"/>
          <w:sz w:val="32"/>
          <w:szCs w:val="32"/>
        </w:rPr>
        <w:t xml:space="preserve">Лекарственные средства. Анализ ассортимента. Хранение. Реализация. </w:t>
      </w:r>
    </w:p>
    <w:p w:rsidR="00857A6B" w:rsidRPr="00857A6B" w:rsidRDefault="00857A6B" w:rsidP="00857A6B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u w:val="double"/>
          <w:lang w:val="en-US"/>
        </w:rPr>
      </w:pPr>
      <w:r w:rsidRPr="00857A6B">
        <w:rPr>
          <w:rFonts w:ascii="Times New Roman" w:hAnsi="Times New Roman" w:cs="Times New Roman"/>
          <w:color w:val="000000"/>
          <w:sz w:val="28"/>
          <w:szCs w:val="28"/>
          <w:u w:val="double"/>
        </w:rPr>
        <w:t>Анализ ассортимента лекарственных групп.</w:t>
      </w:r>
    </w:p>
    <w:p w:rsidR="00857A6B" w:rsidRPr="00857A6B" w:rsidRDefault="00857A6B" w:rsidP="00857A6B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  <w:u w:val="double"/>
          <w:lang w:val="en-US"/>
        </w:rPr>
      </w:pPr>
    </w:p>
    <w:p w:rsidR="00857A6B" w:rsidRPr="00DF3876" w:rsidRDefault="00857A6B" w:rsidP="00857A6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DF3876">
        <w:rPr>
          <w:rFonts w:ascii="Times New Roman" w:hAnsi="Times New Roman" w:cs="Times New Roman"/>
          <w:color w:val="C00000"/>
          <w:sz w:val="28"/>
          <w:szCs w:val="28"/>
        </w:rPr>
        <w:t>Антацидное средство.</w:t>
      </w:r>
    </w:p>
    <w:p w:rsidR="00857A6B" w:rsidRPr="00857A6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>- (</w:t>
      </w:r>
      <w:r>
        <w:rPr>
          <w:rFonts w:ascii="Times New Roman" w:hAnsi="Times New Roman" w:cs="Times New Roman"/>
          <w:color w:val="000000"/>
          <w:sz w:val="28"/>
          <w:szCs w:val="28"/>
        </w:rPr>
        <w:t>ТН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Алмагель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МНН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Алгелдрат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</w:rPr>
        <w:t>Магния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гидроксид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ATX A02AX</w:t>
      </w:r>
    </w:p>
    <w:p w:rsidR="00857A6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57A6B" w:rsidRPr="00DF3876" w:rsidRDefault="00857A6B" w:rsidP="00857A6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DF3876">
        <w:rPr>
          <w:rFonts w:ascii="Times New Roman" w:hAnsi="Times New Roman" w:cs="Times New Roman"/>
          <w:color w:val="C00000"/>
          <w:sz w:val="28"/>
          <w:szCs w:val="28"/>
        </w:rPr>
        <w:t>НПВС</w:t>
      </w:r>
    </w:p>
    <w:p w:rsidR="00857A6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>- (</w:t>
      </w:r>
      <w:r>
        <w:rPr>
          <w:rFonts w:ascii="Times New Roman" w:hAnsi="Times New Roman" w:cs="Times New Roman"/>
          <w:color w:val="000000"/>
          <w:sz w:val="28"/>
          <w:szCs w:val="28"/>
        </w:rPr>
        <w:t>ТН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Нурофен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МНН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Ибупрофен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ATX M01AE01</w:t>
      </w:r>
    </w:p>
    <w:p w:rsidR="00857A6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57A6B" w:rsidRPr="00DF3876" w:rsidRDefault="00857A6B" w:rsidP="00857A6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DF3876">
        <w:rPr>
          <w:rFonts w:ascii="Times New Roman" w:hAnsi="Times New Roman" w:cs="Times New Roman"/>
          <w:color w:val="C00000"/>
          <w:sz w:val="28"/>
          <w:szCs w:val="28"/>
        </w:rPr>
        <w:t>Энтеросорбирующее средство.</w:t>
      </w:r>
    </w:p>
    <w:p w:rsidR="00857A6B" w:rsidRPr="0098584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-(ТН) Полисорб МП (МНН)Кремния диоксид коллоидный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ATX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BC</w:t>
      </w:r>
    </w:p>
    <w:p w:rsidR="00857A6B" w:rsidRPr="0098584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57A6B" w:rsidRPr="00DF3876" w:rsidRDefault="00857A6B" w:rsidP="00857A6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DF3876">
        <w:rPr>
          <w:rFonts w:ascii="Times New Roman" w:hAnsi="Times New Roman" w:cs="Times New Roman"/>
          <w:color w:val="C00000"/>
          <w:sz w:val="28"/>
          <w:szCs w:val="28"/>
        </w:rPr>
        <w:t>Ингибитор АПФ.</w:t>
      </w:r>
    </w:p>
    <w:p w:rsidR="00857A6B" w:rsidRPr="0098584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-(ТН) Эналаприл (МНН) Эналаприл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ATX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AA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02</w:t>
      </w:r>
    </w:p>
    <w:p w:rsidR="00857A6B" w:rsidRPr="0098584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57A6B" w:rsidRPr="00DF3876" w:rsidRDefault="00857A6B" w:rsidP="00857A6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DF3876">
        <w:rPr>
          <w:rFonts w:ascii="Times New Roman" w:hAnsi="Times New Roman" w:cs="Times New Roman"/>
          <w:color w:val="C00000"/>
          <w:sz w:val="28"/>
          <w:szCs w:val="28"/>
        </w:rPr>
        <w:t>Диуретическое средство.</w:t>
      </w:r>
    </w:p>
    <w:p w:rsidR="00857A6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>-(</w:t>
      </w:r>
      <w:r>
        <w:rPr>
          <w:rFonts w:ascii="Times New Roman" w:hAnsi="Times New Roman" w:cs="Times New Roman"/>
          <w:color w:val="000000"/>
          <w:sz w:val="28"/>
          <w:szCs w:val="28"/>
        </w:rPr>
        <w:t>ТН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Индапамид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МНН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Индапамид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ATX C03BA11</w:t>
      </w:r>
    </w:p>
    <w:p w:rsidR="00857A6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57A6B" w:rsidRPr="00DF3876" w:rsidRDefault="00857A6B" w:rsidP="00857A6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DF3876">
        <w:rPr>
          <w:rFonts w:ascii="Times New Roman" w:hAnsi="Times New Roman" w:cs="Times New Roman"/>
          <w:color w:val="C00000"/>
          <w:sz w:val="28"/>
          <w:szCs w:val="28"/>
        </w:rPr>
        <w:t>Спазмолитическое средство.</w:t>
      </w:r>
    </w:p>
    <w:p w:rsidR="00857A6B" w:rsidRPr="0098584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-(ТН) Спазмол (МНН) Дротаверин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ATX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AD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02</w:t>
      </w:r>
    </w:p>
    <w:p w:rsidR="00857A6B" w:rsidRPr="0098584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57A6B" w:rsidRPr="00DF3876" w:rsidRDefault="00857A6B" w:rsidP="00857A6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DF3876">
        <w:rPr>
          <w:rFonts w:ascii="Times New Roman" w:hAnsi="Times New Roman" w:cs="Times New Roman"/>
          <w:color w:val="C00000"/>
          <w:sz w:val="28"/>
          <w:szCs w:val="28"/>
        </w:rPr>
        <w:t>Противовирусное средство.</w:t>
      </w:r>
    </w:p>
    <w:p w:rsidR="00857A6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>-(</w:t>
      </w:r>
      <w:r>
        <w:rPr>
          <w:rFonts w:ascii="Times New Roman" w:hAnsi="Times New Roman" w:cs="Times New Roman"/>
          <w:color w:val="000000"/>
          <w:sz w:val="28"/>
          <w:szCs w:val="28"/>
        </w:rPr>
        <w:t>ТН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Кагоцел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МНН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Кагоцел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ATX J05AX</w:t>
      </w:r>
    </w:p>
    <w:p w:rsidR="00857A6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57A6B" w:rsidRPr="00DF3876" w:rsidRDefault="00857A6B" w:rsidP="00857A6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DF3876">
        <w:rPr>
          <w:rFonts w:ascii="Times New Roman" w:hAnsi="Times New Roman" w:cs="Times New Roman"/>
          <w:color w:val="C00000"/>
          <w:sz w:val="28"/>
          <w:szCs w:val="28"/>
        </w:rPr>
        <w:t>Анксиолитическое средство.</w:t>
      </w:r>
    </w:p>
    <w:p w:rsidR="00857A6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>-(</w:t>
      </w:r>
      <w:r>
        <w:rPr>
          <w:rFonts w:ascii="Times New Roman" w:hAnsi="Times New Roman" w:cs="Times New Roman"/>
          <w:color w:val="000000"/>
          <w:sz w:val="28"/>
          <w:szCs w:val="28"/>
        </w:rPr>
        <w:t>ТН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Ксанакс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МНН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Алпразолам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ATX N05BA12</w:t>
      </w:r>
    </w:p>
    <w:p w:rsidR="00857A6B" w:rsidRPr="00DF3876" w:rsidRDefault="00857A6B" w:rsidP="00857A6B">
      <w:pPr>
        <w:pStyle w:val="a3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</w:p>
    <w:p w:rsidR="00857A6B" w:rsidRPr="00DF3876" w:rsidRDefault="00857A6B" w:rsidP="00857A6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DF3876">
        <w:rPr>
          <w:rFonts w:ascii="Times New Roman" w:hAnsi="Times New Roman" w:cs="Times New Roman"/>
          <w:color w:val="C00000"/>
          <w:sz w:val="28"/>
          <w:szCs w:val="28"/>
        </w:rPr>
        <w:t>Местноанестезирующее средство.</w:t>
      </w:r>
    </w:p>
    <w:p w:rsidR="00857A6B" w:rsidRPr="0098584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-(ТН) Меновазин (МНН) Бензокаин+Прокаин+Рацементол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ATX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AB</w:t>
      </w:r>
    </w:p>
    <w:p w:rsidR="00857A6B" w:rsidRPr="0098584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57A6B" w:rsidRPr="00DF3876" w:rsidRDefault="00857A6B" w:rsidP="00857A6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876">
        <w:rPr>
          <w:rFonts w:ascii="Times New Roman" w:hAnsi="Times New Roman" w:cs="Times New Roman"/>
          <w:color w:val="C00000"/>
          <w:sz w:val="28"/>
          <w:szCs w:val="28"/>
        </w:rPr>
        <w:t>Противогрибковое средство.</w:t>
      </w:r>
    </w:p>
    <w:p w:rsidR="00857A6B" w:rsidRPr="0098584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-(ТН) Лоцерил (МНН) Аморофлин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ATX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AE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:rsidR="00857A6B" w:rsidRPr="0098584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57A6B" w:rsidRPr="0098584B" w:rsidRDefault="00857A6B" w:rsidP="00857A6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985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876">
        <w:rPr>
          <w:rFonts w:ascii="Times New Roman" w:hAnsi="Times New Roman" w:cs="Times New Roman"/>
          <w:color w:val="C00000"/>
          <w:sz w:val="28"/>
          <w:szCs w:val="28"/>
        </w:rPr>
        <w:t>Противоаллергическое средство – Н1 гистаминовых рецепторов.</w:t>
      </w:r>
    </w:p>
    <w:p w:rsidR="00857A6B" w:rsidRPr="0098584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-(ТН) Зодак (МНН) Цетиризин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ATX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AE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07</w:t>
      </w:r>
    </w:p>
    <w:p w:rsidR="00857A6B" w:rsidRPr="0098584B" w:rsidRDefault="00857A6B" w:rsidP="00857A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57A6B" w:rsidRPr="00DF3876" w:rsidRDefault="00DF3876" w:rsidP="00857A6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876">
        <w:rPr>
          <w:rFonts w:ascii="Times New Roman" w:hAnsi="Times New Roman" w:cs="Times New Roman"/>
          <w:color w:val="C00000"/>
          <w:sz w:val="28"/>
          <w:szCs w:val="28"/>
        </w:rPr>
        <w:t>Антиаритмическое средство.</w:t>
      </w:r>
    </w:p>
    <w:p w:rsidR="00DF3876" w:rsidRPr="0098584B" w:rsidRDefault="00DF3876" w:rsidP="00DF387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-(ТН) Аденокор (МНН) Аденозин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ATX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EB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DF3876" w:rsidRPr="0098584B" w:rsidRDefault="00DF3876" w:rsidP="00DF387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F3876" w:rsidRPr="00DF3876" w:rsidRDefault="00DF3876" w:rsidP="00DF3876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876">
        <w:rPr>
          <w:rFonts w:ascii="Times New Roman" w:hAnsi="Times New Roman" w:cs="Times New Roman"/>
          <w:color w:val="C00000"/>
          <w:sz w:val="28"/>
          <w:szCs w:val="28"/>
        </w:rPr>
        <w:t>Адаптогенное средство.</w:t>
      </w:r>
    </w:p>
    <w:p w:rsidR="00DF3876" w:rsidRPr="0098584B" w:rsidRDefault="00DF3876" w:rsidP="00DF387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-(ТН) Энерион (МНН) Сульбутиамин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ATX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02</w:t>
      </w:r>
    </w:p>
    <w:p w:rsidR="00DF3876" w:rsidRPr="0098584B" w:rsidRDefault="00DF3876" w:rsidP="00DF387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F3876" w:rsidRPr="00DF3876" w:rsidRDefault="00DF3876" w:rsidP="00DF3876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876">
        <w:rPr>
          <w:rFonts w:ascii="Times New Roman" w:hAnsi="Times New Roman" w:cs="Times New Roman"/>
          <w:color w:val="C00000"/>
          <w:sz w:val="28"/>
          <w:szCs w:val="28"/>
        </w:rPr>
        <w:t>Антисептическое средство.</w:t>
      </w:r>
    </w:p>
    <w:p w:rsidR="00DF3876" w:rsidRDefault="00DF3876" w:rsidP="00DF3876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>-(</w:t>
      </w:r>
      <w:r>
        <w:rPr>
          <w:rFonts w:ascii="Times New Roman" w:hAnsi="Times New Roman" w:cs="Times New Roman"/>
          <w:color w:val="000000"/>
          <w:sz w:val="28"/>
          <w:szCs w:val="28"/>
        </w:rPr>
        <w:t>ТН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Фарингосепт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МНН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Амбазон</w:t>
      </w:r>
      <w:r w:rsidRPr="009858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ATX R02AA01</w:t>
      </w:r>
    </w:p>
    <w:p w:rsidR="00DF3876" w:rsidRDefault="00DF3876" w:rsidP="00DF3876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F3876" w:rsidRPr="00DF3876" w:rsidRDefault="00DF3876" w:rsidP="00DF3876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DF3876">
        <w:rPr>
          <w:rFonts w:ascii="Times New Roman" w:hAnsi="Times New Roman" w:cs="Times New Roman"/>
          <w:color w:val="C00000"/>
          <w:sz w:val="28"/>
          <w:szCs w:val="28"/>
        </w:rPr>
        <w:t>Противодиарейное средство.</w:t>
      </w:r>
    </w:p>
    <w:p w:rsidR="00DF3876" w:rsidRPr="0098584B" w:rsidRDefault="00DF3876" w:rsidP="00DF387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-(ТН) Ларемид (МНН) Лоперамид 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ATX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03</w:t>
      </w:r>
    </w:p>
    <w:p w:rsidR="00DF3876" w:rsidRPr="0098584B" w:rsidRDefault="00DF3876" w:rsidP="00DF387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F3876" w:rsidRPr="00DF3876" w:rsidRDefault="00DF3876" w:rsidP="00DF3876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val="double"/>
        </w:rPr>
        <w:t>Правила маркировки лекарственных средств.</w:t>
      </w:r>
    </w:p>
    <w:p w:rsidR="00DF3876" w:rsidRDefault="00DF3876" w:rsidP="00DF3876">
      <w:pPr>
        <w:pStyle w:val="a3"/>
        <w:rPr>
          <w:rFonts w:ascii="Times New Roman" w:hAnsi="Times New Roman" w:cs="Times New Roman"/>
          <w:color w:val="000000"/>
          <w:sz w:val="28"/>
          <w:szCs w:val="28"/>
          <w:u w:val="double"/>
        </w:rPr>
      </w:pPr>
    </w:p>
    <w:p w:rsidR="00DF3876" w:rsidRDefault="00DF3876" w:rsidP="00DF387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8584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12.04.2010 </w:t>
      </w:r>
      <w:r w:rsidRPr="00DF3876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 xml:space="preserve"> 61-ФЗ (ред. от 03.04.2020) "Об обращении лекарственных средств"</w:t>
      </w:r>
    </w:p>
    <w:p w:rsidR="00DF3876" w:rsidRDefault="00DF3876" w:rsidP="00DF387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46. Маркировка лекарственных средств</w:t>
      </w:r>
      <w:r w:rsidR="00985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584B" w:rsidRDefault="0098584B" w:rsidP="00DF387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84B">
        <w:rPr>
          <w:rFonts w:ascii="Times New Roman" w:hAnsi="Times New Roman" w:cs="Times New Roman"/>
          <w:color w:val="C00000"/>
          <w:sz w:val="28"/>
          <w:szCs w:val="28"/>
        </w:rPr>
        <w:t>1.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Лекарственные препараты, за исключением лекарственных препаратов, изготовленных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должны поступать в обращение, если:</w:t>
      </w: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 xml:space="preserve"> первичной упаковке (за исключением первичной упаковки лекарственных растительных препаратов)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разборчивым шрифтом на русском языке на каждом препарате указан номер серии, срок годности, дата выпуска, дозирока или концентрация. </w:t>
      </w: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на вторичной упаковке (потребительской) разборчивым шрифтом на рпусском языке 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 xml:space="preserve"> указаны наименование лекарственного препа</w:t>
      </w:r>
      <w:r>
        <w:rPr>
          <w:rFonts w:ascii="Times New Roman" w:hAnsi="Times New Roman" w:cs="Times New Roman"/>
          <w:color w:val="000000"/>
          <w:sz w:val="28"/>
          <w:szCs w:val="28"/>
        </w:rPr>
        <w:t>рата</w:t>
      </w:r>
      <w:r w:rsidRPr="0098584B">
        <w:rPr>
          <w:rFonts w:ascii="Times New Roman" w:hAnsi="Times New Roman" w:cs="Times New Roman"/>
          <w:color w:val="000000"/>
          <w:sz w:val="28"/>
          <w:szCs w:val="28"/>
        </w:rPr>
        <w:t>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 отпуска, условия хранения, предупредительные надписи.</w:t>
      </w: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84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2.</w:t>
      </w:r>
      <w:r w:rsidRPr="0098584B">
        <w:rPr>
          <w:rFonts w:ascii="Times New Roman" w:hAnsi="Times New Roman" w:cs="Times New Roman"/>
          <w:sz w:val="28"/>
          <w:szCs w:val="28"/>
          <w:lang w:eastAsia="ru-RU"/>
        </w:rPr>
        <w:t xml:space="preserve">Фармацевтические субстанции должны поступать в обращение, если на их первичной упаковке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разборчивым </w:t>
      </w:r>
      <w:r w:rsidRPr="0098584B">
        <w:rPr>
          <w:rFonts w:ascii="Times New Roman" w:hAnsi="Times New Roman" w:cs="Times New Roman"/>
          <w:sz w:val="28"/>
          <w:szCs w:val="28"/>
          <w:lang w:eastAsia="ru-RU"/>
        </w:rPr>
        <w:t>шрифтом на русском языке указаны наименование фармацевтической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убстанции, </w:t>
      </w:r>
      <w:r w:rsidRPr="0098584B">
        <w:rPr>
          <w:rFonts w:ascii="Times New Roman" w:hAnsi="Times New Roman" w:cs="Times New Roman"/>
          <w:sz w:val="28"/>
          <w:szCs w:val="28"/>
          <w:lang w:eastAsia="ru-RU"/>
        </w:rPr>
        <w:t>наименование производителя фармацевтической субстанции, количество в упаковке, срок 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сти, условия хранения, </w:t>
      </w:r>
      <w:r w:rsidRPr="0098584B">
        <w:rPr>
          <w:rFonts w:ascii="Times New Roman" w:hAnsi="Times New Roman" w:cs="Times New Roman"/>
          <w:sz w:val="28"/>
          <w:szCs w:val="28"/>
          <w:lang w:eastAsia="ru-RU"/>
        </w:rPr>
        <w:t>номер серии и дата изготовления,</w:t>
      </w:r>
    </w:p>
    <w:p w:rsidR="0098584B" w:rsidRPr="0098584B" w:rsidRDefault="0098584B" w:rsidP="00577FA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st100561"/>
      <w:bookmarkEnd w:id="0"/>
      <w:r w:rsidRPr="0098584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3.</w:t>
      </w:r>
      <w:r w:rsidRPr="0098584B">
        <w:rPr>
          <w:rFonts w:ascii="Times New Roman" w:hAnsi="Times New Roman" w:cs="Times New Roman"/>
          <w:sz w:val="28"/>
          <w:szCs w:val="28"/>
          <w:lang w:eastAsia="ru-RU"/>
        </w:rPr>
        <w:t>Лекарственные средства в качестве сывороток должны поступать в обращение с указанием животного, из крови, плазмы крови, органов и тканей которого они получены.</w:t>
      </w:r>
    </w:p>
    <w:p w:rsidR="0098584B" w:rsidRPr="0098584B" w:rsidRDefault="0098584B" w:rsidP="00577FA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84B" w:rsidRP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100562"/>
      <w:bookmarkEnd w:id="1"/>
      <w:r w:rsidRPr="0098584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lastRenderedPageBreak/>
        <w:t>4.</w:t>
      </w:r>
      <w:r w:rsidRPr="0098584B">
        <w:rPr>
          <w:rFonts w:ascii="Times New Roman" w:hAnsi="Times New Roman" w:cs="Times New Roman"/>
          <w:sz w:val="28"/>
          <w:szCs w:val="28"/>
          <w:lang w:eastAsia="ru-RU"/>
        </w:rPr>
        <w:t xml:space="preserve"> На вторичную (потребительскую) упаковку лекарственных средств, полученных из крови, плазмы крови, органов и тканей человека, должна наноситься надпись: "Антитела к ВИЧ-1, ВИЧ-2, к вирусу гепатита C и поверхностный антиген вируса гепатита B отсутствуют".</w:t>
      </w: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dst100563"/>
      <w:bookmarkEnd w:id="2"/>
    </w:p>
    <w:p w:rsidR="0098584B" w:rsidRP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84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5.</w:t>
      </w:r>
      <w:r w:rsidRPr="0098584B">
        <w:rPr>
          <w:rFonts w:ascii="Times New Roman" w:hAnsi="Times New Roman" w:cs="Times New Roman"/>
          <w:sz w:val="28"/>
          <w:szCs w:val="28"/>
          <w:lang w:eastAsia="ru-RU"/>
        </w:rPr>
        <w:t xml:space="preserve"> На первичную упаковку и вторичную (потребительскую) упаковку радиофармацевтических лекарственных средств должен наноситься знак радиационной опасности.</w:t>
      </w: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100564"/>
      <w:bookmarkEnd w:id="3"/>
    </w:p>
    <w:p w:rsidR="0098584B" w:rsidRP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84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6.</w:t>
      </w:r>
      <w:r w:rsidRPr="0098584B">
        <w:rPr>
          <w:rFonts w:ascii="Times New Roman" w:hAnsi="Times New Roman" w:cs="Times New Roman"/>
          <w:sz w:val="28"/>
          <w:szCs w:val="28"/>
          <w:lang w:eastAsia="ru-RU"/>
        </w:rPr>
        <w:t xml:space="preserve"> На вторичную (потребительскую) упаковку гомеопатических лекарственных препаратов должна наноситься надпись: "Гомеопатический".</w:t>
      </w: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dst100565"/>
      <w:bookmarkEnd w:id="4"/>
    </w:p>
    <w:p w:rsidR="0098584B" w:rsidRP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84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7.</w:t>
      </w:r>
      <w:r w:rsidRPr="0098584B">
        <w:rPr>
          <w:rFonts w:ascii="Times New Roman" w:hAnsi="Times New Roman" w:cs="Times New Roman"/>
          <w:sz w:val="28"/>
          <w:szCs w:val="28"/>
          <w:lang w:eastAsia="ru-RU"/>
        </w:rPr>
        <w:t xml:space="preserve"> На вторичную (потребительскую) упаковку лекарственных растительных препаратов должна наноситься надпись: "Продукция прошла радиационный контроль".</w:t>
      </w: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dst500"/>
      <w:bookmarkEnd w:id="5"/>
    </w:p>
    <w:p w:rsidR="0098584B" w:rsidRP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84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8.</w:t>
      </w:r>
      <w:r w:rsidRPr="0098584B">
        <w:rPr>
          <w:rFonts w:ascii="Times New Roman" w:hAnsi="Times New Roman" w:cs="Times New Roman"/>
          <w:sz w:val="28"/>
          <w:szCs w:val="28"/>
          <w:lang w:eastAsia="ru-RU"/>
        </w:rPr>
        <w:t xml:space="preserve"> На первичную упаковку и вторичную (потребительскую) упаковку лекарственных препаратов, предназначенных для клинических исследований, должна наноситься надпись: "Для клинических исследований".</w:t>
      </w: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dst100567"/>
      <w:bookmarkEnd w:id="6"/>
    </w:p>
    <w:p w:rsidR="0098584B" w:rsidRP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84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9.</w:t>
      </w:r>
      <w:r w:rsidRPr="0098584B">
        <w:rPr>
          <w:rFonts w:ascii="Times New Roman" w:hAnsi="Times New Roman" w:cs="Times New Roman"/>
          <w:sz w:val="28"/>
          <w:szCs w:val="28"/>
          <w:lang w:eastAsia="ru-RU"/>
        </w:rPr>
        <w:t xml:space="preserve"> Упаковка лекарственных средств, предназначенных исключительно для экспорта, маркируется в соответствии с требованиями страны-импортера.</w:t>
      </w: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dst100568"/>
      <w:bookmarkEnd w:id="7"/>
    </w:p>
    <w:p w:rsidR="0098584B" w:rsidRP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84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10.</w:t>
      </w:r>
      <w:r w:rsidRPr="0098584B">
        <w:rPr>
          <w:rFonts w:ascii="Times New Roman" w:hAnsi="Times New Roman" w:cs="Times New Roman"/>
          <w:sz w:val="28"/>
          <w:szCs w:val="28"/>
          <w:lang w:eastAsia="ru-RU"/>
        </w:rPr>
        <w:t xml:space="preserve"> На транспортную тару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которую помещено лекарственное средство, она </w:t>
      </w:r>
      <w:r w:rsidRPr="0098584B">
        <w:rPr>
          <w:rFonts w:ascii="Times New Roman" w:hAnsi="Times New Roman" w:cs="Times New Roman"/>
          <w:sz w:val="28"/>
          <w:szCs w:val="28"/>
          <w:lang w:eastAsia="ru-RU"/>
        </w:rPr>
        <w:t>не предназначена для потребителей, должна наноситься 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 об условиях его хранения и перевозки, необходимые предупредительные надписи и манипуляторные знаки.</w:t>
      </w: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dst100569"/>
      <w:bookmarkEnd w:id="8"/>
    </w:p>
    <w:p w:rsidR="0098584B" w:rsidRP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84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11.</w:t>
      </w:r>
      <w:r w:rsidRPr="0098584B">
        <w:rPr>
          <w:rFonts w:ascii="Times New Roman" w:hAnsi="Times New Roman" w:cs="Times New Roman"/>
          <w:sz w:val="28"/>
          <w:szCs w:val="28"/>
          <w:lang w:eastAsia="ru-RU"/>
        </w:rPr>
        <w:t xml:space="preserve"> На первичную упаковку и вторичную (потребительскую) упаковку лекарственных средств для ветеринарного применения должна наноситься надпись: "Для ветеринарного применения".</w:t>
      </w: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dst100570"/>
      <w:bookmarkEnd w:id="9"/>
    </w:p>
    <w:p w:rsidR="0098584B" w:rsidRP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84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12.</w:t>
      </w:r>
      <w:r w:rsidRPr="0098584B">
        <w:rPr>
          <w:rFonts w:ascii="Times New Roman" w:hAnsi="Times New Roman" w:cs="Times New Roman"/>
          <w:sz w:val="28"/>
          <w:szCs w:val="28"/>
          <w:lang w:eastAsia="ru-RU"/>
        </w:rPr>
        <w:t xml:space="preserve"> На вторичную (потребительскую) упаковку лекарственного препарата наносится штриховой код.</w:t>
      </w:r>
    </w:p>
    <w:p w:rsidR="0098584B" w:rsidRDefault="0098584B" w:rsidP="0098584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4B" w:rsidRDefault="0098584B" w:rsidP="0098584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4B" w:rsidRDefault="0098584B" w:rsidP="0098584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4B" w:rsidRDefault="0098584B" w:rsidP="0098584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4B" w:rsidRDefault="0098584B" w:rsidP="0098584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4B" w:rsidRDefault="0098584B" w:rsidP="0098584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4B" w:rsidRDefault="0098584B" w:rsidP="0098584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4B" w:rsidRPr="0098584B" w:rsidRDefault="0098584B" w:rsidP="0098584B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double"/>
        </w:rPr>
        <w:t>Анализ хранения лекарственных средств. Реализация.</w:t>
      </w:r>
    </w:p>
    <w:p w:rsidR="0098584B" w:rsidRDefault="0098584B" w:rsidP="0098584B">
      <w:pPr>
        <w:pStyle w:val="a3"/>
        <w:rPr>
          <w:rFonts w:ascii="Times New Roman" w:hAnsi="Times New Roman" w:cs="Times New Roman"/>
          <w:color w:val="000000"/>
          <w:sz w:val="28"/>
          <w:szCs w:val="28"/>
          <w:u w:val="double"/>
        </w:rPr>
      </w:pPr>
    </w:p>
    <w:p w:rsidR="0098584B" w:rsidRPr="00577FA1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FA1">
        <w:rPr>
          <w:rFonts w:ascii="Times New Roman" w:hAnsi="Times New Roman" w:cs="Times New Roman"/>
          <w:sz w:val="28"/>
          <w:szCs w:val="28"/>
        </w:rPr>
        <w:t xml:space="preserve">Аптечное помещение должно быть оборудовано приборами контроля температуры и влажности воздуха. Поверка приборов осуществляется один раз в сутки, а при изменении внешних условий окружающей среды и чаще. Основные приборы контроля: термометры, гигрометры, психометры. Размещать их следует на высоте около полуметра от уровня пола, на расстоянии не менее трех метров от входной двери. Не допускается устанавливать измерительное оборудование рядом с климатическими приборами (кондиционеры, обогреватели). Данные о состоянии микроклимата фиксируются в специальной карте. </w:t>
      </w:r>
    </w:p>
    <w:p w:rsidR="00577FA1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FA1">
        <w:rPr>
          <w:rFonts w:ascii="Times New Roman" w:hAnsi="Times New Roman" w:cs="Times New Roman"/>
          <w:sz w:val="28"/>
          <w:szCs w:val="28"/>
        </w:rPr>
        <w:t xml:space="preserve">Необходимо оборудовать приточно-вытяжную вентиляцию, в случае отсутствия технической возможности обеспечить естественную вентиляцию путем установки форточек. </w:t>
      </w:r>
    </w:p>
    <w:p w:rsidR="00577FA1" w:rsidRP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84B" w:rsidRDefault="0098584B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FA1">
        <w:rPr>
          <w:rFonts w:ascii="Times New Roman" w:hAnsi="Times New Roman" w:cs="Times New Roman"/>
          <w:sz w:val="28"/>
          <w:szCs w:val="28"/>
        </w:rPr>
        <w:t xml:space="preserve">Для соблюдения правил хранения необходимо организовать правильную систему шкафов и стеллажей. Стеллажи не должны скрадывать естественный свет от окон, освещающих внутренние проходы, а расстояние между ними следует соблюдать так, чтобы обеспечить беспрепятственный подход к любой полке с товаром. </w:t>
      </w:r>
    </w:p>
    <w:p w:rsidR="00577FA1" w:rsidRP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FA1" w:rsidRP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7FA1">
        <w:rPr>
          <w:rFonts w:ascii="Times New Roman" w:hAnsi="Times New Roman" w:cs="Times New Roman"/>
          <w:sz w:val="28"/>
          <w:szCs w:val="28"/>
          <w:u w:val="single"/>
        </w:rPr>
        <w:t>В зависимости от группы товаров аптечного ассортимента выбирается наиболее оптимальный режим хранения. В зависимости от вида ЛС и изделия медицинского назначения могут требовать особых условий:</w:t>
      </w:r>
    </w:p>
    <w:p w:rsid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FA1" w:rsidRP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FA1">
        <w:rPr>
          <w:rFonts w:ascii="Times New Roman" w:hAnsi="Times New Roman" w:cs="Times New Roman"/>
          <w:color w:val="C00000"/>
          <w:sz w:val="28"/>
          <w:szCs w:val="28"/>
        </w:rPr>
        <w:t>-Защита от света</w:t>
      </w:r>
      <w:r w:rsidRPr="00577FA1">
        <w:rPr>
          <w:rFonts w:ascii="Times New Roman" w:hAnsi="Times New Roman" w:cs="Times New Roman"/>
          <w:sz w:val="28"/>
          <w:szCs w:val="28"/>
        </w:rPr>
        <w:t xml:space="preserve"> (экстракты, настойки, эфирные масла, антибиотики, гормональные средства, витамины и т.д.). Данные ЛС хранятся в таре из темных материалов в защищенных от света помещениях. </w:t>
      </w:r>
    </w:p>
    <w:p w:rsidR="00577FA1" w:rsidRP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FA1">
        <w:rPr>
          <w:rFonts w:ascii="Times New Roman" w:hAnsi="Times New Roman" w:cs="Times New Roman"/>
          <w:color w:val="C00000"/>
          <w:sz w:val="28"/>
          <w:szCs w:val="28"/>
        </w:rPr>
        <w:t>-Защита от влаги</w:t>
      </w:r>
      <w:r w:rsidRPr="00577FA1">
        <w:rPr>
          <w:rFonts w:ascii="Times New Roman" w:hAnsi="Times New Roman" w:cs="Times New Roman"/>
          <w:sz w:val="28"/>
          <w:szCs w:val="28"/>
        </w:rPr>
        <w:t xml:space="preserve"> (сухие экстракты и сырье, горчичники, различные соли и соединения). Эти препараты требуют хранения в плотно закупоренной таре, непроницаемой для проникновения влаги. </w:t>
      </w:r>
    </w:p>
    <w:p w:rsidR="00577FA1" w:rsidRP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FA1">
        <w:rPr>
          <w:rFonts w:ascii="Times New Roman" w:hAnsi="Times New Roman" w:cs="Times New Roman"/>
          <w:color w:val="C00000"/>
          <w:sz w:val="28"/>
          <w:szCs w:val="28"/>
        </w:rPr>
        <w:t>-Защита от высыхания и улетучивания</w:t>
      </w:r>
      <w:r w:rsidRPr="00577FA1">
        <w:rPr>
          <w:rFonts w:ascii="Times New Roman" w:hAnsi="Times New Roman" w:cs="Times New Roman"/>
          <w:sz w:val="28"/>
          <w:szCs w:val="28"/>
        </w:rPr>
        <w:t xml:space="preserve"> (спиртовые настойки и концентраты, эфирные масла, летучие вещества). Их нужно хранить в герметичной таре и стекла, металла или фольги. </w:t>
      </w:r>
    </w:p>
    <w:p w:rsidR="00577FA1" w:rsidRP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FA1">
        <w:rPr>
          <w:rFonts w:ascii="Times New Roman" w:hAnsi="Times New Roman" w:cs="Times New Roman"/>
          <w:color w:val="C00000"/>
          <w:sz w:val="28"/>
          <w:szCs w:val="28"/>
        </w:rPr>
        <w:t>-Защита от снижения или повышения температуры (</w:t>
      </w:r>
      <w:r w:rsidRPr="00577FA1">
        <w:rPr>
          <w:rFonts w:ascii="Times New Roman" w:hAnsi="Times New Roman" w:cs="Times New Roman"/>
          <w:sz w:val="28"/>
          <w:szCs w:val="28"/>
        </w:rPr>
        <w:t>антибиот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7FA1">
        <w:rPr>
          <w:rFonts w:ascii="Times New Roman" w:hAnsi="Times New Roman" w:cs="Times New Roman"/>
          <w:sz w:val="28"/>
          <w:szCs w:val="28"/>
        </w:rPr>
        <w:t xml:space="preserve">ки, витамины, инсулин, органопрепараты, легкоплавкие вещества). </w:t>
      </w:r>
    </w:p>
    <w:p w:rsidR="00577FA1" w:rsidRP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FA1">
        <w:rPr>
          <w:rFonts w:ascii="Times New Roman" w:hAnsi="Times New Roman" w:cs="Times New Roman"/>
          <w:color w:val="C00000"/>
          <w:sz w:val="28"/>
          <w:szCs w:val="28"/>
        </w:rPr>
        <w:t>-Защита от газов в окружающей среде</w:t>
      </w:r>
      <w:r w:rsidRPr="00577FA1">
        <w:rPr>
          <w:rFonts w:ascii="Times New Roman" w:hAnsi="Times New Roman" w:cs="Times New Roman"/>
          <w:sz w:val="28"/>
          <w:szCs w:val="28"/>
        </w:rPr>
        <w:t xml:space="preserve"> (ферменты, соли щелочных металлов, фенольные соединения, органопрепараты). Данные средства хранят в плотно укупоренной стеклянной таре в сухом помещении. </w:t>
      </w:r>
    </w:p>
    <w:p w:rsid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FA1" w:rsidRP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FA1">
        <w:rPr>
          <w:rFonts w:ascii="Times New Roman" w:hAnsi="Times New Roman" w:cs="Times New Roman"/>
          <w:sz w:val="28"/>
          <w:szCs w:val="28"/>
        </w:rPr>
        <w:t xml:space="preserve">Условия хранения готовых лекарственных средств определяются характером их свойств и входящих в состав соединений. </w:t>
      </w:r>
    </w:p>
    <w:p w:rsidR="00577FA1" w:rsidRP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FA1">
        <w:rPr>
          <w:rFonts w:ascii="Times New Roman" w:hAnsi="Times New Roman" w:cs="Times New Roman"/>
          <w:color w:val="C00000"/>
          <w:sz w:val="28"/>
          <w:szCs w:val="28"/>
        </w:rPr>
        <w:lastRenderedPageBreak/>
        <w:t>-Драже и таблетки</w:t>
      </w:r>
      <w:r w:rsidRPr="00577FA1">
        <w:rPr>
          <w:rFonts w:ascii="Times New Roman" w:hAnsi="Times New Roman" w:cs="Times New Roman"/>
          <w:sz w:val="28"/>
          <w:szCs w:val="28"/>
        </w:rPr>
        <w:t xml:space="preserve"> хранят в сухом защищенном от света месте, если это рекомендовано производителем. При наличии хрупкой тары (ампулы) ЛС хранятся в отдельном шкафу. Все готовые препараты следует хранить в заводской упаковке. </w:t>
      </w:r>
    </w:p>
    <w:p w:rsid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FA1">
        <w:rPr>
          <w:rFonts w:ascii="Times New Roman" w:hAnsi="Times New Roman" w:cs="Times New Roman"/>
          <w:color w:val="C00000"/>
          <w:sz w:val="28"/>
          <w:szCs w:val="28"/>
        </w:rPr>
        <w:t>-Сиропы, настойки, микстуры</w:t>
      </w:r>
      <w:r w:rsidRPr="00577FA1">
        <w:rPr>
          <w:rFonts w:ascii="Times New Roman" w:hAnsi="Times New Roman" w:cs="Times New Roman"/>
          <w:sz w:val="28"/>
          <w:szCs w:val="28"/>
        </w:rPr>
        <w:t xml:space="preserve"> и прочие жидкие формы нужно хранить в герметичной таре в защищенном от света месте с соблюдением температурного режима. </w:t>
      </w:r>
    </w:p>
    <w:p w:rsidR="00577FA1" w:rsidRP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FA1">
        <w:rPr>
          <w:rFonts w:ascii="Times New Roman" w:hAnsi="Times New Roman" w:cs="Times New Roman"/>
          <w:color w:val="C00000"/>
          <w:sz w:val="28"/>
          <w:szCs w:val="28"/>
        </w:rPr>
        <w:t>-Мази, гели, линименты, суппозитории</w:t>
      </w:r>
      <w:r w:rsidRPr="00577FA1">
        <w:rPr>
          <w:rFonts w:ascii="Times New Roman" w:hAnsi="Times New Roman" w:cs="Times New Roman"/>
          <w:sz w:val="28"/>
          <w:szCs w:val="28"/>
        </w:rPr>
        <w:t xml:space="preserve"> хранят при соблюдении температурного режима, указанного на упаковке в зависимости от наличия в них летучих и легкоплавких веществ. </w:t>
      </w:r>
    </w:p>
    <w:p w:rsidR="00577FA1" w:rsidRP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FA1">
        <w:rPr>
          <w:rFonts w:ascii="Times New Roman" w:hAnsi="Times New Roman" w:cs="Times New Roman"/>
          <w:color w:val="C00000"/>
          <w:sz w:val="28"/>
          <w:szCs w:val="28"/>
        </w:rPr>
        <w:t>-Аэрозоли</w:t>
      </w:r>
      <w:r w:rsidRPr="00577FA1">
        <w:rPr>
          <w:rFonts w:ascii="Times New Roman" w:hAnsi="Times New Roman" w:cs="Times New Roman"/>
          <w:sz w:val="28"/>
          <w:szCs w:val="28"/>
        </w:rPr>
        <w:t xml:space="preserve"> требуют бережного хранения без механических воздействий в защищенном от огня и высокой температуры месте. </w:t>
      </w:r>
    </w:p>
    <w:p w:rsidR="00577FA1" w:rsidRP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FA1">
        <w:rPr>
          <w:rFonts w:ascii="Times New Roman" w:hAnsi="Times New Roman" w:cs="Times New Roman"/>
          <w:color w:val="C00000"/>
          <w:sz w:val="28"/>
          <w:szCs w:val="28"/>
        </w:rPr>
        <w:t>-Сильно пахучие и красящие вещества</w:t>
      </w:r>
      <w:r w:rsidRPr="00577FA1">
        <w:rPr>
          <w:rFonts w:ascii="Times New Roman" w:hAnsi="Times New Roman" w:cs="Times New Roman"/>
          <w:sz w:val="28"/>
          <w:szCs w:val="28"/>
        </w:rPr>
        <w:t xml:space="preserve"> также требуют особых условий хранения. Как видно из названия данных групп лекарственных средств, одни из них обладают сильным запахом, а вторые окрашивают тару, оборудование и пр. несмываемым следом. К пахучим веществам можно отнести эфирные масла, а к красящим – зеленку, метиленовый синий и т.д. </w:t>
      </w:r>
    </w:p>
    <w:p w:rsidR="00577FA1" w:rsidRP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FA1">
        <w:rPr>
          <w:rFonts w:ascii="Times New Roman" w:hAnsi="Times New Roman" w:cs="Times New Roman"/>
          <w:sz w:val="28"/>
          <w:szCs w:val="28"/>
        </w:rPr>
        <w:t>Сильно пахучие товары аптечного ассортимента нужно хранить в герметичной таре, которая не пропускает запахи. Красящие средства хранятся в плотно укупоренной таре в отдельном шкафу, чтобы исключить порчу других товаров.</w:t>
      </w:r>
    </w:p>
    <w:p w:rsidR="0098584B" w:rsidRDefault="0098584B" w:rsidP="0098584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77FA1" w:rsidRDefault="00577FA1" w:rsidP="0098584B">
      <w:pPr>
        <w:pStyle w:val="a3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577FA1">
        <w:rPr>
          <w:rFonts w:ascii="Times New Roman" w:hAnsi="Times New Roman" w:cs="Times New Roman"/>
          <w:color w:val="C00000"/>
          <w:sz w:val="28"/>
          <w:szCs w:val="28"/>
          <w:u w:val="single"/>
        </w:rPr>
        <w:t>Нормативные документы.</w:t>
      </w:r>
    </w:p>
    <w:p w:rsidR="00577FA1" w:rsidRDefault="00577FA1" w:rsidP="00577FA1">
      <w:pPr>
        <w:pStyle w:val="a3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577FA1" w:rsidRDefault="00577FA1" w:rsidP="00577FA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77FA1">
        <w:rPr>
          <w:rFonts w:ascii="Times New Roman" w:hAnsi="Times New Roman" w:cs="Times New Roman"/>
          <w:sz w:val="28"/>
          <w:szCs w:val="28"/>
        </w:rPr>
        <w:t>N 706н приказ МЗ РФ</w:t>
      </w:r>
      <w:r>
        <w:rPr>
          <w:rFonts w:ascii="Times New Roman" w:hAnsi="Times New Roman" w:cs="Times New Roman"/>
          <w:sz w:val="28"/>
          <w:szCs w:val="28"/>
        </w:rPr>
        <w:t xml:space="preserve"> от 23.08.2010. «</w:t>
      </w:r>
      <w:r w:rsidRPr="00577FA1">
        <w:rPr>
          <w:rFonts w:ascii="Times New Roman" w:hAnsi="Times New Roman" w:cs="Times New Roman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хранения лекарственных средств».</w:t>
      </w:r>
    </w:p>
    <w:p w:rsidR="00577FA1" w:rsidRDefault="00577FA1" w:rsidP="00577FA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ФЗ-61 от 12.04.2010 «Об обращении лекарственных средств».</w:t>
      </w:r>
    </w:p>
    <w:p w:rsidR="00577FA1" w:rsidRPr="00577FA1" w:rsidRDefault="00577FA1" w:rsidP="00577FA1">
      <w:pPr>
        <w:pStyle w:val="a4"/>
        <w:numPr>
          <w:ilvl w:val="0"/>
          <w:numId w:val="15"/>
        </w:numPr>
        <w:rPr>
          <w:color w:val="000000"/>
          <w:sz w:val="28"/>
          <w:szCs w:val="28"/>
        </w:rPr>
      </w:pPr>
      <w:r w:rsidRPr="00577FA1">
        <w:rPr>
          <w:color w:val="000000"/>
          <w:sz w:val="28"/>
          <w:szCs w:val="28"/>
        </w:rPr>
        <w:t xml:space="preserve">Приказ МЗ РФ от 31.08.2016 № 646н « Об утверждении Правил надлежащий практики хранения и перевозки лекарственных препаратов для медицинского применения» </w:t>
      </w:r>
    </w:p>
    <w:p w:rsidR="00577FA1" w:rsidRPr="00577FA1" w:rsidRDefault="00577FA1" w:rsidP="00577FA1">
      <w:pPr>
        <w:pStyle w:val="a4"/>
        <w:rPr>
          <w:color w:val="C00000"/>
          <w:sz w:val="28"/>
          <w:szCs w:val="28"/>
          <w:u w:val="single"/>
        </w:rPr>
      </w:pPr>
      <w:r w:rsidRPr="00577FA1">
        <w:rPr>
          <w:color w:val="C00000"/>
          <w:sz w:val="28"/>
          <w:szCs w:val="28"/>
          <w:u w:val="single"/>
        </w:rPr>
        <w:t>Реализация ЛС из аптеки.</w:t>
      </w:r>
    </w:p>
    <w:p w:rsidR="00577FA1" w:rsidRDefault="00577FA1" w:rsidP="0057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Препараты без рецепта отпускаются </w:t>
      </w:r>
      <w:r w:rsidRPr="00577FA1">
        <w:rPr>
          <w:rFonts w:ascii="Times New Roman" w:hAnsi="Times New Roman" w:cs="Times New Roman"/>
          <w:b/>
          <w:sz w:val="28"/>
          <w:szCs w:val="28"/>
        </w:rPr>
        <w:t>по требованию покупателя</w:t>
      </w:r>
      <w:r>
        <w:rPr>
          <w:rFonts w:ascii="Times New Roman" w:hAnsi="Times New Roman" w:cs="Times New Roman"/>
          <w:sz w:val="28"/>
          <w:szCs w:val="28"/>
        </w:rPr>
        <w:t xml:space="preserve">, а препараты такие, как наркотические, сильнодействующие и психотропные – </w:t>
      </w:r>
      <w:r w:rsidRPr="00577FA1">
        <w:rPr>
          <w:rFonts w:ascii="Times New Roman" w:hAnsi="Times New Roman" w:cs="Times New Roman"/>
          <w:b/>
          <w:sz w:val="28"/>
          <w:szCs w:val="28"/>
        </w:rPr>
        <w:t>строго</w:t>
      </w:r>
      <w:r>
        <w:rPr>
          <w:rFonts w:ascii="Times New Roman" w:hAnsi="Times New Roman" w:cs="Times New Roman"/>
          <w:sz w:val="28"/>
          <w:szCs w:val="28"/>
        </w:rPr>
        <w:t xml:space="preserve"> по рецепту врача.</w:t>
      </w:r>
    </w:p>
    <w:p w:rsidR="00577FA1" w:rsidRDefault="00577FA1" w:rsidP="0057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A1" w:rsidRPr="00927F52" w:rsidRDefault="00927F52" w:rsidP="00577FA1">
      <w:pPr>
        <w:pStyle w:val="a3"/>
        <w:rPr>
          <w:rFonts w:ascii="Times New Roman" w:hAnsi="Times New Roman" w:cs="Times New Roman"/>
          <w:color w:val="C00000"/>
          <w:sz w:val="28"/>
          <w:szCs w:val="28"/>
          <w:u w:val="doub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double"/>
        </w:rPr>
        <w:t>Тема 2: оценка 5.</w:t>
      </w:r>
    </w:p>
    <w:p w:rsidR="00577FA1" w:rsidRDefault="00577FA1" w:rsidP="0057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A1" w:rsidRDefault="00577FA1" w:rsidP="0057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A1" w:rsidRDefault="00577FA1" w:rsidP="0057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A1" w:rsidRDefault="00577FA1" w:rsidP="0057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A1" w:rsidRDefault="00577FA1" w:rsidP="0057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A1" w:rsidRDefault="00577FA1" w:rsidP="0057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A1" w:rsidRDefault="00577FA1" w:rsidP="0057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A1" w:rsidRDefault="00577FA1" w:rsidP="0057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A1" w:rsidRDefault="00577FA1" w:rsidP="0057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A1" w:rsidRPr="00577FA1" w:rsidRDefault="00577FA1" w:rsidP="00577FA1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577FA1">
        <w:rPr>
          <w:rFonts w:ascii="Times New Roman" w:hAnsi="Times New Roman" w:cs="Times New Roman"/>
          <w:color w:val="C00000"/>
          <w:sz w:val="32"/>
          <w:szCs w:val="32"/>
        </w:rPr>
        <w:t>Тема №3.</w:t>
      </w:r>
    </w:p>
    <w:p w:rsidR="00577FA1" w:rsidRPr="00577FA1" w:rsidRDefault="00577FA1" w:rsidP="00577FA1">
      <w:pPr>
        <w:pStyle w:val="a3"/>
        <w:rPr>
          <w:rFonts w:ascii="Times New Roman" w:hAnsi="Times New Roman" w:cs="Times New Roman"/>
          <w:sz w:val="32"/>
          <w:szCs w:val="32"/>
        </w:rPr>
      </w:pPr>
      <w:r w:rsidRPr="00577FA1">
        <w:rPr>
          <w:rFonts w:ascii="Times New Roman" w:hAnsi="Times New Roman" w:cs="Times New Roman"/>
          <w:sz w:val="32"/>
          <w:szCs w:val="32"/>
        </w:rPr>
        <w:t>Гомеопатические лекарственные препараты. Дать определение. Анализ ассортимента. Хранение. Реализация.</w:t>
      </w:r>
    </w:p>
    <w:p w:rsidR="00577FA1" w:rsidRDefault="00577FA1" w:rsidP="0057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678" w:rsidRPr="00C30678" w:rsidRDefault="00C30678" w:rsidP="00C30678">
      <w:pPr>
        <w:pStyle w:val="a4"/>
        <w:numPr>
          <w:ilvl w:val="0"/>
          <w:numId w:val="16"/>
        </w:numPr>
        <w:rPr>
          <w:color w:val="000000"/>
          <w:sz w:val="28"/>
          <w:szCs w:val="22"/>
        </w:rPr>
      </w:pPr>
      <w:r w:rsidRPr="00C30678">
        <w:rPr>
          <w:color w:val="000000"/>
          <w:sz w:val="28"/>
          <w:szCs w:val="22"/>
        </w:rPr>
        <w:t xml:space="preserve">. </w:t>
      </w:r>
      <w:r w:rsidRPr="00C30678">
        <w:rPr>
          <w:color w:val="000000"/>
          <w:sz w:val="28"/>
          <w:szCs w:val="22"/>
          <w:u w:val="double"/>
        </w:rPr>
        <w:t>Определение гомеопатических лекарственных препаратов.</w:t>
      </w:r>
    </w:p>
    <w:p w:rsidR="00C30678" w:rsidRDefault="00C30678" w:rsidP="0057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A1" w:rsidRDefault="00577FA1" w:rsidP="00577F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678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Гомеопатические </w:t>
      </w:r>
      <w:r w:rsidR="00C30678" w:rsidRPr="00C30678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лекарственные </w:t>
      </w:r>
      <w:r w:rsidRPr="00C30678">
        <w:rPr>
          <w:rFonts w:ascii="Times New Roman" w:hAnsi="Times New Roman" w:cs="Times New Roman"/>
          <w:color w:val="C00000"/>
          <w:sz w:val="28"/>
          <w:szCs w:val="28"/>
          <w:u w:val="single"/>
        </w:rPr>
        <w:t>препараты</w:t>
      </w:r>
      <w:r w:rsidR="00C30678">
        <w:rPr>
          <w:rFonts w:ascii="Times New Roman" w:hAnsi="Times New Roman" w:cs="Times New Roman"/>
          <w:sz w:val="28"/>
          <w:szCs w:val="28"/>
        </w:rPr>
        <w:t xml:space="preserve"> - </w:t>
      </w:r>
      <w:r w:rsidR="00C30678" w:rsidRPr="00C30678">
        <w:rPr>
          <w:rFonts w:ascii="Times New Roman" w:hAnsi="Times New Roman" w:cs="Times New Roman"/>
          <w:sz w:val="28"/>
          <w:szCs w:val="28"/>
        </w:rPr>
        <w:t>это терапевтические средства, которые содержат в своём составе сильно разведённые экстракты лекарственных растений или биохимические соединения.</w:t>
      </w:r>
      <w:r w:rsidR="00C30678">
        <w:rPr>
          <w:rFonts w:ascii="Times New Roman" w:hAnsi="Times New Roman" w:cs="Times New Roman"/>
          <w:sz w:val="28"/>
          <w:szCs w:val="28"/>
        </w:rPr>
        <w:t xml:space="preserve"> И</w:t>
      </w:r>
      <w:r w:rsidR="00C30678" w:rsidRPr="00C30678">
        <w:rPr>
          <w:rFonts w:ascii="Times New Roman" w:hAnsi="Times New Roman" w:cs="Times New Roman"/>
          <w:sz w:val="28"/>
          <w:szCs w:val="28"/>
        </w:rPr>
        <w:t>спользуются в малых дозах и готовятся по особой (жи</w:t>
      </w:r>
      <w:r w:rsidR="00C30678">
        <w:rPr>
          <w:rFonts w:ascii="Times New Roman" w:hAnsi="Times New Roman" w:cs="Times New Roman"/>
          <w:sz w:val="28"/>
          <w:szCs w:val="28"/>
        </w:rPr>
        <w:t>дко- и твердофазной) технологии.</w:t>
      </w:r>
      <w:r w:rsidR="00C30678" w:rsidRPr="00C30678">
        <w:rPr>
          <w:rFonts w:ascii="Times New Roman" w:hAnsi="Times New Roman" w:cs="Times New Roman"/>
          <w:sz w:val="28"/>
          <w:szCs w:val="28"/>
        </w:rPr>
        <w:t xml:space="preserve"> Сырьем для гомеопатических препаратов служат вещества растительного, животного, минерального происхождения и аллопатические лекарства.</w:t>
      </w:r>
    </w:p>
    <w:p w:rsidR="00C30678" w:rsidRDefault="00C30678" w:rsidP="00577F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678">
        <w:rPr>
          <w:rFonts w:ascii="Times New Roman" w:hAnsi="Times New Roman" w:cs="Times New Roman"/>
          <w:sz w:val="28"/>
          <w:szCs w:val="28"/>
        </w:rPr>
        <w:t>Гомеопатические ЛС почти не дают побочных эффектов и не вызывают привыкания.</w:t>
      </w:r>
    </w:p>
    <w:p w:rsidR="00C30678" w:rsidRDefault="00C30678" w:rsidP="0057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678" w:rsidRDefault="00C30678" w:rsidP="00C30678">
      <w:pPr>
        <w:pStyle w:val="a4"/>
        <w:numPr>
          <w:ilvl w:val="0"/>
          <w:numId w:val="16"/>
        </w:numPr>
        <w:rPr>
          <w:color w:val="000000"/>
          <w:sz w:val="28"/>
          <w:szCs w:val="22"/>
          <w:u w:val="double"/>
        </w:rPr>
      </w:pPr>
      <w:r w:rsidRPr="00C30678">
        <w:rPr>
          <w:color w:val="000000"/>
          <w:sz w:val="28"/>
          <w:szCs w:val="22"/>
          <w:u w:val="double"/>
        </w:rPr>
        <w:t>Анализ ассортимента гомеопатических лекарственных препаратов</w:t>
      </w:r>
      <w:r>
        <w:rPr>
          <w:color w:val="000000"/>
          <w:sz w:val="28"/>
          <w:szCs w:val="22"/>
          <w:u w:val="double"/>
        </w:rPr>
        <w:t>.</w:t>
      </w:r>
    </w:p>
    <w:tbl>
      <w:tblPr>
        <w:tblStyle w:val="a7"/>
        <w:tblW w:w="0" w:type="auto"/>
        <w:tblLook w:val="04A0"/>
      </w:tblPr>
      <w:tblGrid>
        <w:gridCol w:w="3189"/>
        <w:gridCol w:w="3189"/>
        <w:gridCol w:w="3193"/>
      </w:tblGrid>
      <w:tr w:rsidR="00C30678" w:rsidTr="00C30678">
        <w:tc>
          <w:tcPr>
            <w:tcW w:w="3189" w:type="dxa"/>
          </w:tcPr>
          <w:p w:rsidR="00C30678" w:rsidRPr="00C30678" w:rsidRDefault="00C30678" w:rsidP="00C30678">
            <w:pPr>
              <w:pStyle w:val="a4"/>
              <w:rPr>
                <w:color w:val="000000"/>
              </w:rPr>
            </w:pPr>
            <w:r w:rsidRPr="00C30678">
              <w:rPr>
                <w:color w:val="000000"/>
              </w:rPr>
              <w:t>Препараты</w:t>
            </w:r>
          </w:p>
        </w:tc>
        <w:tc>
          <w:tcPr>
            <w:tcW w:w="3189" w:type="dxa"/>
          </w:tcPr>
          <w:p w:rsidR="00C30678" w:rsidRPr="00C30678" w:rsidRDefault="008F4886" w:rsidP="008F488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Стодаль</w:t>
            </w:r>
          </w:p>
        </w:tc>
        <w:tc>
          <w:tcPr>
            <w:tcW w:w="3193" w:type="dxa"/>
          </w:tcPr>
          <w:p w:rsidR="00C30678" w:rsidRPr="00C30678" w:rsidRDefault="008F4886" w:rsidP="008F488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Оциллококцинум</w:t>
            </w:r>
          </w:p>
        </w:tc>
      </w:tr>
      <w:tr w:rsidR="00C30678" w:rsidTr="00C30678">
        <w:tc>
          <w:tcPr>
            <w:tcW w:w="3189" w:type="dxa"/>
          </w:tcPr>
          <w:p w:rsidR="00C30678" w:rsidRPr="00C30678" w:rsidRDefault="00C30678" w:rsidP="00C30678">
            <w:pPr>
              <w:pStyle w:val="a4"/>
              <w:rPr>
                <w:color w:val="000000"/>
              </w:rPr>
            </w:pPr>
            <w:r w:rsidRPr="00C30678">
              <w:rPr>
                <w:color w:val="000000"/>
              </w:rPr>
              <w:t>Форма выпуска</w:t>
            </w:r>
          </w:p>
        </w:tc>
        <w:tc>
          <w:tcPr>
            <w:tcW w:w="3189" w:type="dxa"/>
          </w:tcPr>
          <w:p w:rsidR="00C30678" w:rsidRPr="00C30678" w:rsidRDefault="008F4886" w:rsidP="00C3067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Сироп гомеопатический. </w:t>
            </w:r>
            <w:r w:rsidRPr="008F4886">
              <w:rPr>
                <w:color w:val="000000"/>
              </w:rPr>
              <w:t xml:space="preserve"> По 200 мл препарата во флаконе</w:t>
            </w:r>
          </w:p>
        </w:tc>
        <w:tc>
          <w:tcPr>
            <w:tcW w:w="3193" w:type="dxa"/>
          </w:tcPr>
          <w:p w:rsidR="00C30678" w:rsidRPr="00C30678" w:rsidRDefault="008F4886" w:rsidP="00C30678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>Гранулы гомеопатические</w:t>
            </w:r>
            <w:r>
              <w:rPr>
                <w:color w:val="000000"/>
              </w:rPr>
              <w:t xml:space="preserve">, </w:t>
            </w:r>
            <w:r w:rsidRPr="008F4886">
              <w:rPr>
                <w:color w:val="000000"/>
              </w:rPr>
              <w:t>почти сферической формы, без запаха, легко растворимые в воде.</w:t>
            </w:r>
            <w:r>
              <w:t xml:space="preserve"> </w:t>
            </w:r>
            <w:r w:rsidRPr="008F4886">
              <w:rPr>
                <w:color w:val="000000"/>
              </w:rPr>
              <w:t>По 1 дозе (1 г) гранул в тубе</w:t>
            </w:r>
          </w:p>
        </w:tc>
      </w:tr>
      <w:tr w:rsidR="00C30678" w:rsidTr="00C30678">
        <w:tc>
          <w:tcPr>
            <w:tcW w:w="3189" w:type="dxa"/>
          </w:tcPr>
          <w:p w:rsidR="00C30678" w:rsidRPr="00C30678" w:rsidRDefault="00C30678" w:rsidP="00C30678">
            <w:pPr>
              <w:pStyle w:val="a4"/>
              <w:rPr>
                <w:color w:val="000000"/>
              </w:rPr>
            </w:pPr>
            <w:r w:rsidRPr="00C30678">
              <w:rPr>
                <w:color w:val="000000"/>
              </w:rPr>
              <w:t>МНН</w:t>
            </w:r>
          </w:p>
        </w:tc>
        <w:tc>
          <w:tcPr>
            <w:tcW w:w="3189" w:type="dxa"/>
          </w:tcPr>
          <w:p w:rsidR="00C30678" w:rsidRPr="00C30678" w:rsidRDefault="008F4886" w:rsidP="008F488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93" w:type="dxa"/>
          </w:tcPr>
          <w:p w:rsidR="00C30678" w:rsidRPr="00C30678" w:rsidRDefault="008F4886" w:rsidP="008F488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0678" w:rsidTr="00C30678">
        <w:tc>
          <w:tcPr>
            <w:tcW w:w="3189" w:type="dxa"/>
          </w:tcPr>
          <w:p w:rsidR="00C30678" w:rsidRPr="00C30678" w:rsidRDefault="00C30678" w:rsidP="00C30678">
            <w:pPr>
              <w:pStyle w:val="a4"/>
              <w:rPr>
                <w:color w:val="000000"/>
              </w:rPr>
            </w:pPr>
            <w:r w:rsidRPr="00C30678">
              <w:rPr>
                <w:color w:val="000000"/>
              </w:rPr>
              <w:t>Дозировка</w:t>
            </w:r>
          </w:p>
        </w:tc>
        <w:tc>
          <w:tcPr>
            <w:tcW w:w="3189" w:type="dxa"/>
          </w:tcPr>
          <w:p w:rsidR="00C30678" w:rsidRPr="00C30678" w:rsidRDefault="008F4886" w:rsidP="00C3067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200 мл.</w:t>
            </w:r>
          </w:p>
        </w:tc>
        <w:tc>
          <w:tcPr>
            <w:tcW w:w="3193" w:type="dxa"/>
          </w:tcPr>
          <w:p w:rsidR="008F4886" w:rsidRPr="008F4886" w:rsidRDefault="008F4886" w:rsidP="008F4886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>1 доза (1 г гранул) - тубы полипропиленовые (3) - блистеры (2) - пачки картонные.</w:t>
            </w:r>
          </w:p>
          <w:p w:rsidR="008F4886" w:rsidRPr="008F4886" w:rsidRDefault="008F4886" w:rsidP="008F4886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>1 доза (1 г гранул) - тубы полипропиленовые (3) - блистеры (4) - пачки картонные.</w:t>
            </w:r>
          </w:p>
          <w:p w:rsidR="00C30678" w:rsidRPr="00C30678" w:rsidRDefault="008F4886" w:rsidP="008F4886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>1 доза (1 г гранул) - тубы полипропиленовые (3) - блистеры (10) - пачки картонные</w:t>
            </w:r>
          </w:p>
        </w:tc>
      </w:tr>
      <w:tr w:rsidR="00C30678" w:rsidTr="00C30678">
        <w:tc>
          <w:tcPr>
            <w:tcW w:w="3189" w:type="dxa"/>
          </w:tcPr>
          <w:p w:rsidR="00C30678" w:rsidRPr="00C30678" w:rsidRDefault="00C30678" w:rsidP="00C30678">
            <w:pPr>
              <w:pStyle w:val="a4"/>
              <w:rPr>
                <w:color w:val="000000"/>
              </w:rPr>
            </w:pPr>
            <w:r w:rsidRPr="00C30678">
              <w:rPr>
                <w:color w:val="000000"/>
              </w:rPr>
              <w:t>Фармако-терапевтическая группа</w:t>
            </w:r>
          </w:p>
        </w:tc>
        <w:tc>
          <w:tcPr>
            <w:tcW w:w="3189" w:type="dxa"/>
          </w:tcPr>
          <w:p w:rsidR="00C30678" w:rsidRPr="00C30678" w:rsidRDefault="008F4886" w:rsidP="00C3067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Гомеопатическое средство</w:t>
            </w:r>
          </w:p>
        </w:tc>
        <w:tc>
          <w:tcPr>
            <w:tcW w:w="3193" w:type="dxa"/>
          </w:tcPr>
          <w:p w:rsidR="00C30678" w:rsidRPr="00C30678" w:rsidRDefault="008F4886" w:rsidP="00C3067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Гомеопатическое средство</w:t>
            </w:r>
          </w:p>
        </w:tc>
      </w:tr>
      <w:tr w:rsidR="00C30678" w:rsidTr="00C30678">
        <w:tc>
          <w:tcPr>
            <w:tcW w:w="3189" w:type="dxa"/>
          </w:tcPr>
          <w:p w:rsidR="00C30678" w:rsidRPr="00C30678" w:rsidRDefault="00C30678" w:rsidP="00C30678">
            <w:pPr>
              <w:pStyle w:val="a4"/>
              <w:rPr>
                <w:color w:val="000000"/>
              </w:rPr>
            </w:pPr>
            <w:r w:rsidRPr="00C30678">
              <w:rPr>
                <w:color w:val="000000"/>
              </w:rPr>
              <w:t>Показания к применению</w:t>
            </w:r>
          </w:p>
        </w:tc>
        <w:tc>
          <w:tcPr>
            <w:tcW w:w="3189" w:type="dxa"/>
          </w:tcPr>
          <w:p w:rsidR="00C30678" w:rsidRPr="00C30678" w:rsidRDefault="008F4886" w:rsidP="00C30678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>Симптоматическое лечение кашля различной этиологии.</w:t>
            </w:r>
          </w:p>
        </w:tc>
        <w:tc>
          <w:tcPr>
            <w:tcW w:w="3193" w:type="dxa"/>
          </w:tcPr>
          <w:p w:rsidR="008F4886" w:rsidRPr="008F4886" w:rsidRDefault="008F4886" w:rsidP="008F488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8F4886">
              <w:rPr>
                <w:color w:val="000000"/>
              </w:rPr>
              <w:t>рипп легкой и средней степени тяжести;</w:t>
            </w:r>
          </w:p>
          <w:p w:rsidR="00C30678" w:rsidRPr="00C30678" w:rsidRDefault="008F4886" w:rsidP="008F488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8F4886">
              <w:rPr>
                <w:color w:val="000000"/>
              </w:rPr>
              <w:t>страя респираторная вирусная инфекция (ОРВИ) .</w:t>
            </w:r>
          </w:p>
        </w:tc>
      </w:tr>
      <w:tr w:rsidR="00C30678" w:rsidTr="00C30678">
        <w:tc>
          <w:tcPr>
            <w:tcW w:w="3189" w:type="dxa"/>
          </w:tcPr>
          <w:p w:rsidR="00C30678" w:rsidRPr="00C30678" w:rsidRDefault="00C30678" w:rsidP="00C30678">
            <w:pPr>
              <w:pStyle w:val="a4"/>
              <w:rPr>
                <w:color w:val="000000"/>
              </w:rPr>
            </w:pPr>
            <w:r w:rsidRPr="00C30678">
              <w:rPr>
                <w:color w:val="000000"/>
              </w:rPr>
              <w:lastRenderedPageBreak/>
              <w:t>Способ применения</w:t>
            </w:r>
          </w:p>
        </w:tc>
        <w:tc>
          <w:tcPr>
            <w:tcW w:w="3189" w:type="dxa"/>
          </w:tcPr>
          <w:p w:rsidR="00C30678" w:rsidRPr="00C30678" w:rsidRDefault="008F4886" w:rsidP="00C30678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>Внутрь. Взрослым: по 15 мл с помощью мерного колпачка 3–5 раз в день. Детям: по 5 мл с помощью мерного колпачка 3–5 раз в день. Длительность применения следует согласовать с врачом.</w:t>
            </w:r>
          </w:p>
        </w:tc>
        <w:tc>
          <w:tcPr>
            <w:tcW w:w="3193" w:type="dxa"/>
          </w:tcPr>
          <w:p w:rsidR="008F4886" w:rsidRPr="008F4886" w:rsidRDefault="008F4886" w:rsidP="008F4886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>Внутрь. Положить под язык содержимое тубы и держать до полного растворения.</w:t>
            </w:r>
          </w:p>
          <w:p w:rsidR="008F4886" w:rsidRPr="008F4886" w:rsidRDefault="008F4886" w:rsidP="008F4886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>Для детей: растворить содержимое дозы в небольшом количестве воды и давать с ложечки или с помощью бутылочки с соской.</w:t>
            </w:r>
          </w:p>
          <w:p w:rsidR="00C30678" w:rsidRPr="00C30678" w:rsidRDefault="008F4886" w:rsidP="008F4886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>Принимать препарат за 15 мин до приема пищи или час спустя.</w:t>
            </w:r>
          </w:p>
        </w:tc>
      </w:tr>
      <w:tr w:rsidR="00C30678" w:rsidTr="00C30678">
        <w:tc>
          <w:tcPr>
            <w:tcW w:w="3189" w:type="dxa"/>
          </w:tcPr>
          <w:p w:rsidR="00C30678" w:rsidRPr="00C30678" w:rsidRDefault="00C30678" w:rsidP="00C30678">
            <w:pPr>
              <w:pStyle w:val="a4"/>
              <w:rPr>
                <w:color w:val="000000"/>
              </w:rPr>
            </w:pPr>
            <w:r w:rsidRPr="00C30678">
              <w:rPr>
                <w:color w:val="000000"/>
              </w:rPr>
              <w:t>Условия хранения</w:t>
            </w:r>
          </w:p>
        </w:tc>
        <w:tc>
          <w:tcPr>
            <w:tcW w:w="3189" w:type="dxa"/>
          </w:tcPr>
          <w:p w:rsidR="008F4886" w:rsidRPr="008F4886" w:rsidRDefault="008F4886" w:rsidP="008F4886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 xml:space="preserve">При температуре не выше 25 °C. </w:t>
            </w:r>
          </w:p>
          <w:p w:rsidR="00C30678" w:rsidRPr="00C30678" w:rsidRDefault="008F4886" w:rsidP="008F4886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>Хранить в недоступном для детей месте.</w:t>
            </w:r>
          </w:p>
        </w:tc>
        <w:tc>
          <w:tcPr>
            <w:tcW w:w="3193" w:type="dxa"/>
          </w:tcPr>
          <w:p w:rsidR="008F4886" w:rsidRPr="008F4886" w:rsidRDefault="008F4886" w:rsidP="008F4886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 xml:space="preserve">При температуре не выше 25 °C. </w:t>
            </w:r>
          </w:p>
          <w:p w:rsidR="00C30678" w:rsidRPr="00C30678" w:rsidRDefault="008F4886" w:rsidP="008F4886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>Хранить в недоступном для детей месте.</w:t>
            </w:r>
          </w:p>
        </w:tc>
      </w:tr>
      <w:tr w:rsidR="00C30678" w:rsidTr="00C30678">
        <w:tblPrEx>
          <w:tblLook w:val="0000"/>
        </w:tblPrEx>
        <w:trPr>
          <w:trHeight w:val="363"/>
        </w:trPr>
        <w:tc>
          <w:tcPr>
            <w:tcW w:w="3189" w:type="dxa"/>
          </w:tcPr>
          <w:p w:rsidR="00C30678" w:rsidRPr="00C30678" w:rsidRDefault="00C30678" w:rsidP="00C30678">
            <w:pPr>
              <w:pStyle w:val="a4"/>
              <w:rPr>
                <w:color w:val="000000"/>
              </w:rPr>
            </w:pPr>
            <w:r w:rsidRPr="00C30678">
              <w:rPr>
                <w:color w:val="000000"/>
              </w:rPr>
              <w:t>Побочное действие</w:t>
            </w:r>
          </w:p>
        </w:tc>
        <w:tc>
          <w:tcPr>
            <w:tcW w:w="3189" w:type="dxa"/>
          </w:tcPr>
          <w:p w:rsidR="00C30678" w:rsidRPr="00C30678" w:rsidRDefault="008F4886" w:rsidP="00C30678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>На настоящий момент информация о побочных действиях препарата отсутствует. При возникновении побочных эффектов следует обратиться к врачу.</w:t>
            </w:r>
          </w:p>
        </w:tc>
        <w:tc>
          <w:tcPr>
            <w:tcW w:w="3193" w:type="dxa"/>
          </w:tcPr>
          <w:p w:rsidR="008F4886" w:rsidRPr="008F4886" w:rsidRDefault="008F4886" w:rsidP="008F4886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>На настоящий момент информация о побочных эффектах отсутствует. При возникновении побочных эффектов следует обратиться к врачу.</w:t>
            </w:r>
          </w:p>
          <w:p w:rsidR="00C30678" w:rsidRPr="00C30678" w:rsidRDefault="008F4886" w:rsidP="008F4886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>Возможны аллергические реакции.</w:t>
            </w:r>
          </w:p>
        </w:tc>
      </w:tr>
      <w:tr w:rsidR="00C30678" w:rsidTr="00C30678">
        <w:tblPrEx>
          <w:tblLook w:val="0000"/>
        </w:tblPrEx>
        <w:trPr>
          <w:trHeight w:val="363"/>
        </w:trPr>
        <w:tc>
          <w:tcPr>
            <w:tcW w:w="3189" w:type="dxa"/>
          </w:tcPr>
          <w:p w:rsidR="00C30678" w:rsidRPr="00C30678" w:rsidRDefault="00C30678" w:rsidP="00C30678">
            <w:pPr>
              <w:pStyle w:val="a4"/>
              <w:rPr>
                <w:color w:val="000000"/>
              </w:rPr>
            </w:pPr>
            <w:r w:rsidRPr="00C30678">
              <w:rPr>
                <w:color w:val="000000"/>
              </w:rPr>
              <w:t>Противопоказания</w:t>
            </w:r>
          </w:p>
        </w:tc>
        <w:tc>
          <w:tcPr>
            <w:tcW w:w="3189" w:type="dxa"/>
          </w:tcPr>
          <w:p w:rsidR="00C30678" w:rsidRPr="00C30678" w:rsidRDefault="008F4886" w:rsidP="00C30678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>Повышенная индивидуальная чувствительность к отдельным компонентам препарата.</w:t>
            </w:r>
          </w:p>
        </w:tc>
        <w:tc>
          <w:tcPr>
            <w:tcW w:w="3193" w:type="dxa"/>
          </w:tcPr>
          <w:p w:rsidR="008F4886" w:rsidRPr="008F4886" w:rsidRDefault="008F4886" w:rsidP="008F488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F4886">
              <w:rPr>
                <w:color w:val="000000"/>
              </w:rPr>
              <w:t>овышенная индивидуальная чувствительность к отдельным компонентам препарата;</w:t>
            </w:r>
          </w:p>
          <w:p w:rsidR="00C30678" w:rsidRPr="00C30678" w:rsidRDefault="008F4886" w:rsidP="008F488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8F4886">
              <w:rPr>
                <w:color w:val="000000"/>
              </w:rPr>
              <w:t>епереносимость лактозы, дефицит лактазы, глюкозо-галактозная мальабсорбция.</w:t>
            </w:r>
          </w:p>
        </w:tc>
      </w:tr>
      <w:tr w:rsidR="00C30678" w:rsidTr="00C30678">
        <w:tblPrEx>
          <w:tblLook w:val="0000"/>
        </w:tblPrEx>
        <w:trPr>
          <w:trHeight w:val="447"/>
        </w:trPr>
        <w:tc>
          <w:tcPr>
            <w:tcW w:w="3189" w:type="dxa"/>
          </w:tcPr>
          <w:p w:rsidR="00C30678" w:rsidRPr="00C30678" w:rsidRDefault="008F4886" w:rsidP="00C3067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Условия о</w:t>
            </w:r>
            <w:r w:rsidR="00C30678" w:rsidRPr="00C30678">
              <w:rPr>
                <w:color w:val="000000"/>
              </w:rPr>
              <w:t>тпуск</w:t>
            </w:r>
            <w:r>
              <w:rPr>
                <w:color w:val="000000"/>
              </w:rPr>
              <w:t>а</w:t>
            </w:r>
            <w:r w:rsidR="00C30678" w:rsidRPr="00C30678">
              <w:rPr>
                <w:color w:val="000000"/>
              </w:rPr>
              <w:t xml:space="preserve"> из аптек</w:t>
            </w:r>
          </w:p>
        </w:tc>
        <w:tc>
          <w:tcPr>
            <w:tcW w:w="3189" w:type="dxa"/>
          </w:tcPr>
          <w:p w:rsidR="00C30678" w:rsidRPr="00C30678" w:rsidRDefault="008F4886" w:rsidP="00C3067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Без рецепта</w:t>
            </w:r>
          </w:p>
        </w:tc>
        <w:tc>
          <w:tcPr>
            <w:tcW w:w="3193" w:type="dxa"/>
          </w:tcPr>
          <w:p w:rsidR="00C30678" w:rsidRPr="00C30678" w:rsidRDefault="008F4886" w:rsidP="00C30678">
            <w:pPr>
              <w:pStyle w:val="a4"/>
              <w:rPr>
                <w:color w:val="000000"/>
              </w:rPr>
            </w:pPr>
            <w:r w:rsidRPr="008F4886">
              <w:rPr>
                <w:color w:val="000000"/>
              </w:rPr>
              <w:t>Без рецепта.</w:t>
            </w:r>
          </w:p>
        </w:tc>
      </w:tr>
      <w:tr w:rsidR="00C30678" w:rsidTr="00C30678">
        <w:tblPrEx>
          <w:tblLook w:val="0000"/>
        </w:tblPrEx>
        <w:trPr>
          <w:trHeight w:val="447"/>
        </w:trPr>
        <w:tc>
          <w:tcPr>
            <w:tcW w:w="3189" w:type="dxa"/>
          </w:tcPr>
          <w:p w:rsidR="00C30678" w:rsidRPr="00C30678" w:rsidRDefault="00C30678" w:rsidP="00C30678">
            <w:pPr>
              <w:pStyle w:val="a4"/>
              <w:rPr>
                <w:color w:val="000000"/>
              </w:rPr>
            </w:pPr>
            <w:r w:rsidRPr="00C30678">
              <w:rPr>
                <w:color w:val="000000"/>
              </w:rPr>
              <w:t>Срок годности</w:t>
            </w:r>
          </w:p>
        </w:tc>
        <w:tc>
          <w:tcPr>
            <w:tcW w:w="3189" w:type="dxa"/>
          </w:tcPr>
          <w:p w:rsidR="00C30678" w:rsidRPr="00C30678" w:rsidRDefault="008F4886" w:rsidP="008F488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  <w:tc>
          <w:tcPr>
            <w:tcW w:w="3193" w:type="dxa"/>
          </w:tcPr>
          <w:p w:rsidR="00C30678" w:rsidRPr="00C30678" w:rsidRDefault="008F4886" w:rsidP="00C3067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</w:tr>
    </w:tbl>
    <w:p w:rsidR="00C30678" w:rsidRDefault="00C30678" w:rsidP="00C30678">
      <w:pPr>
        <w:pStyle w:val="a4"/>
        <w:numPr>
          <w:ilvl w:val="0"/>
          <w:numId w:val="16"/>
        </w:numPr>
        <w:rPr>
          <w:color w:val="000000"/>
          <w:sz w:val="28"/>
          <w:szCs w:val="22"/>
          <w:u w:val="double"/>
        </w:rPr>
      </w:pPr>
      <w:r w:rsidRPr="00C30678">
        <w:rPr>
          <w:color w:val="000000"/>
          <w:sz w:val="28"/>
          <w:szCs w:val="22"/>
          <w:u w:val="double"/>
        </w:rPr>
        <w:t>.Хранение и реализация гомеопатических лекарственных средств.</w:t>
      </w:r>
    </w:p>
    <w:p w:rsidR="00C30678" w:rsidRDefault="00C30678" w:rsidP="00C30678">
      <w:pPr>
        <w:pStyle w:val="a4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C30678">
        <w:rPr>
          <w:color w:val="000000"/>
          <w:spacing w:val="4"/>
          <w:sz w:val="28"/>
          <w:szCs w:val="28"/>
          <w:shd w:val="clear" w:color="auto" w:fill="FFFFFF"/>
        </w:rPr>
        <w:t>Храните препараты обязательно вдали от сильно пахучих веществ</w:t>
      </w:r>
      <w:r>
        <w:rPr>
          <w:color w:val="000000"/>
          <w:spacing w:val="4"/>
          <w:sz w:val="28"/>
          <w:szCs w:val="28"/>
          <w:shd w:val="clear" w:color="auto" w:fill="FFFFFF"/>
        </w:rPr>
        <w:t>,</w:t>
      </w:r>
      <w:r w:rsidRPr="00C30678">
        <w:rPr>
          <w:color w:val="000000"/>
          <w:spacing w:val="4"/>
          <w:sz w:val="28"/>
          <w:szCs w:val="28"/>
          <w:shd w:val="clear" w:color="auto" w:fill="FFFFFF"/>
        </w:rPr>
        <w:t xml:space="preserve"> не при высоких температурах, вдали от прямого солнечного света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</w:p>
    <w:p w:rsidR="00C30678" w:rsidRDefault="00C30678" w:rsidP="008F4886">
      <w:pPr>
        <w:pStyle w:val="a4"/>
        <w:jc w:val="both"/>
        <w:rPr>
          <w:color w:val="000000"/>
          <w:sz w:val="28"/>
          <w:szCs w:val="28"/>
        </w:rPr>
      </w:pPr>
      <w:r w:rsidRPr="00C30678">
        <w:rPr>
          <w:color w:val="000000"/>
          <w:sz w:val="28"/>
          <w:szCs w:val="28"/>
        </w:rPr>
        <w:t xml:space="preserve">В соответствии с приказом М3 РФ № 335 - гомеопатические ЛС отпускаются без рецепта врача за исключением инъекционных форм (на что есть особое </w:t>
      </w:r>
      <w:r w:rsidRPr="00C30678">
        <w:rPr>
          <w:color w:val="000000"/>
          <w:sz w:val="28"/>
          <w:szCs w:val="28"/>
        </w:rPr>
        <w:lastRenderedPageBreak/>
        <w:t>указание в соответствующих инструкциях по применению этих препаратов) и экстемпоральных ЛС.</w:t>
      </w:r>
    </w:p>
    <w:p w:rsidR="00927F52" w:rsidRPr="00927F52" w:rsidRDefault="00927F52" w:rsidP="008F4886">
      <w:pPr>
        <w:pStyle w:val="a4"/>
        <w:jc w:val="both"/>
        <w:rPr>
          <w:color w:val="C00000"/>
          <w:sz w:val="28"/>
          <w:szCs w:val="28"/>
          <w:u w:val="double"/>
        </w:rPr>
      </w:pPr>
      <w:r>
        <w:rPr>
          <w:color w:val="C00000"/>
          <w:sz w:val="28"/>
          <w:szCs w:val="28"/>
          <w:u w:val="double"/>
        </w:rPr>
        <w:t>Тема 3: оценка 5.</w:t>
      </w:r>
    </w:p>
    <w:sectPr w:rsidR="00927F52" w:rsidRPr="00927F52" w:rsidSect="00B4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291"/>
    <w:multiLevelType w:val="hybridMultilevel"/>
    <w:tmpl w:val="B20E4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033A59"/>
    <w:multiLevelType w:val="hybridMultilevel"/>
    <w:tmpl w:val="D11A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0800"/>
    <w:multiLevelType w:val="hybridMultilevel"/>
    <w:tmpl w:val="0D46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C073D"/>
    <w:multiLevelType w:val="hybridMultilevel"/>
    <w:tmpl w:val="C1208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544DD"/>
    <w:multiLevelType w:val="hybridMultilevel"/>
    <w:tmpl w:val="132A8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C2B43"/>
    <w:multiLevelType w:val="hybridMultilevel"/>
    <w:tmpl w:val="BCCC8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16A41"/>
    <w:multiLevelType w:val="hybridMultilevel"/>
    <w:tmpl w:val="C36EF21A"/>
    <w:lvl w:ilvl="0" w:tplc="9510003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D5ED3"/>
    <w:multiLevelType w:val="hybridMultilevel"/>
    <w:tmpl w:val="06042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67F92"/>
    <w:multiLevelType w:val="hybridMultilevel"/>
    <w:tmpl w:val="C2C0EC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F70CCE"/>
    <w:multiLevelType w:val="hybridMultilevel"/>
    <w:tmpl w:val="EC702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3045D"/>
    <w:multiLevelType w:val="hybridMultilevel"/>
    <w:tmpl w:val="192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E63DB"/>
    <w:multiLevelType w:val="hybridMultilevel"/>
    <w:tmpl w:val="327E91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455191"/>
    <w:multiLevelType w:val="hybridMultilevel"/>
    <w:tmpl w:val="A7F6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1442A"/>
    <w:multiLevelType w:val="hybridMultilevel"/>
    <w:tmpl w:val="2196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C237F"/>
    <w:multiLevelType w:val="hybridMultilevel"/>
    <w:tmpl w:val="FAD4457E"/>
    <w:lvl w:ilvl="0" w:tplc="0248D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031EA"/>
    <w:multiLevelType w:val="hybridMultilevel"/>
    <w:tmpl w:val="42343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14"/>
  </w:num>
  <w:num w:numId="13">
    <w:abstractNumId w:val="10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857A6B"/>
    <w:rsid w:val="00196008"/>
    <w:rsid w:val="004C7944"/>
    <w:rsid w:val="00577FA1"/>
    <w:rsid w:val="00857A6B"/>
    <w:rsid w:val="008F4886"/>
    <w:rsid w:val="00927F52"/>
    <w:rsid w:val="0098584B"/>
    <w:rsid w:val="00B417E5"/>
    <w:rsid w:val="00C30678"/>
    <w:rsid w:val="00DF3876"/>
    <w:rsid w:val="00EB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A6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5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8584B"/>
  </w:style>
  <w:style w:type="character" w:styleId="a5">
    <w:name w:val="Hyperlink"/>
    <w:basedOn w:val="a0"/>
    <w:uiPriority w:val="99"/>
    <w:semiHidden/>
    <w:unhideWhenUsed/>
    <w:rsid w:val="009858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84B"/>
    <w:pPr>
      <w:ind w:left="720"/>
      <w:contextualSpacing/>
    </w:pPr>
  </w:style>
  <w:style w:type="table" w:styleId="a7">
    <w:name w:val="Table Grid"/>
    <w:basedOn w:val="a1"/>
    <w:uiPriority w:val="59"/>
    <w:rsid w:val="00C3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79535828531</dc:creator>
  <cp:keywords/>
  <dc:description/>
  <cp:lastModifiedBy>79535828531</cp:lastModifiedBy>
  <cp:revision>8</cp:revision>
  <dcterms:created xsi:type="dcterms:W3CDTF">2020-05-19T11:20:00Z</dcterms:created>
  <dcterms:modified xsi:type="dcterms:W3CDTF">2020-05-25T06:33:00Z</dcterms:modified>
</cp:coreProperties>
</file>