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35" w:rsidRDefault="00F86A18">
      <w:pPr>
        <w:pStyle w:val="a3"/>
        <w:spacing w:line="360" w:lineRule="auto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aqSQMAAA8IAAAOAAAAZHJzL2Uyb0RvYy54bWysVdtu2zgQfV+g/0DwsYtGsmPnYkQpirQJ&#10;FugNiPtc0BRlCUuRKklbTr++Z6iL7TQpdosmgExqzhzOzBkNr17vas22yvnKmoxPTlLOlJE2r8w6&#10;41+Wt68uOPNBmFxoa1TGH5Tnr69f/HXVNgs1taXVuXIMJMYv2ibjZQjNIkm8LFUt/IltlIGxsK4W&#10;AVu3TnInWrDXOpmm6VnSWpc3zkrlPd6+7Yz8OvIXhZLhU1F4FZjOOGIL8enic0XP5PpKLNZONGUl&#10;+zDEb0RRi8rg0JHqrQiCbVz1E1VdSWe9LcKJtHVii6KSKuaAbCbpo2zuS9GomAuK45uxTP7P0cqP&#10;28+OVXnGZ5wZUUMiT6eGh0Z9PZ9zVlZ5rkhaKlXb+AU87pvPjpL1zXsr//XM2HulUWpCYXNTCrNW&#10;b5yzbalEjmijc3LkTRsPHrZqP9gcx4pNsLGEu8LVxI7isF1U6mFUSu0Ck3h5djpPU+gpYerXCC8R&#10;i8FZbny4UzYSie17Hzqhc6yiTHmf7B1IilpD879fsel5mjL8910xYpDVHjM5iyA49pQD0/S/oJbj&#10;eS8Tdpeylk2J8BHXcjyxQ5VPo8YTCTV5jut0iItQU3bAhXqth4qIciiS3Jm+SlgxSEnVp6I11pMg&#10;jjNUfSspZjAARMYRO59BGWR04FHK6LJ6xmOSXvzkon99yOQMH//Tp4TDU7r4+nQcWpTmAGmAXqUi&#10;YxIsUUWMguVpp0EjAlUiRo8lazPeKcTKYUW22m7V0kZUeNSlOHNv1eYQ1TMN/QzkYB9+m8i2x43d&#10;8SwWyYDvKZzU1qvYpPt4en40eudGi07HPeZRLAN2cnE5ggfI8NvRdggK5/9g6avrYxjohsiRNOkR&#10;+2wUBi8Pv25vdZXfVlqTGN6tVzfasa2Azrfxr6c+gmlDul7Op/PYpke2I4rYZEN0R7C6Cri4dFVn&#10;vO/eWGkaeO9MHtdBVLpbR/GQxTD0ukm6svkDBqCz3a2EWxSL0rrvnLW4kTCJv22EU5zpfwyG6OVk&#10;NqPOjZvZ/HyKjTu0rA4twkhQZTxwfMK0vAnYwWXTuGpdxllNFTP2DQZvUdGAjPF1UfUb3Dqx+P0N&#10;Sdfa4T6i9vf49Q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N4RlqpJAwAADwgAAA4AAAAAAAAAAAAAAAAALgIAAGRycy9lMm9E&#10;b2MueG1sUEsBAi0AFAAGAAgAAAAhACRyZKfZAAAABQEAAA8AAAAAAAAAAAAAAAAAowUAAGRycy9k&#10;b3ducmV2LnhtbFBLBQYAAAAABAAEAPMAAACpBgAAAAA=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66640" cy="2733040"/>
                <wp:effectExtent l="13335" t="5715" r="6350" b="1397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640" cy="273304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0;margin-top:0;width:383.2pt;height:2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L9JwMAALMHAAAOAAAAZHJzL2Uyb0RvYy54bWysVVtv0zAUfkfiP1h+BLFcellXrZ2mjU1I&#10;AyatPCPXcZoIxw6223T8es5x4jS7ChCtlNjxd75zPz4921eS7ISxpVYLmhzFlAjFdVaqzYJ+W119&#10;mFFiHVMZk1qJBb0Xlp4t3745beq5SHWhZSYMARJl5029oIVz9TyKLC9ExeyRroWCw1ybijnYmk2U&#10;GdYAeyWjNI6nUaNNVhvNhbXw9bI9pEvPn+eCu695boUjckHBNuefxj/X+IyWp2y+MawuSt6Zwf7B&#10;ioqVCpT2VJfMMbI15ROqquRGW527I66rSOd5yYX3AbxJ4kfe3BWsFt4XCI6t+zDZ/0fLv+xuDSmz&#10;BR1RolgFKbKo9bsPTVPbOSDu6luDztn6RvMflih9UTC1EefG6KYQLAODEgxl9EAANxZEybr5rDNg&#10;ZlunfZT2uamQEPwne5+M+z4ZYu8Ih4/j2XQ6HUPOOJylx6NRDBvUweZBnG+tuxbaU7HdjXVtNjNY&#10;+VxknUfXwJJXEhL7/gNJj+OYwL9LfY9Jhphk6kEg2FEGpvRPUKte37uIXMekISkSPuJa9RpbVPE8&#10;qteIqOQlLshe6yGiUjLggnhtQkRYEYLE96qLEqwIJBPjj0GrtcWUGEog7DveRRxAeNhjJ+MYf0OJ&#10;gnuR9QsSSTx7IiJfV5JMocOf1+KGWsDDgzsGWh6bHXMA3Y5BhnZfQRSh31ejNgc1cxgJ7y8sSQMV&#10;5jNEirDCs0rvxEp7lHtUp6DzcCrVENUxhYoGZDgP79qzHXB9dbyIBWewC0IVDXBcait8kR7s6fih&#10;0FsxXADkNZsDNpmd9OBgbni3tC0CzfkbLHZdZ0OgC5aDWZgPb1+fGPg47G6pMEcnk3TiS85qWWZX&#10;pZSYG2s26wtpyI5B2mdQZrOg6QHM6K3KfKBwYn3s1o6Vsl37mHYjDKcWXiF2vtbZPUwwo9ubA246&#10;WBTa/KKkgVsDpuXPLTOCEvlJwRQ8ScY4spzfjCfHKWzM8GQ9PGGKA9WCOgodiMsLBzsQ2dam3BSg&#10;KfHuKn0OkzMvcb75Edta1W3gZvCx624xvHqGe4863LXL3wAAAP//AwBQSwMEFAAGAAgAAAAhANm0&#10;LAjdAAAABQEAAA8AAABkcnMvZG93bnJldi54bWxMj0FLw0AQhe+C/2EZwYvYjRrSErMpIrT04KE2&#10;Qq+T7JiNZmdDdtvEf+/qRS8Dj/d475tiPdtenGn0nWMFd4sEBHHjdMetgrdqc7sC4QOyxt4xKfgi&#10;D+vy8qLAXLuJX+l8CK2IJexzVGBCGHIpfWPIol+4gTh67260GKIcW6lHnGK57eV9kmTSYsdxweBA&#10;z4aaz8PJKgh1Z4aP3bR92VfV7ma5aY+03St1fTU/PYIINIe/MPzgR3QoI1PtTqy96BXER8Lvjd4y&#10;y1IQtYL0IUlBloX8T19+AwAA//8DAFBLAQItABQABgAIAAAAIQC2gziS/gAAAOEBAAATAAAAAAAA&#10;AAAAAAAAAAAAAABbQ29udGVudF9UeXBlc10ueG1sUEsBAi0AFAAGAAgAAAAhADj9If/WAAAAlAEA&#10;AAsAAAAAAAAAAAAAAAAALwEAAF9yZWxzLy5yZWxzUEsBAi0AFAAGAAgAAAAhAFFTEv0nAwAAswcA&#10;AA4AAAAAAAAAAAAAAAAALgIAAGRycy9lMm9Eb2MueG1sUEsBAi0AFAAGAAgAAAAhANm0LAjdAAAA&#10;BQEAAA8AAAAAAAAAAAAAAAAAgQUAAGRycy9kb3ducmV2LnhtbFBLBQYAAAAABAAEAPMAAACLBgAA&#10;AAA=&#10;" path="m,l21600,r,21600l,21600,,xm2700,2700r,16200l18900,18900r,-16200l2700,2700xe" filled="f" strokecolor="gray">
                <v:path o:connecttype="custom" o:connectlocs="4866640,1366520;2433320,2733040;0,1366520;2433320,0" o:connectangles="0,90,180,270" textboxrect="2700,2700,18900,18900"/>
              </v:shape>
            </w:pict>
          </mc:Fallback>
        </mc:AlternateContent>
      </w:r>
      <w:r w:rsidR="00F913EE">
        <w:rPr>
          <w:b/>
        </w:rPr>
        <w:t xml:space="preserve">Утверждены </w:t>
      </w:r>
    </w:p>
    <w:p w:rsidR="00612E35" w:rsidRDefault="00F913EE">
      <w:pPr>
        <w:pStyle w:val="a3"/>
        <w:spacing w:line="360" w:lineRule="auto"/>
        <w:jc w:val="right"/>
      </w:pPr>
      <w:r>
        <w:rPr>
          <w:b/>
        </w:rPr>
        <w:t>на заседании профильной комиссии</w:t>
      </w:r>
    </w:p>
    <w:p w:rsidR="00612E35" w:rsidRDefault="00F913EE">
      <w:pPr>
        <w:pStyle w:val="a3"/>
        <w:spacing w:line="360" w:lineRule="auto"/>
        <w:jc w:val="right"/>
      </w:pPr>
      <w:r>
        <w:rPr>
          <w:b/>
        </w:rPr>
        <w:t xml:space="preserve">в рамках научно-практической конференции </w:t>
      </w:r>
    </w:p>
    <w:p w:rsidR="00612E35" w:rsidRDefault="00F913EE">
      <w:pPr>
        <w:pStyle w:val="a3"/>
        <w:spacing w:line="360" w:lineRule="auto"/>
        <w:jc w:val="right"/>
      </w:pPr>
      <w:r>
        <w:rPr>
          <w:b/>
        </w:rPr>
        <w:t xml:space="preserve">«Эндокринологические аспекты в педиатрии» </w:t>
      </w:r>
    </w:p>
    <w:p w:rsidR="00612E35" w:rsidRDefault="00F913EE">
      <w:pPr>
        <w:pStyle w:val="a3"/>
        <w:spacing w:line="360" w:lineRule="auto"/>
        <w:jc w:val="right"/>
      </w:pPr>
      <w:r>
        <w:rPr>
          <w:b/>
        </w:rPr>
        <w:t>Москва,  декабрь 2013 г.</w:t>
      </w: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  <w:bookmarkStart w:id="0" w:name="_GoBack"/>
      <w:bookmarkEnd w:id="0"/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F913EE">
      <w:pPr>
        <w:pStyle w:val="a3"/>
        <w:spacing w:line="360" w:lineRule="auto"/>
      </w:pPr>
      <w:r>
        <w:rPr>
          <w:b/>
          <w:sz w:val="28"/>
          <w:szCs w:val="28"/>
        </w:rPr>
        <w:t>ФЕДЕРАЛЬНЫЕ  КЛИНИЧЕСКИЕ  РЕКОМЕНДАЦИИ</w:t>
      </w:r>
    </w:p>
    <w:p w:rsidR="00612E35" w:rsidRDefault="00F913EE">
      <w:pPr>
        <w:pStyle w:val="a3"/>
        <w:spacing w:line="360" w:lineRule="auto"/>
      </w:pPr>
      <w:r>
        <w:rPr>
          <w:b/>
          <w:sz w:val="28"/>
          <w:szCs w:val="28"/>
        </w:rPr>
        <w:t xml:space="preserve">ПО  ДИАГНОСТИКЕ  И  ЛЕЧЕНИЮ </w:t>
      </w:r>
    </w:p>
    <w:p w:rsidR="00612E35" w:rsidRDefault="00F913EE">
      <w:pPr>
        <w:pStyle w:val="a3"/>
        <w:spacing w:line="360" w:lineRule="auto"/>
      </w:pPr>
      <w:r>
        <w:rPr>
          <w:b/>
          <w:sz w:val="28"/>
          <w:szCs w:val="28"/>
        </w:rPr>
        <w:t xml:space="preserve">ИДИОПАТИЧЕСКОЙ </w:t>
      </w:r>
      <w:r>
        <w:rPr>
          <w:b/>
          <w:sz w:val="28"/>
          <w:szCs w:val="28"/>
        </w:rPr>
        <w:t>НИЗКОРОСЛОСТИ  У  ДЕТЕЙ  И  ПОДРОСТКОВ</w:t>
      </w: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F913EE">
      <w:pPr>
        <w:pStyle w:val="a3"/>
        <w:spacing w:line="360" w:lineRule="auto"/>
      </w:pPr>
      <w:r>
        <w:rPr>
          <w:b/>
        </w:rPr>
        <w:t>Оглавление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7333"/>
        <w:gridCol w:w="1032"/>
      </w:tblGrid>
      <w:tr w:rsidR="00612E35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612E35">
            <w:pPr>
              <w:pStyle w:val="a3"/>
              <w:spacing w:line="360" w:lineRule="auto"/>
            </w:pPr>
          </w:p>
        </w:tc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Список сокращений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3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612E35">
            <w:pPr>
              <w:pStyle w:val="a3"/>
              <w:spacing w:line="360" w:lineRule="auto"/>
            </w:pPr>
          </w:p>
        </w:tc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Методология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4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612E35">
            <w:pPr>
              <w:pStyle w:val="a3"/>
              <w:spacing w:line="360" w:lineRule="auto"/>
            </w:pPr>
          </w:p>
        </w:tc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Определение,  классификация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7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612E35">
            <w:pPr>
              <w:pStyle w:val="a3"/>
              <w:spacing w:line="360" w:lineRule="auto"/>
            </w:pPr>
          </w:p>
        </w:tc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 xml:space="preserve">Диагностика 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8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612E35">
            <w:pPr>
              <w:pStyle w:val="a3"/>
              <w:spacing w:line="360" w:lineRule="auto"/>
            </w:pPr>
          </w:p>
        </w:tc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 xml:space="preserve">Лечение 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19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612E35">
            <w:pPr>
              <w:pStyle w:val="a3"/>
              <w:spacing w:line="360" w:lineRule="auto"/>
            </w:pPr>
          </w:p>
        </w:tc>
        <w:tc>
          <w:tcPr>
            <w:tcW w:w="7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 xml:space="preserve">Литература 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22</w:t>
            </w:r>
          </w:p>
        </w:tc>
      </w:tr>
    </w:tbl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F913EE">
      <w:pPr>
        <w:pStyle w:val="a3"/>
        <w:spacing w:line="360" w:lineRule="auto"/>
      </w:pPr>
      <w:r>
        <w:rPr>
          <w:b/>
        </w:rPr>
        <w:t>Список сокращений</w:t>
      </w:r>
    </w:p>
    <w:p w:rsidR="00612E35" w:rsidRDefault="00F913EE">
      <w:pPr>
        <w:pStyle w:val="a3"/>
        <w:spacing w:line="360" w:lineRule="auto"/>
      </w:pPr>
      <w:r>
        <w:t xml:space="preserve">ИН – идиопатическая </w:t>
      </w:r>
      <w:r>
        <w:t>низкорослость</w:t>
      </w:r>
    </w:p>
    <w:p w:rsidR="00612E35" w:rsidRDefault="00F913EE">
      <w:pPr>
        <w:pStyle w:val="a3"/>
        <w:spacing w:line="360" w:lineRule="auto"/>
      </w:pPr>
      <w:r>
        <w:t>ИФР-1 – инсулиноподобный фактор роста</w:t>
      </w:r>
    </w:p>
    <w:p w:rsidR="00612E35" w:rsidRDefault="00F913EE">
      <w:pPr>
        <w:pStyle w:val="a3"/>
        <w:spacing w:line="360" w:lineRule="auto"/>
      </w:pPr>
      <w:r>
        <w:t>МРТ – магнитно-резонансная томография</w:t>
      </w:r>
    </w:p>
    <w:p w:rsidR="00612E35" w:rsidRDefault="00F913EE">
      <w:pPr>
        <w:pStyle w:val="a3"/>
        <w:spacing w:line="360" w:lineRule="auto"/>
      </w:pPr>
      <w:r>
        <w:t>СТГ – соматотропный гормон</w:t>
      </w:r>
    </w:p>
    <w:p w:rsidR="00612E35" w:rsidRDefault="00F913EE">
      <w:pPr>
        <w:pStyle w:val="a3"/>
        <w:spacing w:line="360" w:lineRule="auto"/>
      </w:pPr>
      <w:r>
        <w:t>рГР – рекомбинантный гормон роста</w:t>
      </w:r>
    </w:p>
    <w:p w:rsidR="00612E35" w:rsidRDefault="00F913EE">
      <w:pPr>
        <w:pStyle w:val="a3"/>
        <w:spacing w:line="360" w:lineRule="auto"/>
      </w:pPr>
      <w:r>
        <w:t>ТТГ – тиреотропный гормон</w:t>
      </w:r>
    </w:p>
    <w:p w:rsidR="00612E35" w:rsidRDefault="00F913EE">
      <w:pPr>
        <w:pStyle w:val="a3"/>
        <w:spacing w:line="360" w:lineRule="auto"/>
      </w:pPr>
      <w:r>
        <w:rPr>
          <w:szCs w:val="36"/>
        </w:rPr>
        <w:t>ИРИ – иммунореактивный инсулин</w:t>
      </w:r>
    </w:p>
    <w:p w:rsidR="00612E35" w:rsidRDefault="00F913EE">
      <w:pPr>
        <w:pStyle w:val="a3"/>
        <w:spacing w:line="360" w:lineRule="auto"/>
      </w:pPr>
      <w:r>
        <w:rPr>
          <w:szCs w:val="36"/>
        </w:rPr>
        <w:t>HbA1c – гликированный гемоглобин</w:t>
      </w:r>
    </w:p>
    <w:p w:rsidR="00612E35" w:rsidRDefault="00F913EE">
      <w:pPr>
        <w:pStyle w:val="a3"/>
        <w:spacing w:line="360" w:lineRule="auto"/>
      </w:pPr>
      <w:r>
        <w:rPr>
          <w:lang w:val="en-US"/>
        </w:rPr>
        <w:t>SD</w:t>
      </w:r>
      <w:r>
        <w:t xml:space="preserve"> – стандартное отклонение</w:t>
      </w:r>
    </w:p>
    <w:p w:rsidR="00612E35" w:rsidRDefault="00F913EE">
      <w:pPr>
        <w:pStyle w:val="a3"/>
        <w:spacing w:line="360" w:lineRule="auto"/>
      </w:pPr>
      <w:r>
        <w:rPr>
          <w:lang w:val="en-US"/>
        </w:rPr>
        <w:t>SDS</w:t>
      </w:r>
      <w:r>
        <w:t xml:space="preserve"> – коэффициент стандартного отклонения</w:t>
      </w: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612E35">
      <w:pPr>
        <w:pStyle w:val="a3"/>
        <w:spacing w:line="360" w:lineRule="auto"/>
      </w:pPr>
    </w:p>
    <w:p w:rsidR="00612E35" w:rsidRDefault="00F913EE">
      <w:pPr>
        <w:pStyle w:val="a3"/>
        <w:numPr>
          <w:ilvl w:val="0"/>
          <w:numId w:val="4"/>
        </w:numPr>
        <w:spacing w:line="360" w:lineRule="auto"/>
        <w:ind w:left="567" w:hanging="567"/>
      </w:pPr>
      <w:r>
        <w:rPr>
          <w:b/>
          <w:sz w:val="28"/>
          <w:szCs w:val="28"/>
        </w:rPr>
        <w:t>Методология</w:t>
      </w:r>
    </w:p>
    <w:p w:rsidR="00612E35" w:rsidRDefault="00F913EE">
      <w:pPr>
        <w:pStyle w:val="a3"/>
        <w:spacing w:line="360" w:lineRule="auto"/>
        <w:ind w:left="357"/>
      </w:pPr>
      <w:r>
        <w:rPr>
          <w:b/>
        </w:rPr>
        <w:t>Методы, использованные для сбора/селекции доказательств:</w:t>
      </w:r>
    </w:p>
    <w:p w:rsidR="00612E35" w:rsidRDefault="00F913EE">
      <w:pPr>
        <w:pStyle w:val="a3"/>
        <w:spacing w:line="360" w:lineRule="auto"/>
        <w:ind w:left="357"/>
      </w:pPr>
      <w:r>
        <w:t>Поиск в электронных базах данных.</w:t>
      </w:r>
    </w:p>
    <w:p w:rsidR="00612E35" w:rsidRDefault="00F913EE">
      <w:pPr>
        <w:pStyle w:val="a3"/>
        <w:spacing w:line="360" w:lineRule="auto"/>
        <w:ind w:left="357"/>
      </w:pPr>
      <w:r>
        <w:rPr>
          <w:b/>
        </w:rPr>
        <w:t xml:space="preserve">Описание методов, использованных для сбора/селекции </w:t>
      </w:r>
      <w:r>
        <w:rPr>
          <w:b/>
        </w:rPr>
        <w:t>доказательств: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t xml:space="preserve">Доказательной базой для рекомендаций являются публикации, вошедшие в Кохрайновскую библиотеку, базы данных </w:t>
      </w:r>
      <w:r>
        <w:rPr>
          <w:lang w:val="en-US"/>
        </w:rPr>
        <w:t>EMBASE</w:t>
      </w:r>
      <w:r>
        <w:t xml:space="preserve"> и </w:t>
      </w:r>
      <w:r>
        <w:rPr>
          <w:lang w:val="en-US"/>
        </w:rPr>
        <w:t>MEDLINE</w:t>
      </w:r>
      <w:r>
        <w:t>. Глубина поиска составила 5 лет.</w:t>
      </w:r>
    </w:p>
    <w:p w:rsidR="00612E35" w:rsidRDefault="00F913EE">
      <w:pPr>
        <w:pStyle w:val="a3"/>
        <w:spacing w:line="360" w:lineRule="auto"/>
        <w:ind w:left="357"/>
      </w:pPr>
      <w:r>
        <w:t>Методы, использованные для оценки качества и силы доказательств:</w:t>
      </w:r>
    </w:p>
    <w:p w:rsidR="00612E35" w:rsidRDefault="00F913EE">
      <w:pPr>
        <w:pStyle w:val="a3"/>
        <w:spacing w:line="360" w:lineRule="auto"/>
        <w:ind w:left="357"/>
      </w:pPr>
      <w:r>
        <w:t>- Консенсус эксперт</w:t>
      </w:r>
      <w:r>
        <w:t>ов</w:t>
      </w:r>
    </w:p>
    <w:p w:rsidR="00612E35" w:rsidRDefault="00F913EE">
      <w:pPr>
        <w:pStyle w:val="a3"/>
        <w:spacing w:line="360" w:lineRule="auto"/>
        <w:ind w:left="357"/>
      </w:pPr>
      <w:r>
        <w:t>- Оценка значимости в соответствии с рейтинговой схемой (табл.1).</w:t>
      </w:r>
    </w:p>
    <w:p w:rsidR="00612E35" w:rsidRDefault="00612E35">
      <w:pPr>
        <w:pStyle w:val="a3"/>
        <w:ind w:left="360"/>
      </w:pPr>
    </w:p>
    <w:p w:rsidR="00612E35" w:rsidRDefault="00F913EE">
      <w:pPr>
        <w:pStyle w:val="a3"/>
        <w:ind w:left="360"/>
        <w:jc w:val="center"/>
      </w:pPr>
      <w:r>
        <w:t xml:space="preserve">Таблица 1: </w:t>
      </w:r>
      <w:r>
        <w:rPr>
          <w:b/>
        </w:rPr>
        <w:t>Рейтинговая схема для оценки силы рекомендаций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7796"/>
      </w:tblGrid>
      <w:tr w:rsidR="00612E35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jc w:val="center"/>
            </w:pPr>
            <w:r>
              <w:t>Уровни доказательств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jc w:val="center"/>
            </w:pPr>
            <w:r>
              <w:t>Описание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1++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 xml:space="preserve">Мета-анализы высокого качества, систематические обзоры рандомизированных контролируемых </w:t>
            </w:r>
            <w:r>
              <w:t>исследований (РКИ), или РКИ с очень низким риском систематических ошибок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1+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1-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Метаанализы, систематические, или РКИ с высоким риском систематических ош</w:t>
            </w:r>
            <w:r>
              <w:t>ибок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2++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Высококачественные систематические обзоры исследований случай-контроль или когортных исследований. Высококачественные обзоры исследований случай-контроль или когортных исследований с очень низким риском эффектов смешивания или систематических оши</w:t>
            </w:r>
            <w:r>
              <w:t>бок и средней вероятностью причинной взаимосвязи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2+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Хорошо проведенные исследования случай-контроль или когортные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2-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 xml:space="preserve">Исследования </w:t>
            </w:r>
            <w:r>
              <w:t>случай-контроль или когортные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Не аналитические исследования (например: описание случаев, серий случаев)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Мнение экспертов</w:t>
            </w:r>
          </w:p>
        </w:tc>
      </w:tr>
    </w:tbl>
    <w:p w:rsidR="00612E35" w:rsidRDefault="00612E35">
      <w:pPr>
        <w:pStyle w:val="a3"/>
        <w:ind w:left="360"/>
      </w:pPr>
    </w:p>
    <w:p w:rsidR="00612E35" w:rsidRDefault="00F913EE">
      <w:pPr>
        <w:pStyle w:val="a3"/>
        <w:spacing w:line="360" w:lineRule="auto"/>
        <w:ind w:left="357"/>
      </w:pPr>
      <w:r>
        <w:rPr>
          <w:b/>
        </w:rPr>
        <w:t>Метод</w:t>
      </w:r>
      <w:r>
        <w:rPr>
          <w:b/>
        </w:rPr>
        <w:t>ы, использованные для анализа доказательств:</w:t>
      </w:r>
    </w:p>
    <w:p w:rsidR="00612E35" w:rsidRDefault="00F913EE">
      <w:pPr>
        <w:pStyle w:val="a3"/>
        <w:spacing w:line="360" w:lineRule="auto"/>
        <w:ind w:left="357"/>
      </w:pPr>
      <w:r>
        <w:t>- обзоры публикуемых мета-анализов;</w:t>
      </w:r>
    </w:p>
    <w:p w:rsidR="00612E35" w:rsidRDefault="00F913EE">
      <w:pPr>
        <w:pStyle w:val="a3"/>
        <w:spacing w:line="360" w:lineRule="auto"/>
        <w:ind w:left="357"/>
      </w:pPr>
      <w:r>
        <w:t>- систематические обзоры с таблицами доказательств.</w:t>
      </w:r>
    </w:p>
    <w:p w:rsidR="00612E35" w:rsidRDefault="00F913EE">
      <w:pPr>
        <w:pStyle w:val="a3"/>
        <w:spacing w:line="360" w:lineRule="auto"/>
        <w:ind w:left="357"/>
      </w:pPr>
      <w:r>
        <w:rPr>
          <w:b/>
        </w:rPr>
        <w:t>Описание методов, использованных для анализа доказательств: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lastRenderedPageBreak/>
        <w:t xml:space="preserve">Доказательной базой для рекомендаций являются публикации, вошедшие в Кохрайновскую библиотеку, базы данных </w:t>
      </w:r>
      <w:r>
        <w:rPr>
          <w:lang w:val="en-US"/>
        </w:rPr>
        <w:t>EMBASE</w:t>
      </w:r>
      <w:r>
        <w:t xml:space="preserve"> и </w:t>
      </w:r>
      <w:r>
        <w:rPr>
          <w:lang w:val="en-US"/>
        </w:rPr>
        <w:t>MEDLINE</w:t>
      </w:r>
      <w:r>
        <w:t>. Глубина поиска составила 5 лет.</w:t>
      </w:r>
    </w:p>
    <w:p w:rsidR="00612E35" w:rsidRDefault="00F913EE">
      <w:pPr>
        <w:pStyle w:val="a3"/>
        <w:spacing w:line="360" w:lineRule="auto"/>
        <w:ind w:left="357"/>
      </w:pPr>
      <w:r>
        <w:t>Методы, использованные для оценки качества и силы доказательств:</w:t>
      </w:r>
    </w:p>
    <w:p w:rsidR="00612E35" w:rsidRDefault="00F913EE">
      <w:pPr>
        <w:pStyle w:val="a3"/>
        <w:spacing w:line="360" w:lineRule="auto"/>
        <w:ind w:left="357"/>
      </w:pPr>
      <w:r>
        <w:t>- Консенсус экспертов</w:t>
      </w:r>
    </w:p>
    <w:p w:rsidR="00612E35" w:rsidRDefault="00F913EE">
      <w:pPr>
        <w:pStyle w:val="a3"/>
        <w:spacing w:line="360" w:lineRule="auto"/>
        <w:ind w:left="357"/>
      </w:pPr>
      <w:r>
        <w:t>- Оценка зна</w:t>
      </w:r>
      <w:r>
        <w:t>чимости в соответствии с рейтинговой схемой (табл.1).</w:t>
      </w:r>
    </w:p>
    <w:p w:rsidR="00612E35" w:rsidRDefault="00F913EE">
      <w:pPr>
        <w:pStyle w:val="a3"/>
        <w:spacing w:line="360" w:lineRule="auto"/>
        <w:ind w:left="357"/>
      </w:pPr>
      <w:r>
        <w:rPr>
          <w:b/>
        </w:rPr>
        <w:t>Таблицы доказательств:</w:t>
      </w:r>
    </w:p>
    <w:p w:rsidR="00612E35" w:rsidRDefault="00F913EE">
      <w:pPr>
        <w:pStyle w:val="a3"/>
        <w:spacing w:line="360" w:lineRule="auto"/>
        <w:ind w:left="357"/>
      </w:pPr>
      <w:r>
        <w:t>Таблицы доказательств заполнялись членами рабочей группы.</w:t>
      </w:r>
    </w:p>
    <w:p w:rsidR="00612E35" w:rsidRDefault="00F913EE">
      <w:pPr>
        <w:pStyle w:val="a3"/>
        <w:spacing w:line="360" w:lineRule="auto"/>
        <w:ind w:left="357"/>
      </w:pPr>
      <w:r>
        <w:rPr>
          <w:b/>
        </w:rPr>
        <w:t>Методы, использованные для формулирования рекомендаций:</w:t>
      </w:r>
    </w:p>
    <w:p w:rsidR="00612E35" w:rsidRDefault="00F913EE">
      <w:pPr>
        <w:pStyle w:val="a3"/>
        <w:spacing w:line="360" w:lineRule="auto"/>
        <w:ind w:left="357"/>
      </w:pPr>
      <w:r>
        <w:t>Консенсус экспертов.</w:t>
      </w:r>
    </w:p>
    <w:p w:rsidR="00612E35" w:rsidRDefault="00612E35">
      <w:pPr>
        <w:pStyle w:val="a3"/>
        <w:spacing w:line="360" w:lineRule="auto"/>
        <w:ind w:left="357"/>
      </w:pPr>
    </w:p>
    <w:p w:rsidR="00612E35" w:rsidRDefault="00F913EE">
      <w:pPr>
        <w:pStyle w:val="a3"/>
        <w:spacing w:line="360" w:lineRule="auto"/>
        <w:ind w:left="357"/>
        <w:jc w:val="center"/>
      </w:pPr>
      <w:r>
        <w:t xml:space="preserve">Таблица 2: </w:t>
      </w:r>
      <w:r>
        <w:rPr>
          <w:b/>
        </w:rPr>
        <w:t>Рейтинговая схема для оценки сил</w:t>
      </w:r>
      <w:r>
        <w:rPr>
          <w:b/>
        </w:rPr>
        <w:t>ы рекомендаций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8948"/>
      </w:tblGrid>
      <w:tr w:rsidR="00612E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jc w:val="center"/>
            </w:pPr>
            <w:r>
              <w:t>Сила</w:t>
            </w:r>
          </w:p>
        </w:tc>
        <w:tc>
          <w:tcPr>
            <w:tcW w:w="9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jc w:val="center"/>
            </w:pPr>
            <w:r>
              <w:t>Описание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rPr>
                <w:lang w:val="en-US"/>
              </w:rPr>
              <w:t>A</w:t>
            </w:r>
          </w:p>
        </w:tc>
        <w:tc>
          <w:tcPr>
            <w:tcW w:w="9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 xml:space="preserve">По меньшей мере, один мета-анализ, систематический обзор или РКИ, оцененные как 1++, напрямую примененимые к целевой популяции и демонстрирующие устойчивость результатов, </w:t>
            </w:r>
          </w:p>
          <w:p w:rsidR="00612E35" w:rsidRDefault="00F913EE">
            <w:pPr>
              <w:pStyle w:val="a3"/>
            </w:pPr>
            <w:r>
              <w:t xml:space="preserve">Или группа доказательств, включающие результаты </w:t>
            </w:r>
            <w:r>
              <w:t>исследований, оцененные как 1+, напрямую применимые к целевой популяции и демонстрирующие общую устойчивость результатов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rPr>
                <w:lang w:val="en-US"/>
              </w:rPr>
              <w:t>B</w:t>
            </w:r>
          </w:p>
        </w:tc>
        <w:tc>
          <w:tcPr>
            <w:tcW w:w="9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Группа доказательств, включающая результаты исследований, оцененные как 2++, напрямую применимые к целевой популяции и демонстрирующ</w:t>
            </w:r>
            <w:r>
              <w:t>ие общую устойчивость результатов.</w:t>
            </w:r>
          </w:p>
          <w:p w:rsidR="00612E35" w:rsidRDefault="00F913EE">
            <w:pPr>
              <w:pStyle w:val="a3"/>
            </w:pPr>
            <w:r>
              <w:t>Или экстраполированные доказательства из исследований, оцененных как 1++ или 1+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rPr>
                <w:lang w:val="en-US"/>
              </w:rPr>
              <w:t>C</w:t>
            </w:r>
          </w:p>
        </w:tc>
        <w:tc>
          <w:tcPr>
            <w:tcW w:w="9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>Группа доказательств, включающая результаты исследований, оцененные как 2+,  напрямую применимые к целевой популяции и демонстрирующие общ</w:t>
            </w:r>
            <w:r>
              <w:t>ую устойчивость результатов.</w:t>
            </w:r>
          </w:p>
          <w:p w:rsidR="00612E35" w:rsidRDefault="00F913EE">
            <w:pPr>
              <w:pStyle w:val="a3"/>
            </w:pPr>
            <w:r>
              <w:t xml:space="preserve"> Или экстраполированные доказательства из исследований, оцененных как 2++ 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rPr>
                <w:lang w:val="en-US"/>
              </w:rPr>
              <w:lastRenderedPageBreak/>
              <w:t>D</w:t>
            </w:r>
          </w:p>
        </w:tc>
        <w:tc>
          <w:tcPr>
            <w:tcW w:w="9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</w:pPr>
            <w:r>
              <w:t xml:space="preserve">Доказательства уровня 3 или 4. </w:t>
            </w:r>
          </w:p>
          <w:p w:rsidR="00612E35" w:rsidRDefault="00F913EE">
            <w:pPr>
              <w:pStyle w:val="a3"/>
            </w:pPr>
            <w:r>
              <w:t>Или экстраполированные доказательства из исследований, оцененных как 2+</w:t>
            </w:r>
          </w:p>
        </w:tc>
      </w:tr>
    </w:tbl>
    <w:p w:rsidR="00612E35" w:rsidRDefault="00612E35">
      <w:pPr>
        <w:pStyle w:val="a3"/>
        <w:ind w:left="360"/>
      </w:pPr>
    </w:p>
    <w:p w:rsidR="00612E35" w:rsidRDefault="00F913EE">
      <w:pPr>
        <w:pStyle w:val="a3"/>
        <w:spacing w:line="360" w:lineRule="auto"/>
        <w:ind w:left="357"/>
      </w:pPr>
      <w:r>
        <w:rPr>
          <w:b/>
        </w:rPr>
        <w:t>Индикаторы доброкачественной практики (</w:t>
      </w:r>
      <w:r>
        <w:rPr>
          <w:b/>
          <w:lang w:val="en-US"/>
        </w:rPr>
        <w:t>Good</w:t>
      </w:r>
      <w:r>
        <w:rPr>
          <w:b/>
        </w:rPr>
        <w:t xml:space="preserve"> </w:t>
      </w:r>
      <w:r>
        <w:rPr>
          <w:b/>
          <w:lang w:val="en-US"/>
        </w:rPr>
        <w:t>Practice</w:t>
      </w:r>
      <w:r>
        <w:rPr>
          <w:b/>
        </w:rPr>
        <w:t xml:space="preserve"> </w:t>
      </w:r>
      <w:r>
        <w:rPr>
          <w:b/>
          <w:lang w:val="en-US"/>
        </w:rPr>
        <w:t>Points</w:t>
      </w:r>
      <w:r>
        <w:rPr>
          <w:b/>
        </w:rPr>
        <w:t xml:space="preserve"> – </w:t>
      </w:r>
      <w:r>
        <w:rPr>
          <w:b/>
          <w:lang w:val="en-US"/>
        </w:rPr>
        <w:t>GPPs</w:t>
      </w:r>
      <w:r>
        <w:rPr>
          <w:b/>
        </w:rPr>
        <w:t>)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tab/>
        <w:t>Рекомендуемая доброкачественная практика базируется на клиническом опыте членов рабочей группы по разработке рекомендаций.</w:t>
      </w:r>
    </w:p>
    <w:p w:rsidR="00612E35" w:rsidRDefault="00F913EE">
      <w:pPr>
        <w:pStyle w:val="a3"/>
        <w:spacing w:line="360" w:lineRule="auto"/>
        <w:ind w:left="357"/>
      </w:pPr>
      <w:r>
        <w:rPr>
          <w:b/>
        </w:rPr>
        <w:t>Экономический анализ: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t>Анализ стоимости не проводился и публикации по фармакоэкономике не анализировались.</w:t>
      </w:r>
    </w:p>
    <w:p w:rsidR="00612E35" w:rsidRDefault="00612E35">
      <w:pPr>
        <w:pStyle w:val="a3"/>
        <w:spacing w:line="360" w:lineRule="auto"/>
        <w:ind w:left="357"/>
      </w:pPr>
    </w:p>
    <w:p w:rsidR="00612E35" w:rsidRDefault="00F913EE">
      <w:pPr>
        <w:pStyle w:val="a3"/>
        <w:spacing w:line="360" w:lineRule="auto"/>
        <w:ind w:left="357"/>
      </w:pPr>
      <w:r>
        <w:rPr>
          <w:b/>
        </w:rPr>
        <w:t>Метод валидизации рекомендаций:</w:t>
      </w:r>
    </w:p>
    <w:p w:rsidR="00612E35" w:rsidRDefault="00F913EE">
      <w:pPr>
        <w:pStyle w:val="a3"/>
        <w:spacing w:line="360" w:lineRule="auto"/>
        <w:ind w:left="357"/>
      </w:pPr>
      <w:r>
        <w:tab/>
        <w:t>- Внешняя экспертная оценка.</w:t>
      </w:r>
    </w:p>
    <w:p w:rsidR="00612E35" w:rsidRDefault="00F913EE">
      <w:pPr>
        <w:pStyle w:val="a3"/>
        <w:spacing w:line="360" w:lineRule="auto"/>
        <w:ind w:left="357"/>
      </w:pPr>
      <w:r>
        <w:tab/>
        <w:t>- Внутренняя экспертная оценка.</w:t>
      </w:r>
    </w:p>
    <w:p w:rsidR="00612E35" w:rsidRDefault="00F913EE">
      <w:pPr>
        <w:pStyle w:val="a3"/>
        <w:spacing w:line="360" w:lineRule="auto"/>
        <w:ind w:left="357"/>
      </w:pPr>
      <w:r>
        <w:t>Описание метода валидизации рекомендаций: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tab/>
        <w:t>Настоящие рекомендации в предварительной версии были рецензированы независимыми экспертами, которых попросили прокомме</w:t>
      </w:r>
      <w:r>
        <w:t>нтировать прежде всего то, насколько интерпретация доказательств, лежащих в основе рекомендаций, доступна для понимания.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tab/>
        <w:t>Получены комментарии со стороны врачей первичного звена и участковых педиатров в отношении доходчивости изложения рекомендаций и их оц</w:t>
      </w:r>
      <w:r>
        <w:t>енки важности рекомендаций как рабочего инструмента повседневной практики.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tab/>
      </w:r>
      <w:r>
        <w:rPr>
          <w:b/>
        </w:rPr>
        <w:t>Консультации и экспертная оценка: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t>Последние изменения в настоящих рекомендациях были представлены для дискуссии в предварительной версии на Конгрессе эндокринологов  20-22 мая 2013</w:t>
      </w:r>
      <w:r>
        <w:t xml:space="preserve"> г (г.Москва), на конференциях детских  эндокринологов 22-23 июня 2013 г. (Архангельск) и 5-6 сентября 2013 г. (г.Сочи). Предварительная версия выставлена для широкого обсуждения на сайте ЭНЦ, для того, чтобы лица, не участвующие в конгрессе и </w:t>
      </w:r>
      <w:r>
        <w:lastRenderedPageBreak/>
        <w:t>конференциях</w:t>
      </w:r>
      <w:r>
        <w:t>, имели возможность принять участие в обсуждении и совершенствовании рекомендаций.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t>Проект рекомендаций будет рецензирован также независимыми экспертами, которых попросили прокомментировать прежде всего доходчивость и точность интерпретации доказательной ба</w:t>
      </w:r>
      <w:r>
        <w:t>зы, лежащей в основе рекомендаций.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rPr>
          <w:b/>
        </w:rPr>
        <w:t>Рабочая группа: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tab/>
        <w:t>Для окончательной редакции и контроля качества рекомендации будут повторно проанализированы членами рабочей группы, с целью оценить, что все замечания и комментарии экспертов приняты во внимание, риск сис</w:t>
      </w:r>
      <w:r>
        <w:t>тематических ошибок при разработке рекомендаций сведен к минимуму.</w:t>
      </w:r>
    </w:p>
    <w:p w:rsidR="00612E35" w:rsidRDefault="00F913EE">
      <w:pPr>
        <w:pStyle w:val="a3"/>
        <w:spacing w:line="360" w:lineRule="auto"/>
        <w:ind w:left="357"/>
        <w:jc w:val="both"/>
      </w:pPr>
      <w:r>
        <w:tab/>
        <w:t>Сила рекомендаций (А-</w:t>
      </w:r>
      <w:r>
        <w:rPr>
          <w:lang w:val="en-US"/>
        </w:rPr>
        <w:t>D</w:t>
      </w:r>
      <w:r>
        <w:t>) приводится при изложении текста рекомендаций.</w:t>
      </w:r>
    </w:p>
    <w:p w:rsidR="00612E35" w:rsidRDefault="00612E35">
      <w:pPr>
        <w:pStyle w:val="a3"/>
        <w:spacing w:line="360" w:lineRule="auto"/>
        <w:ind w:left="357"/>
      </w:pPr>
    </w:p>
    <w:p w:rsidR="00612E35" w:rsidRDefault="00612E35">
      <w:pPr>
        <w:pStyle w:val="a3"/>
        <w:spacing w:line="360" w:lineRule="auto"/>
        <w:ind w:left="357"/>
      </w:pPr>
    </w:p>
    <w:p w:rsidR="00612E35" w:rsidRDefault="00612E35">
      <w:pPr>
        <w:pStyle w:val="a3"/>
        <w:spacing w:line="360" w:lineRule="auto"/>
        <w:ind w:left="357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  <w:bCs/>
          <w:caps/>
          <w:szCs w:val="36"/>
        </w:rPr>
        <w:t>Определение и классификация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  <w:bCs/>
          <w:szCs w:val="36"/>
        </w:rPr>
        <w:lastRenderedPageBreak/>
        <w:t xml:space="preserve">Идиопатическая задержка роста </w:t>
      </w:r>
      <w:r>
        <w:t xml:space="preserve">[код по МКБ Е34.3] </w:t>
      </w:r>
      <w:r>
        <w:rPr>
          <w:b/>
          <w:bCs/>
          <w:szCs w:val="36"/>
        </w:rPr>
        <w:t xml:space="preserve"> – это низкорослость с ростом </w:t>
      </w:r>
      <w:r>
        <w:rPr>
          <w:b/>
          <w:bCs/>
          <w:szCs w:val="36"/>
        </w:rPr>
        <w:t>ниже 3-й перцентили для пола и возраста (</w:t>
      </w:r>
      <w:r>
        <w:rPr>
          <w:b/>
          <w:bCs/>
          <w:szCs w:val="36"/>
          <w:lang w:val="en-US"/>
        </w:rPr>
        <w:t>SDS</w:t>
      </w:r>
      <w:r>
        <w:rPr>
          <w:b/>
          <w:bCs/>
          <w:szCs w:val="36"/>
        </w:rPr>
        <w:t xml:space="preserve"> роста менее -2), при которой исключены известные причины.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  <w:bCs/>
          <w:szCs w:val="36"/>
        </w:rPr>
        <w:t>Критерии идиопатической низкорослости</w:t>
      </w:r>
    </w:p>
    <w:p w:rsidR="00612E35" w:rsidRDefault="00F913EE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Cs w:val="36"/>
        </w:rPr>
        <w:t>Нормальные длина и вес при рождении</w:t>
      </w:r>
    </w:p>
    <w:p w:rsidR="00612E35" w:rsidRDefault="00F913EE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Cs w:val="36"/>
        </w:rPr>
        <w:t>Отсутствие диспропорционального телосложения</w:t>
      </w:r>
    </w:p>
    <w:p w:rsidR="00612E35" w:rsidRDefault="00F913EE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Cs w:val="36"/>
        </w:rPr>
        <w:t>Отсутствие хронических системных з</w:t>
      </w:r>
      <w:r>
        <w:rPr>
          <w:szCs w:val="36"/>
        </w:rPr>
        <w:t>аболеваний (со стороны сердца, почек и др.)</w:t>
      </w:r>
    </w:p>
    <w:p w:rsidR="00612E35" w:rsidRDefault="00F913EE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szCs w:val="36"/>
        </w:rPr>
        <w:t>Отсутствие психоэмоциональных (стрессорных) факторов</w:t>
      </w:r>
    </w:p>
    <w:p w:rsidR="00612E35" w:rsidRDefault="00F913EE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szCs w:val="36"/>
        </w:rPr>
        <w:t>Отсутствие алиментарных факторов</w:t>
      </w:r>
    </w:p>
    <w:p w:rsidR="00612E35" w:rsidRDefault="00F913EE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szCs w:val="36"/>
        </w:rPr>
        <w:t>Отсутствие других эндокринопатий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>К настоящему времени в мире накоплено много данных об эффективности и безопасности лечения гормоном роста детей с идиопатической низкорослостью. В 2008 был опубликован международный консенсус по диагностике и тактике ведения идиопатической низкорослости, с</w:t>
      </w:r>
      <w:r>
        <w:rPr>
          <w:szCs w:val="36"/>
        </w:rPr>
        <w:t xml:space="preserve">озданный в результате совместной работы трех научных обществ: Общества по изучению гормона роста, Общества педиатров-эндокринологов им. Лоусона Вилкинса (США) и Европейского общества педиатров-эндокринологов </w:t>
      </w:r>
      <w:r>
        <w:rPr>
          <w:color w:val="FF0000"/>
          <w:szCs w:val="36"/>
        </w:rPr>
        <w:t xml:space="preserve"> </w:t>
      </w:r>
      <w:r>
        <w:t>(В).</w:t>
      </w: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>По современной классификации</w:t>
      </w:r>
      <w:r>
        <w:t>, принятой Ев</w:t>
      </w:r>
      <w:r>
        <w:t>ропейским Обществом педиатров-Эндокринологов (ESPE) в 2007 году и одобренной к применению  Международным консенсусом 2008 года, выделяют две формы идиопатической низкорослости - семейную и несемейную  (С).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После 13-14 лет обе формы подразделяют на низкорос</w:t>
      </w:r>
      <w:r>
        <w:t xml:space="preserve">лость с задержкой пубертата и без нее. Задержка пубертата ставится: у девочек в 13 лет - при отсутствии увеличения молочных желез; у мальчиков в 14 лет – при объеме яичек меньше 4 мл. Несемейную низкорослость с задержкой пубертата также называют </w:t>
      </w:r>
      <w:r>
        <w:rPr>
          <w:b/>
        </w:rPr>
        <w:t>конституци</w:t>
      </w:r>
      <w:r>
        <w:rPr>
          <w:b/>
        </w:rPr>
        <w:t>ональной задержкой роста и пубертата.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Таким образом, </w:t>
      </w:r>
      <w:r>
        <w:rPr>
          <w:b/>
        </w:rPr>
        <w:t>идиопатическая низкорослость</w:t>
      </w:r>
      <w:r>
        <w:t xml:space="preserve"> делится на:</w:t>
      </w:r>
    </w:p>
    <w:p w:rsidR="00612E35" w:rsidRDefault="00F913EE">
      <w:pPr>
        <w:pStyle w:val="a3"/>
        <w:spacing w:line="360" w:lineRule="auto"/>
      </w:pPr>
      <w:r>
        <w:rPr>
          <w:b/>
        </w:rPr>
        <w:lastRenderedPageBreak/>
        <w:t>а) Семейная низкорослость</w:t>
      </w:r>
    </w:p>
    <w:p w:rsidR="00612E35" w:rsidRDefault="00F913EE">
      <w:pPr>
        <w:pStyle w:val="a3"/>
        <w:spacing w:line="360" w:lineRule="auto"/>
      </w:pPr>
      <w:r>
        <w:t>- с задержкой пубертата</w:t>
      </w:r>
    </w:p>
    <w:p w:rsidR="00612E35" w:rsidRDefault="00F913EE">
      <w:pPr>
        <w:pStyle w:val="a3"/>
        <w:spacing w:line="360" w:lineRule="auto"/>
      </w:pPr>
      <w:r>
        <w:t>- без задержки пубертата</w:t>
      </w:r>
    </w:p>
    <w:p w:rsidR="00612E35" w:rsidRDefault="00F913EE">
      <w:pPr>
        <w:pStyle w:val="a3"/>
        <w:spacing w:line="360" w:lineRule="auto"/>
      </w:pPr>
      <w:r>
        <w:rPr>
          <w:b/>
        </w:rPr>
        <w:t>б) Несемейная низкорослость</w:t>
      </w:r>
    </w:p>
    <w:p w:rsidR="00612E35" w:rsidRDefault="00F913EE">
      <w:pPr>
        <w:pStyle w:val="a3"/>
        <w:spacing w:line="360" w:lineRule="auto"/>
      </w:pPr>
      <w:r>
        <w:t xml:space="preserve">- с задержкой пубертата (конституциональная задержка роста </w:t>
      </w:r>
      <w:r>
        <w:t>и пубертата)</w:t>
      </w:r>
    </w:p>
    <w:p w:rsidR="00612E35" w:rsidRDefault="00F913EE">
      <w:pPr>
        <w:pStyle w:val="a3"/>
        <w:spacing w:line="360" w:lineRule="auto"/>
      </w:pPr>
      <w:r>
        <w:t>- без задержки пубертата.</w:t>
      </w:r>
    </w:p>
    <w:p w:rsidR="00612E35" w:rsidRDefault="00F913EE">
      <w:pPr>
        <w:pStyle w:val="a3"/>
        <w:spacing w:line="360" w:lineRule="auto"/>
        <w:ind w:firstLine="709"/>
      </w:pPr>
      <w:r>
        <w:t xml:space="preserve">В качестве отличительного критерия используют рост родителей. Для этого рассчитывается целевой (генетический) рост по формуле </w:t>
      </w:r>
      <w:r>
        <w:rPr>
          <w:lang w:val="en-US"/>
        </w:rPr>
        <w:t>Tanner</w:t>
      </w:r>
      <w:r>
        <w:t>:</w:t>
      </w:r>
    </w:p>
    <w:p w:rsidR="00612E35" w:rsidRDefault="00F913EE">
      <w:pPr>
        <w:pStyle w:val="a3"/>
        <w:spacing w:line="360" w:lineRule="auto"/>
      </w:pPr>
      <w:r>
        <w:rPr>
          <w:b/>
          <w:u w:val="single"/>
        </w:rPr>
        <w:t>Рост отца + рост матери ± 13 см</w:t>
      </w:r>
    </w:p>
    <w:p w:rsidR="00612E35" w:rsidRDefault="00F913EE">
      <w:pPr>
        <w:pStyle w:val="a3"/>
        <w:spacing w:line="360" w:lineRule="auto"/>
      </w:pPr>
      <w:r>
        <w:rPr>
          <w:b/>
        </w:rPr>
        <w:t xml:space="preserve">                  2</w:t>
      </w:r>
    </w:p>
    <w:p w:rsidR="00612E35" w:rsidRDefault="00F913EE">
      <w:pPr>
        <w:pStyle w:val="a3"/>
        <w:spacing w:line="360" w:lineRule="auto"/>
        <w:ind w:firstLine="709"/>
      </w:pPr>
      <w:r>
        <w:t>Границы целевого роста ± 10 см.</w:t>
      </w:r>
    </w:p>
    <w:p w:rsidR="00612E35" w:rsidRDefault="00F913EE">
      <w:pPr>
        <w:pStyle w:val="a3"/>
        <w:spacing w:line="360" w:lineRule="auto"/>
        <w:ind w:firstLine="709"/>
      </w:pPr>
      <w:r>
        <w:t xml:space="preserve">При семейной форме ребенок низкорослый по сравнению с общей популяцией, но в то же время остается в пределах целевого роста для семьи. При несемейной форме ребенок низкорослый как для общей популяции, так и для своей семьи. </w:t>
      </w:r>
    </w:p>
    <w:p w:rsidR="00612E35" w:rsidRDefault="00F913EE">
      <w:pPr>
        <w:pStyle w:val="a3"/>
        <w:spacing w:line="360" w:lineRule="auto"/>
        <w:ind w:firstLine="709"/>
      </w:pPr>
      <w:r>
        <w:t>Семейную низкорослость можно п</w:t>
      </w:r>
      <w:r>
        <w:t xml:space="preserve">оставить даже при соответствии роста ребенка целевому росту, при наличии других низкорослых родственников (один родитель, бабушки, дедушки). Низкорослыми в данном случае считаются мужчины менее 165см, женщины менее 154 см. </w:t>
      </w:r>
    </w:p>
    <w:p w:rsidR="00612E35" w:rsidRDefault="00612E35">
      <w:pPr>
        <w:pStyle w:val="a3"/>
        <w:spacing w:line="360" w:lineRule="auto"/>
      </w:pPr>
    </w:p>
    <w:p w:rsidR="00612E35" w:rsidRDefault="00F913EE">
      <w:pPr>
        <w:pStyle w:val="a3"/>
        <w:spacing w:line="360" w:lineRule="auto"/>
      </w:pPr>
      <w:r>
        <w:rPr>
          <w:b/>
          <w:caps/>
          <w:szCs w:val="36"/>
        </w:rPr>
        <w:t>Диагностика идиопатической низк</w:t>
      </w:r>
      <w:r>
        <w:rPr>
          <w:b/>
          <w:caps/>
          <w:szCs w:val="36"/>
        </w:rPr>
        <w:t>орослости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Идиопатическая низкорослость – диагноз исключения. После установления какого-либо конкретного диагноза, диагноз ”идиопатическая низкорослость” более не применяется.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  <w:szCs w:val="36"/>
        </w:rPr>
        <w:t>Анамнез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>Оценка любого ребенка с низким ростом всегда должна начинаться с тщательн</w:t>
      </w:r>
      <w:r>
        <w:rPr>
          <w:szCs w:val="36"/>
        </w:rPr>
        <w:t>ого сбора анамнеза (анамнез жизни, семейный анамнез, анамнез заболевания).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lastRenderedPageBreak/>
        <w:t xml:space="preserve"> При сборе анамнеза необходимо уточнение наличия  </w:t>
      </w:r>
      <w:r>
        <w:rPr>
          <w:b/>
          <w:szCs w:val="36"/>
        </w:rPr>
        <w:t>внутриутробной задержку роста, хронические системные заболевания  и пороки развития</w:t>
      </w:r>
      <w:r>
        <w:rPr>
          <w:szCs w:val="36"/>
        </w:rPr>
        <w:t xml:space="preserve"> органов дыхания, сердечно-сосудистой системы, к</w:t>
      </w:r>
      <w:r>
        <w:rPr>
          <w:szCs w:val="36"/>
        </w:rPr>
        <w:t>рови, печени, почек, ЖКТ, которые могут быть причинами низкорослости</w:t>
      </w:r>
      <w:r>
        <w:rPr>
          <w:b/>
          <w:szCs w:val="36"/>
        </w:rPr>
        <w:t>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 xml:space="preserve">Семейный анамнез необходим для классификации. Обязательно строится родословное древо, указывается национальность, наличие близкородственного брака. Рост родителей необходим для вычисления целевого роста.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 xml:space="preserve">Кроме того, оценивается их пропорциональность (для </w:t>
      </w:r>
      <w:r>
        <w:rPr>
          <w:szCs w:val="36"/>
        </w:rPr>
        <w:t xml:space="preserve">исключения костных дисплазий), а также ищется похожий фенотип (например, характерные черты лица при </w:t>
      </w:r>
      <w:r>
        <w:rPr>
          <w:b/>
          <w:szCs w:val="36"/>
        </w:rPr>
        <w:t>синдроме Нунан</w:t>
      </w:r>
      <w:r>
        <w:rPr>
          <w:szCs w:val="36"/>
        </w:rPr>
        <w:t xml:space="preserve">). Для этого может потребоваться изучение семейных фотографий. 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 xml:space="preserve">Помимо этого, выясняется время начала пубертата и динамика роста у родителей </w:t>
      </w:r>
      <w:r>
        <w:rPr>
          <w:szCs w:val="36"/>
        </w:rPr>
        <w:t xml:space="preserve">и родственников (менархе у женщин, появление оволосения, ростовой скачок, пролонгированный рост у мужчин).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 xml:space="preserve">Часто при </w:t>
      </w:r>
      <w:r>
        <w:rPr>
          <w:b/>
          <w:szCs w:val="36"/>
        </w:rPr>
        <w:t>конституциональной задержке роста</w:t>
      </w:r>
      <w:r>
        <w:rPr>
          <w:szCs w:val="36"/>
        </w:rPr>
        <w:t xml:space="preserve"> у родителей (как, правило, у мужчин) наблюдается аналогичный вариант развития: низкий рост с 2 лет чуть </w:t>
      </w:r>
      <w:r>
        <w:rPr>
          <w:szCs w:val="36"/>
        </w:rPr>
        <w:t>ниже 3-й перцентили на протяжении всего детства, позднее (на 2-4 года) начало пубертата и поздний ростовой скачок с достижением нормального конечного роста.</w:t>
      </w:r>
    </w:p>
    <w:p w:rsidR="00612E35" w:rsidRDefault="00F913EE">
      <w:pPr>
        <w:pStyle w:val="a3"/>
        <w:spacing w:line="360" w:lineRule="auto"/>
        <w:ind w:firstLine="709"/>
      </w:pPr>
      <w:r>
        <w:rPr>
          <w:b/>
          <w:szCs w:val="36"/>
        </w:rPr>
        <w:t>Антропометрия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>Важным моментом в процессе диагностики является сравнение роста ребенка с возрастными</w:t>
      </w:r>
      <w:r>
        <w:rPr>
          <w:szCs w:val="36"/>
        </w:rPr>
        <w:t xml:space="preserve"> нормами с вычислением антропометрических параметров (SDS роста, скорость роста, SDS скорости роста) и обязательным построением кривых роста. Применение перцентильных кривых необходимо не только при диагностике, но особенно важно в процессе наблюдения (для</w:t>
      </w:r>
      <w:r>
        <w:rPr>
          <w:szCs w:val="36"/>
        </w:rPr>
        <w:t xml:space="preserve"> выбора тактики ведения) и лечения (оценки эффективности терапии) таких детей. Перцентильные нормативы роста и веса в зависимости от пола и возраста представлены на рис 1-4.</w:t>
      </w:r>
    </w:p>
    <w:p w:rsidR="00612E35" w:rsidRDefault="00F913EE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</w:pPr>
      <w:r>
        <w:rPr>
          <w:sz w:val="22"/>
          <w:szCs w:val="22"/>
          <w:lang w:val="en-GB"/>
        </w:rPr>
        <w:t>SDS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GB"/>
        </w:rPr>
        <w:t>Standard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>Deviation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>Score</w:t>
      </w:r>
      <w:r>
        <w:rPr>
          <w:sz w:val="22"/>
          <w:szCs w:val="22"/>
        </w:rPr>
        <w:t>) - коэффициент стандартного отклонения - интегральны</w:t>
      </w:r>
      <w:r>
        <w:rPr>
          <w:sz w:val="22"/>
          <w:szCs w:val="22"/>
        </w:rPr>
        <w:t xml:space="preserve">й показатель, применяемый для оценки соответствия индивидуального роста ребенка референсным для соответствующего возраста и пола данным. </w:t>
      </w:r>
      <w:r>
        <w:rPr>
          <w:sz w:val="22"/>
          <w:szCs w:val="22"/>
          <w:lang w:val="en-US"/>
        </w:rPr>
        <w:t>SDS</w:t>
      </w:r>
      <w:r>
        <w:rPr>
          <w:sz w:val="22"/>
          <w:szCs w:val="22"/>
        </w:rPr>
        <w:t xml:space="preserve"> показывает, сколько стандартных (сигмальных) отклонений составляет разница между средним арифметическим и измеренны</w:t>
      </w:r>
      <w:r>
        <w:rPr>
          <w:sz w:val="22"/>
          <w:szCs w:val="22"/>
        </w:rPr>
        <w:t>м значением.</w:t>
      </w:r>
    </w:p>
    <w:p w:rsidR="00612E35" w:rsidRDefault="00612E35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</w:pPr>
    </w:p>
    <w:p w:rsidR="00612E35" w:rsidRDefault="00F913EE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</w:pPr>
      <w:r>
        <w:rPr>
          <w:sz w:val="22"/>
          <w:szCs w:val="22"/>
        </w:rPr>
        <w:lastRenderedPageBreak/>
        <w:t xml:space="preserve">Расчет </w:t>
      </w:r>
      <w:r>
        <w:rPr>
          <w:sz w:val="22"/>
          <w:szCs w:val="22"/>
          <w:lang w:val="en-US"/>
        </w:rPr>
        <w:t>SDS</w:t>
      </w:r>
      <w:r>
        <w:rPr>
          <w:sz w:val="22"/>
          <w:szCs w:val="22"/>
        </w:rPr>
        <w:t xml:space="preserve"> производится по формуле:</w:t>
      </w:r>
    </w:p>
    <w:p w:rsidR="00612E35" w:rsidRDefault="00612E35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</w:pPr>
    </w:p>
    <w:p w:rsidR="00612E35" w:rsidRDefault="00F913EE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</w:pPr>
      <w:r>
        <w:rPr>
          <w:b/>
          <w:sz w:val="22"/>
          <w:szCs w:val="22"/>
          <w:lang w:val="en-US"/>
        </w:rPr>
        <w:t>SDS</w:t>
      </w:r>
      <w:r>
        <w:rPr>
          <w:b/>
          <w:sz w:val="22"/>
          <w:szCs w:val="22"/>
        </w:rPr>
        <w:t>роста = (х – Х)/</w:t>
      </w:r>
      <w:r>
        <w:rPr>
          <w:b/>
          <w:sz w:val="22"/>
          <w:szCs w:val="22"/>
          <w:lang w:val="en-US"/>
        </w:rPr>
        <w:t>SD</w:t>
      </w:r>
      <w:r>
        <w:rPr>
          <w:sz w:val="22"/>
          <w:szCs w:val="22"/>
        </w:rPr>
        <w:t>,</w:t>
      </w:r>
    </w:p>
    <w:p w:rsidR="00612E35" w:rsidRDefault="00612E35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</w:pPr>
    </w:p>
    <w:p w:rsidR="00612E35" w:rsidRDefault="00F913EE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sz w:val="22"/>
          <w:szCs w:val="22"/>
        </w:rPr>
        <w:t xml:space="preserve"> где х – рост ребенка, Х – средний рост для данного хронологического возраста и пола, </w:t>
      </w:r>
      <w:r>
        <w:rPr>
          <w:sz w:val="22"/>
          <w:szCs w:val="22"/>
          <w:lang w:val="en-US"/>
        </w:rPr>
        <w:t>SD</w:t>
      </w:r>
      <w:r>
        <w:rPr>
          <w:sz w:val="22"/>
          <w:szCs w:val="22"/>
        </w:rPr>
        <w:t xml:space="preserve"> – стандартное отклонение роста для данного хронологического возраста и пола</w:t>
      </w:r>
    </w:p>
    <w:p w:rsidR="00612E35" w:rsidRDefault="00612E35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612E35" w:rsidRDefault="00F913EE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</w:pPr>
      <w:r>
        <w:rPr>
          <w:sz w:val="22"/>
          <w:szCs w:val="22"/>
          <w:lang w:val="en-US"/>
        </w:rPr>
        <w:t>SDS</w:t>
      </w:r>
      <w:r>
        <w:rPr>
          <w:sz w:val="22"/>
          <w:szCs w:val="22"/>
        </w:rPr>
        <w:t xml:space="preserve"> = -2  соотв</w:t>
      </w:r>
      <w:r>
        <w:rPr>
          <w:sz w:val="22"/>
          <w:szCs w:val="22"/>
        </w:rPr>
        <w:t>етствует 3-ей перцентили,</w:t>
      </w:r>
    </w:p>
    <w:p w:rsidR="00612E35" w:rsidRDefault="00F913EE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</w:pPr>
      <w:r>
        <w:rPr>
          <w:sz w:val="22"/>
          <w:szCs w:val="22"/>
          <w:lang w:val="en-US"/>
        </w:rPr>
        <w:t>SDS</w:t>
      </w:r>
      <w:r>
        <w:rPr>
          <w:sz w:val="22"/>
          <w:szCs w:val="22"/>
        </w:rPr>
        <w:t xml:space="preserve"> =  0  соответствует 50-ой перцентили,</w:t>
      </w:r>
    </w:p>
    <w:p w:rsidR="00612E35" w:rsidRDefault="00F913EE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firstLine="709"/>
        <w:jc w:val="both"/>
      </w:pPr>
      <w:r>
        <w:rPr>
          <w:sz w:val="22"/>
          <w:szCs w:val="22"/>
          <w:lang w:val="en-US"/>
        </w:rPr>
        <w:t>SDS</w:t>
      </w:r>
      <w:r>
        <w:rPr>
          <w:sz w:val="22"/>
          <w:szCs w:val="22"/>
        </w:rPr>
        <w:t xml:space="preserve"> = +2  соответствует 97-ей перцентили</w:t>
      </w:r>
    </w:p>
    <w:p w:rsidR="00612E35" w:rsidRDefault="00F913EE">
      <w:pPr>
        <w:pStyle w:val="a3"/>
        <w:pBdr>
          <w:top w:val="single" w:sz="4" w:space="0" w:color="00000A"/>
          <w:bottom w:val="single" w:sz="4" w:space="0" w:color="00000A"/>
        </w:pBdr>
        <w:ind w:firstLine="709"/>
        <w:jc w:val="both"/>
      </w:pPr>
      <w:r>
        <w:t>Для оценки генетического компонента рассчитывается «целевой» рост (ЦР):</w:t>
      </w:r>
    </w:p>
    <w:p w:rsidR="00612E35" w:rsidRDefault="00612E35">
      <w:pPr>
        <w:pStyle w:val="a3"/>
        <w:pBdr>
          <w:top w:val="single" w:sz="4" w:space="0" w:color="00000A"/>
          <w:bottom w:val="single" w:sz="4" w:space="0" w:color="00000A"/>
        </w:pBdr>
        <w:ind w:firstLine="708"/>
        <w:jc w:val="both"/>
      </w:pPr>
    </w:p>
    <w:p w:rsidR="00612E35" w:rsidRDefault="00F913EE">
      <w:pPr>
        <w:pStyle w:val="a3"/>
        <w:pBdr>
          <w:top w:val="single" w:sz="4" w:space="0" w:color="00000A"/>
          <w:bottom w:val="single" w:sz="4" w:space="0" w:color="00000A"/>
        </w:pBdr>
        <w:ind w:firstLine="708"/>
        <w:jc w:val="center"/>
      </w:pPr>
      <w:r>
        <w:t xml:space="preserve">ЦР </w:t>
      </w:r>
      <w:r>
        <w:rPr>
          <w:bCs/>
          <w:color w:val="000000"/>
          <w:vertAlign w:val="subscript"/>
        </w:rPr>
        <w:t>для мальчиков</w:t>
      </w:r>
      <w:r>
        <w:t xml:space="preserve"> =   </w:t>
      </w:r>
      <w:r>
        <w:rPr>
          <w:u w:val="single"/>
        </w:rPr>
        <w:t>рост отца + рост матери + 13см</w:t>
      </w:r>
      <w:r>
        <w:t xml:space="preserve">       ± 7см</w:t>
      </w:r>
    </w:p>
    <w:p w:rsidR="00612E35" w:rsidRDefault="00612E35">
      <w:pPr>
        <w:pStyle w:val="a3"/>
        <w:pBdr>
          <w:top w:val="single" w:sz="4" w:space="0" w:color="00000A"/>
          <w:bottom w:val="single" w:sz="4" w:space="0" w:color="00000A"/>
        </w:pBdr>
        <w:ind w:firstLine="708"/>
        <w:jc w:val="center"/>
      </w:pPr>
    </w:p>
    <w:p w:rsidR="00612E35" w:rsidRDefault="00F913EE">
      <w:pPr>
        <w:pStyle w:val="a3"/>
        <w:pBdr>
          <w:top w:val="single" w:sz="4" w:space="0" w:color="00000A"/>
          <w:bottom w:val="single" w:sz="4" w:space="0" w:color="00000A"/>
        </w:pBdr>
        <w:ind w:firstLine="708"/>
        <w:jc w:val="center"/>
      </w:pPr>
      <w:r>
        <w:t>2</w:t>
      </w:r>
    </w:p>
    <w:p w:rsidR="00612E35" w:rsidRDefault="00612E35">
      <w:pPr>
        <w:pStyle w:val="a3"/>
        <w:pBdr>
          <w:top w:val="single" w:sz="4" w:space="0" w:color="00000A"/>
          <w:bottom w:val="single" w:sz="4" w:space="0" w:color="00000A"/>
        </w:pBdr>
        <w:ind w:firstLine="708"/>
        <w:jc w:val="center"/>
      </w:pPr>
    </w:p>
    <w:p w:rsidR="00612E35" w:rsidRDefault="00F913EE">
      <w:pPr>
        <w:pStyle w:val="a3"/>
        <w:pBdr>
          <w:top w:val="single" w:sz="4" w:space="0" w:color="00000A"/>
          <w:bottom w:val="single" w:sz="4" w:space="0" w:color="00000A"/>
        </w:pBdr>
        <w:ind w:firstLine="708"/>
        <w:jc w:val="center"/>
      </w:pPr>
      <w:r>
        <w:t xml:space="preserve">ЦР  </w:t>
      </w:r>
      <w:r>
        <w:rPr>
          <w:bCs/>
          <w:color w:val="000000"/>
          <w:vertAlign w:val="subscript"/>
        </w:rPr>
        <w:t>для девочек</w:t>
      </w:r>
      <w:r>
        <w:t xml:space="preserve">   =   </w:t>
      </w:r>
      <w:r>
        <w:rPr>
          <w:u w:val="single"/>
        </w:rPr>
        <w:t>рост отца + рост матери -  13см</w:t>
      </w:r>
      <w:r>
        <w:t xml:space="preserve">        ± 7см</w:t>
      </w:r>
    </w:p>
    <w:p w:rsidR="00612E35" w:rsidRDefault="00612E35">
      <w:pPr>
        <w:pStyle w:val="a3"/>
        <w:pBdr>
          <w:top w:val="single" w:sz="4" w:space="0" w:color="00000A"/>
          <w:bottom w:val="single" w:sz="4" w:space="0" w:color="00000A"/>
        </w:pBdr>
        <w:ind w:firstLine="708"/>
        <w:jc w:val="center"/>
      </w:pPr>
    </w:p>
    <w:p w:rsidR="00612E35" w:rsidRDefault="00F913EE">
      <w:pPr>
        <w:pStyle w:val="a3"/>
        <w:pBdr>
          <w:top w:val="single" w:sz="4" w:space="0" w:color="00000A"/>
          <w:bottom w:val="single" w:sz="4" w:space="0" w:color="00000A"/>
        </w:pBdr>
        <w:ind w:firstLine="708"/>
      </w:pPr>
      <w:r>
        <w:t xml:space="preserve">Для оценки показателей роста в раннем детстве разработаны специальные весо-ростовые перцентильные таблицы (рис.1-4). </w:t>
      </w:r>
    </w:p>
    <w:p w:rsidR="00612E35" w:rsidRDefault="00F913EE">
      <w:pPr>
        <w:pStyle w:val="a3"/>
        <w:ind w:firstLine="708"/>
        <w:jc w:val="both"/>
      </w:pPr>
      <w:r>
        <w:rPr>
          <w:b/>
        </w:rPr>
        <w:t>Скорость роста</w:t>
      </w:r>
    </w:p>
    <w:p w:rsidR="00612E35" w:rsidRDefault="00612E35">
      <w:pPr>
        <w:pStyle w:val="a3"/>
        <w:ind w:firstLine="708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t>Анализ скорости роста позволяет выявить отклонение от крив</w:t>
      </w:r>
      <w:r>
        <w:t xml:space="preserve">ой роста в ранние сроки. Для оценки скорости роста необходимо располагать данными как минимум двух точных измерений. Для минимизации погрешностей расчетов предпочтительнее, чтобы интервал между измерениями был не менее 6 месяцев. </w:t>
      </w:r>
    </w:p>
    <w:p w:rsidR="00612E35" w:rsidRDefault="00F913EE">
      <w:pPr>
        <w:pStyle w:val="a3"/>
        <w:pBdr>
          <w:top w:val="single" w:sz="4" w:space="0" w:color="00000A"/>
          <w:bottom w:val="single" w:sz="4" w:space="0" w:color="00000A"/>
        </w:pBdr>
        <w:spacing w:line="360" w:lineRule="auto"/>
        <w:ind w:firstLine="709"/>
        <w:jc w:val="both"/>
      </w:pPr>
      <w:r>
        <w:t xml:space="preserve">Скорость роста </w:t>
      </w:r>
      <w:r>
        <w:t>рассчитывается по формуле:</w:t>
      </w:r>
    </w:p>
    <w:p w:rsidR="00612E35" w:rsidRDefault="00F913EE">
      <w:pPr>
        <w:pStyle w:val="a3"/>
        <w:pBdr>
          <w:top w:val="single" w:sz="4" w:space="0" w:color="00000A"/>
          <w:bottom w:val="single" w:sz="4" w:space="0" w:color="00000A"/>
        </w:pBdr>
        <w:spacing w:line="360" w:lineRule="auto"/>
        <w:jc w:val="center"/>
      </w:pPr>
      <w:r>
        <w:rPr>
          <w:sz w:val="20"/>
          <w:szCs w:val="20"/>
        </w:rPr>
        <w:t>Скорость роста (см/год) = (рост 2 – рост 1)/хронологический возраст 2 – хронологический возраст 1</w:t>
      </w:r>
    </w:p>
    <w:p w:rsidR="00612E35" w:rsidRDefault="00612E35">
      <w:pPr>
        <w:pStyle w:val="a3"/>
        <w:pBdr>
          <w:top w:val="single" w:sz="4" w:space="0" w:color="00000A"/>
          <w:bottom w:val="single" w:sz="4" w:space="0" w:color="00000A"/>
        </w:pBdr>
        <w:spacing w:line="360" w:lineRule="auto"/>
        <w:ind w:firstLine="709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При нормальном или незначительно сниженном росте, скорость роста является ключевым показателем патологического процесса.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>В соврем</w:t>
      </w:r>
      <w:r>
        <w:rPr>
          <w:szCs w:val="36"/>
        </w:rPr>
        <w:t xml:space="preserve">енной практике все основные показатели, применяемые детскими эндокринологами (хронологический возраст, </w:t>
      </w:r>
      <w:r>
        <w:rPr>
          <w:szCs w:val="36"/>
          <w:lang w:val="en-US"/>
        </w:rPr>
        <w:t>SDS</w:t>
      </w:r>
      <w:r>
        <w:rPr>
          <w:szCs w:val="36"/>
        </w:rPr>
        <w:t xml:space="preserve"> роста, </w:t>
      </w:r>
      <w:r>
        <w:rPr>
          <w:szCs w:val="36"/>
          <w:lang w:val="en-US"/>
        </w:rPr>
        <w:t>SDS</w:t>
      </w:r>
      <w:r>
        <w:rPr>
          <w:szCs w:val="36"/>
        </w:rPr>
        <w:t xml:space="preserve"> скорости роста и многие другие) рассчитываются с помощью специальных электронных программ (</w:t>
      </w:r>
      <w:r>
        <w:rPr>
          <w:szCs w:val="36"/>
          <w:lang w:val="en-US"/>
        </w:rPr>
        <w:t>Auxology</w:t>
      </w:r>
      <w:r>
        <w:rPr>
          <w:szCs w:val="36"/>
        </w:rPr>
        <w:t xml:space="preserve">, </w:t>
      </w:r>
      <w:r>
        <w:rPr>
          <w:szCs w:val="36"/>
          <w:lang w:val="en-US"/>
        </w:rPr>
        <w:t>Growthanalyser</w:t>
      </w:r>
      <w:r>
        <w:rPr>
          <w:szCs w:val="36"/>
        </w:rPr>
        <w:t>).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Скорость роста и </w:t>
      </w:r>
      <w:r>
        <w:rPr>
          <w:lang w:val="en-US"/>
        </w:rPr>
        <w:t>SDS</w:t>
      </w:r>
      <w:r>
        <w:t xml:space="preserve"> скорости роста наиболее информативны у детей допубертатного возраста. У детей старше 10-11 лет оценка данных показателей может быть сопряжена </w:t>
      </w:r>
      <w:r>
        <w:rPr>
          <w:lang w:val="en-US"/>
        </w:rPr>
        <w:t>co</w:t>
      </w:r>
      <w:r>
        <w:t xml:space="preserve"> значительными погрешностями в связи с быстрой динамикой скорости роста в этом возрасте и различными сроками вс</w:t>
      </w:r>
      <w:r>
        <w:t>тупления в пубертат.</w:t>
      </w:r>
    </w:p>
    <w:p w:rsidR="00612E35" w:rsidRDefault="00612E35">
      <w:pPr>
        <w:pStyle w:val="a3"/>
        <w:ind w:firstLine="720"/>
        <w:jc w:val="both"/>
      </w:pPr>
    </w:p>
    <w:p w:rsidR="00612E35" w:rsidRDefault="00F913EE">
      <w:pPr>
        <w:pStyle w:val="a3"/>
        <w:ind w:firstLine="720"/>
        <w:jc w:val="both"/>
      </w:pPr>
      <w:r>
        <w:rPr>
          <w:b/>
        </w:rPr>
        <w:t>Пропорциональность телосложения</w:t>
      </w:r>
    </w:p>
    <w:p w:rsidR="00612E35" w:rsidRDefault="00612E35">
      <w:pPr>
        <w:pStyle w:val="a3"/>
        <w:ind w:firstLine="708"/>
        <w:jc w:val="both"/>
      </w:pPr>
    </w:p>
    <w:p w:rsidR="00612E35" w:rsidRDefault="00F913EE">
      <w:pPr>
        <w:pStyle w:val="a3"/>
        <w:spacing w:line="360" w:lineRule="auto"/>
        <w:ind w:firstLine="708"/>
        <w:jc w:val="both"/>
      </w:pPr>
      <w:r>
        <w:t>Оценка пропорциональности телосложения проводится для дифференциальной диагностики с различными формами скелетных дисплазий. С целью выявления стертых, трудно диагностируемых форм, помимо анамнестическ</w:t>
      </w:r>
      <w:r>
        <w:t xml:space="preserve">их и клинических данных требуется проведение рентгенологической диагностики, измерение соотношения «верхний сегмент/нижний сегмент» (табл. 1), окружности головы, размаха рук (при пропорциональном телосложении размах рук равен росту). </w:t>
      </w:r>
    </w:p>
    <w:p w:rsidR="00612E35" w:rsidRDefault="00F913EE">
      <w:pPr>
        <w:pStyle w:val="a3"/>
        <w:ind w:firstLine="708"/>
        <w:jc w:val="right"/>
      </w:pPr>
      <w:r>
        <w:t xml:space="preserve">Таблица </w:t>
      </w:r>
      <w:r w:rsidRPr="00F86A18">
        <w:t>1</w:t>
      </w:r>
      <w:r>
        <w:t>.</w:t>
      </w:r>
    </w:p>
    <w:p w:rsidR="00612E35" w:rsidRDefault="00612E35">
      <w:pPr>
        <w:pStyle w:val="a3"/>
        <w:ind w:firstLine="708"/>
        <w:jc w:val="right"/>
      </w:pPr>
    </w:p>
    <w:p w:rsidR="00612E35" w:rsidRDefault="00612E35">
      <w:pPr>
        <w:pStyle w:val="a3"/>
        <w:ind w:firstLine="708"/>
        <w:jc w:val="right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F913EE">
      <w:pPr>
        <w:pStyle w:val="a3"/>
        <w:ind w:firstLine="708"/>
        <w:jc w:val="center"/>
      </w:pPr>
      <w:r>
        <w:t xml:space="preserve">Рисунок 1. </w:t>
      </w:r>
      <w:r>
        <w:rPr>
          <w:b/>
        </w:rPr>
        <w:t xml:space="preserve">Весо-ростовые перцентильные таблицы для мальчиков </w:t>
      </w:r>
    </w:p>
    <w:p w:rsidR="00612E35" w:rsidRDefault="00F913EE">
      <w:pPr>
        <w:pStyle w:val="a3"/>
        <w:ind w:firstLine="708"/>
        <w:jc w:val="center"/>
      </w:pPr>
      <w:r>
        <w:rPr>
          <w:b/>
        </w:rPr>
        <w:t>в возрасте 0-36 месяцев</w:t>
      </w:r>
    </w:p>
    <w:p w:rsidR="00612E35" w:rsidRDefault="00612E35">
      <w:pPr>
        <w:pStyle w:val="a3"/>
        <w:ind w:firstLine="708"/>
        <w:jc w:val="both"/>
      </w:pPr>
    </w:p>
    <w:p w:rsidR="00612E35" w:rsidRDefault="00612E35">
      <w:pPr>
        <w:pStyle w:val="a3"/>
        <w:ind w:firstLine="708"/>
        <w:jc w:val="both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F913EE">
      <w:pPr>
        <w:pStyle w:val="a3"/>
        <w:ind w:firstLine="708"/>
        <w:jc w:val="center"/>
      </w:pPr>
      <w:r>
        <w:t xml:space="preserve">Рисунок 2. </w:t>
      </w:r>
      <w:r>
        <w:rPr>
          <w:b/>
        </w:rPr>
        <w:t xml:space="preserve">Весо-ростовые перцентильные таблицы для девочек </w:t>
      </w:r>
    </w:p>
    <w:p w:rsidR="00612E35" w:rsidRDefault="00F913EE">
      <w:pPr>
        <w:pStyle w:val="a3"/>
        <w:ind w:firstLine="708"/>
        <w:jc w:val="center"/>
      </w:pPr>
      <w:r>
        <w:rPr>
          <w:b/>
        </w:rPr>
        <w:t>в возрасте 0-36 месяцев</w:t>
      </w:r>
    </w:p>
    <w:p w:rsidR="00612E35" w:rsidRDefault="00612E35">
      <w:pPr>
        <w:pStyle w:val="a3"/>
        <w:ind w:firstLine="708"/>
        <w:jc w:val="both"/>
      </w:pPr>
    </w:p>
    <w:p w:rsidR="00612E35" w:rsidRDefault="00612E35">
      <w:pPr>
        <w:pStyle w:val="a3"/>
        <w:ind w:firstLine="708"/>
        <w:jc w:val="both"/>
      </w:pPr>
    </w:p>
    <w:p w:rsidR="00612E35" w:rsidRDefault="00612E35">
      <w:pPr>
        <w:pStyle w:val="a3"/>
        <w:ind w:firstLine="708"/>
        <w:jc w:val="both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612E35">
      <w:pPr>
        <w:pStyle w:val="a3"/>
        <w:ind w:firstLine="708"/>
        <w:jc w:val="center"/>
      </w:pPr>
    </w:p>
    <w:p w:rsidR="00612E35" w:rsidRDefault="00F913EE">
      <w:pPr>
        <w:pStyle w:val="a3"/>
        <w:ind w:firstLine="708"/>
        <w:jc w:val="center"/>
      </w:pPr>
      <w:r>
        <w:t xml:space="preserve">Рисунок 3. </w:t>
      </w:r>
      <w:r>
        <w:rPr>
          <w:b/>
        </w:rPr>
        <w:t xml:space="preserve">Весо-ростовые перцентильные таблицы для мальчиков </w:t>
      </w:r>
    </w:p>
    <w:p w:rsidR="00612E35" w:rsidRDefault="00F913EE">
      <w:pPr>
        <w:pStyle w:val="a3"/>
        <w:ind w:firstLine="708"/>
        <w:jc w:val="center"/>
      </w:pPr>
      <w:r>
        <w:rPr>
          <w:b/>
        </w:rPr>
        <w:t xml:space="preserve">в возрасте </w:t>
      </w:r>
      <w:r>
        <w:rPr>
          <w:b/>
        </w:rPr>
        <w:t>2-20 лет</w:t>
      </w:r>
    </w:p>
    <w:p w:rsidR="00612E35" w:rsidRDefault="00612E35">
      <w:pPr>
        <w:pStyle w:val="a3"/>
        <w:ind w:firstLine="708"/>
        <w:jc w:val="both"/>
      </w:pPr>
    </w:p>
    <w:p w:rsidR="00612E35" w:rsidRDefault="00612E35">
      <w:pPr>
        <w:pStyle w:val="a3"/>
        <w:spacing w:line="360" w:lineRule="auto"/>
        <w:jc w:val="center"/>
      </w:pPr>
    </w:p>
    <w:p w:rsidR="00612E35" w:rsidRDefault="00612E35">
      <w:pPr>
        <w:pStyle w:val="a3"/>
        <w:spacing w:line="360" w:lineRule="auto"/>
        <w:jc w:val="both"/>
      </w:pPr>
    </w:p>
    <w:p w:rsidR="00612E35" w:rsidRDefault="00612E35">
      <w:pPr>
        <w:pStyle w:val="a3"/>
        <w:ind w:firstLine="708"/>
        <w:jc w:val="both"/>
      </w:pPr>
    </w:p>
    <w:p w:rsidR="00612E35" w:rsidRDefault="00612E35">
      <w:pPr>
        <w:pStyle w:val="a3"/>
        <w:ind w:firstLine="708"/>
        <w:jc w:val="both"/>
      </w:pPr>
    </w:p>
    <w:p w:rsidR="00612E35" w:rsidRDefault="00612E35">
      <w:pPr>
        <w:pStyle w:val="a3"/>
        <w:ind w:firstLine="708"/>
        <w:jc w:val="both"/>
      </w:pPr>
    </w:p>
    <w:p w:rsidR="00612E35" w:rsidRDefault="00612E35">
      <w:pPr>
        <w:pStyle w:val="a3"/>
        <w:ind w:firstLine="708"/>
        <w:jc w:val="both"/>
      </w:pPr>
    </w:p>
    <w:p w:rsidR="00612E35" w:rsidRDefault="00F913EE">
      <w:pPr>
        <w:pStyle w:val="a3"/>
        <w:ind w:firstLine="708"/>
        <w:jc w:val="both"/>
      </w:pPr>
      <w:r>
        <w:t xml:space="preserve">Рисунок 4. </w:t>
      </w:r>
      <w:r>
        <w:rPr>
          <w:b/>
        </w:rPr>
        <w:t>Весо-ростовые перцентильные таблицы для девочек</w:t>
      </w:r>
    </w:p>
    <w:p w:rsidR="00612E35" w:rsidRDefault="00F913EE">
      <w:pPr>
        <w:pStyle w:val="a3"/>
        <w:ind w:firstLine="708"/>
        <w:jc w:val="center"/>
      </w:pPr>
      <w:r>
        <w:rPr>
          <w:b/>
        </w:rPr>
        <w:t>в возрасте 2-20 лет</w:t>
      </w:r>
    </w:p>
    <w:p w:rsidR="00612E35" w:rsidRDefault="00612E35">
      <w:pPr>
        <w:pStyle w:val="a3"/>
        <w:spacing w:line="360" w:lineRule="auto"/>
        <w:jc w:val="both"/>
      </w:pPr>
    </w:p>
    <w:p w:rsidR="00612E35" w:rsidRDefault="00612E35">
      <w:pPr>
        <w:pStyle w:val="a3"/>
        <w:spacing w:line="360" w:lineRule="auto"/>
        <w:jc w:val="center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612E35">
      <w:pPr>
        <w:pStyle w:val="a3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  <w:szCs w:val="36"/>
        </w:rPr>
        <w:t>Клинический осмотр</w:t>
      </w:r>
      <w:r>
        <w:rPr>
          <w:szCs w:val="36"/>
        </w:rPr>
        <w:t xml:space="preserve"> включает в себя, помимо общетерапевтического осмотра, оценку фенотипа, пропорций тела, полового и психологического статуса. </w:t>
      </w:r>
    </w:p>
    <w:p w:rsidR="00612E35" w:rsidRDefault="00F913EE">
      <w:pPr>
        <w:pStyle w:val="ad"/>
        <w:numPr>
          <w:ilvl w:val="0"/>
          <w:numId w:val="1"/>
        </w:numPr>
        <w:spacing w:line="360" w:lineRule="auto"/>
        <w:ind w:left="470" w:hanging="113"/>
        <w:jc w:val="both"/>
      </w:pPr>
      <w:r>
        <w:rPr>
          <w:b/>
          <w:szCs w:val="36"/>
        </w:rPr>
        <w:t xml:space="preserve">При </w:t>
      </w:r>
      <w:r>
        <w:rPr>
          <w:b/>
          <w:szCs w:val="36"/>
        </w:rPr>
        <w:t>осмотре ребенка</w:t>
      </w:r>
      <w:r>
        <w:rPr>
          <w:szCs w:val="36"/>
        </w:rPr>
        <w:t xml:space="preserve"> могут быть выявлены фенотипические признаки врожденных синдромов.</w:t>
      </w:r>
    </w:p>
    <w:p w:rsidR="00612E35" w:rsidRDefault="00F913EE">
      <w:pPr>
        <w:pStyle w:val="ad"/>
        <w:numPr>
          <w:ilvl w:val="0"/>
          <w:numId w:val="1"/>
        </w:numPr>
        <w:spacing w:line="360" w:lineRule="auto"/>
        <w:ind w:left="470" w:hanging="113"/>
        <w:jc w:val="both"/>
      </w:pPr>
      <w:r>
        <w:rPr>
          <w:b/>
          <w:szCs w:val="36"/>
        </w:rPr>
        <w:t>Измерение роста сидя с оценкой</w:t>
      </w:r>
      <w:r>
        <w:rPr>
          <w:szCs w:val="36"/>
        </w:rPr>
        <w:t xml:space="preserve"> пропорциональности необходимо для исключения </w:t>
      </w:r>
      <w:r>
        <w:rPr>
          <w:b/>
          <w:szCs w:val="36"/>
        </w:rPr>
        <w:t>костных дисплазий (гипохондроплазия, спондилоэпифизарная дисплазия).</w:t>
      </w:r>
      <w:r>
        <w:rPr>
          <w:szCs w:val="36"/>
        </w:rPr>
        <w:t xml:space="preserve"> При наличии диспропорции необходимы специальные рентгенологические исследования, консультация генетика и специалиста по костной патологии. </w:t>
      </w:r>
    </w:p>
    <w:p w:rsidR="00612E35" w:rsidRDefault="00F913EE">
      <w:pPr>
        <w:pStyle w:val="ad"/>
        <w:numPr>
          <w:ilvl w:val="0"/>
          <w:numId w:val="1"/>
        </w:numPr>
        <w:spacing w:line="360" w:lineRule="auto"/>
        <w:ind w:left="470" w:hanging="113"/>
        <w:jc w:val="both"/>
      </w:pPr>
      <w:r>
        <w:rPr>
          <w:b/>
          <w:szCs w:val="36"/>
        </w:rPr>
        <w:t>Оценка полового статуса (по Таннеру)</w:t>
      </w:r>
      <w:r>
        <w:rPr>
          <w:szCs w:val="36"/>
        </w:rPr>
        <w:t xml:space="preserve"> позволяет определить отставание в половом развитии.</w:t>
      </w:r>
      <w:r>
        <w:rPr>
          <w:b/>
        </w:rPr>
        <w:t xml:space="preserve"> Задержка пубертата</w:t>
      </w:r>
      <w:r>
        <w:t xml:space="preserve"> при отс</w:t>
      </w:r>
      <w:r>
        <w:t>тавании в росте может быть как конституциональной (</w:t>
      </w:r>
      <w:r>
        <w:rPr>
          <w:b/>
        </w:rPr>
        <w:t>при конституциональной задержке роста и пубертата</w:t>
      </w:r>
      <w:r>
        <w:t>), так и патологической (</w:t>
      </w:r>
      <w:r>
        <w:rPr>
          <w:b/>
        </w:rPr>
        <w:t>при гипогонадизме</w:t>
      </w:r>
      <w:r>
        <w:t>), требующей дополнительного обследования.</w:t>
      </w:r>
    </w:p>
    <w:p w:rsidR="00612E35" w:rsidRDefault="00F913EE">
      <w:pPr>
        <w:pStyle w:val="ad"/>
        <w:numPr>
          <w:ilvl w:val="0"/>
          <w:numId w:val="1"/>
        </w:numPr>
        <w:spacing w:line="360" w:lineRule="auto"/>
        <w:ind w:left="470" w:hanging="113"/>
        <w:jc w:val="both"/>
      </w:pPr>
      <w:r>
        <w:t xml:space="preserve">При неправильном строении гениталий у мальчика возможна </w:t>
      </w:r>
      <w:r>
        <w:rPr>
          <w:b/>
        </w:rPr>
        <w:t>дисгенезия гона</w:t>
      </w:r>
      <w:r>
        <w:rPr>
          <w:b/>
        </w:rPr>
        <w:t>д</w:t>
      </w:r>
      <w:r>
        <w:t>, и требуется исследование кариотипа.</w:t>
      </w:r>
      <w:r>
        <w:rPr>
          <w:b/>
          <w:szCs w:val="36"/>
        </w:rPr>
        <w:t xml:space="preserve"> </w:t>
      </w:r>
      <w:r>
        <w:rPr>
          <w:szCs w:val="36"/>
        </w:rPr>
        <w:t>При дисгенезиях, как у мальчиков, так и у девочек, наблюдается отставание в росте.</w:t>
      </w:r>
    </w:p>
    <w:p w:rsidR="00612E35" w:rsidRDefault="00F913EE">
      <w:pPr>
        <w:pStyle w:val="ad"/>
        <w:numPr>
          <w:ilvl w:val="0"/>
          <w:numId w:val="1"/>
        </w:numPr>
        <w:spacing w:line="360" w:lineRule="auto"/>
        <w:ind w:left="470" w:hanging="113"/>
        <w:jc w:val="both"/>
      </w:pPr>
      <w:r>
        <w:rPr>
          <w:b/>
          <w:szCs w:val="36"/>
        </w:rPr>
        <w:t>Оценивается</w:t>
      </w:r>
      <w:r>
        <w:rPr>
          <w:szCs w:val="36"/>
        </w:rPr>
        <w:t xml:space="preserve"> </w:t>
      </w:r>
      <w:r>
        <w:rPr>
          <w:b/>
          <w:szCs w:val="36"/>
        </w:rPr>
        <w:t>социальная адаптация</w:t>
      </w:r>
      <w:r>
        <w:rPr>
          <w:szCs w:val="36"/>
        </w:rPr>
        <w:t xml:space="preserve"> (черты характера, успеваемость в школе, интересы).</w:t>
      </w:r>
    </w:p>
    <w:p w:rsidR="00612E35" w:rsidRDefault="00612E35">
      <w:pPr>
        <w:pStyle w:val="a3"/>
        <w:spacing w:line="360" w:lineRule="auto"/>
        <w:ind w:firstLine="709"/>
      </w:pPr>
    </w:p>
    <w:p w:rsidR="00612E35" w:rsidRDefault="00F913EE">
      <w:pPr>
        <w:pStyle w:val="a3"/>
        <w:spacing w:line="360" w:lineRule="auto"/>
        <w:ind w:firstLine="709"/>
      </w:pPr>
      <w:r>
        <w:rPr>
          <w:b/>
          <w:szCs w:val="36"/>
        </w:rPr>
        <w:t>Лабораторная диагностика</w:t>
      </w:r>
    </w:p>
    <w:p w:rsidR="00612E35" w:rsidRDefault="00F913EE">
      <w:pPr>
        <w:pStyle w:val="a3"/>
        <w:spacing w:line="360" w:lineRule="auto"/>
      </w:pPr>
      <w:r>
        <w:rPr>
          <w:szCs w:val="36"/>
        </w:rPr>
        <w:t xml:space="preserve">Рекомендуемые </w:t>
      </w:r>
      <w:r>
        <w:rPr>
          <w:b/>
          <w:szCs w:val="36"/>
        </w:rPr>
        <w:t>лабораторные исследования</w:t>
      </w:r>
      <w:r>
        <w:rPr>
          <w:szCs w:val="36"/>
        </w:rPr>
        <w:t xml:space="preserve"> показаны в табл.2.</w:t>
      </w:r>
    </w:p>
    <w:p w:rsidR="00612E35" w:rsidRDefault="00F913EE">
      <w:pPr>
        <w:pStyle w:val="a3"/>
        <w:spacing w:line="360" w:lineRule="auto"/>
      </w:pPr>
      <w:r>
        <w:rPr>
          <w:szCs w:val="36"/>
        </w:rPr>
        <w:t>Табл. 2. Лабораторные показатели при идиопатической низкорослости.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4394"/>
      </w:tblGrid>
      <w:tr w:rsidR="00612E35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Лабораторные исследования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Диагностика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Общий анализ крови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Анемии, инфекционные болезни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Общий анализ мочи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Патология почек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Железо, ферритин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Анемии, нарушение питания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Кальций ионизированный,</w:t>
            </w:r>
          </w:p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фосфор, щелочная фосфатаза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Нарушения фосфорно-кальциевого обмена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Креатинин, мочевина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Хроническая почечная недостаточность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АЛТ, АСТ, билирубин, общий белок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Патология печени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Антитела к глиадину, трансглут</w:t>
            </w:r>
            <w:r>
              <w:rPr>
                <w:szCs w:val="36"/>
              </w:rPr>
              <w:t>аминазе,</w:t>
            </w:r>
          </w:p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общий IgA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Целиакия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св.Т</w:t>
            </w:r>
            <w:r>
              <w:rPr>
                <w:szCs w:val="36"/>
                <w:vertAlign w:val="subscript"/>
              </w:rPr>
              <w:t>4</w:t>
            </w:r>
            <w:r>
              <w:rPr>
                <w:szCs w:val="36"/>
              </w:rPr>
              <w:t>, ТТГ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rPr>
                <w:szCs w:val="36"/>
              </w:rPr>
              <w:t>Гипотиреоз</w:t>
            </w:r>
          </w:p>
        </w:tc>
      </w:tr>
    </w:tbl>
    <w:p w:rsidR="00612E35" w:rsidRDefault="00F913EE">
      <w:pPr>
        <w:pStyle w:val="a3"/>
        <w:spacing w:line="360" w:lineRule="auto"/>
      </w:pPr>
      <w:r>
        <w:rPr>
          <w:szCs w:val="36"/>
        </w:rPr>
        <w:t>Кроме того, в процессе лечения, исследуются глюкоза, ИРИ, HbA1c (для контроля углеводного обмена).</w:t>
      </w:r>
    </w:p>
    <w:p w:rsidR="00612E35" w:rsidRDefault="00F913EE">
      <w:pPr>
        <w:pStyle w:val="a3"/>
        <w:spacing w:line="360" w:lineRule="auto"/>
      </w:pPr>
      <w:r>
        <w:rPr>
          <w:b/>
          <w:szCs w:val="36"/>
        </w:rPr>
        <w:t xml:space="preserve">Кариотипирование. </w:t>
      </w:r>
      <w:r>
        <w:rPr>
          <w:szCs w:val="36"/>
        </w:rPr>
        <w:t xml:space="preserve">Проводится всем девочкам с отставанием в росте, мальчикам с неправильным строением </w:t>
      </w:r>
      <w:r>
        <w:rPr>
          <w:szCs w:val="36"/>
        </w:rPr>
        <w:t>наружных гениталий и при подозрении на хромосомные синдромы.</w:t>
      </w:r>
    </w:p>
    <w:p w:rsidR="00612E35" w:rsidRDefault="00612E35">
      <w:pPr>
        <w:pStyle w:val="a3"/>
        <w:spacing w:line="360" w:lineRule="auto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  <w:szCs w:val="36"/>
        </w:rPr>
        <w:t>СТГ- стимуляционные тесты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 xml:space="preserve">Золотым стандартом для исключения СТГ-дефицита во всем мире является проведение стимуляционных тестов </w:t>
      </w:r>
      <w:r>
        <w:t>(</w:t>
      </w:r>
      <w:r>
        <w:rPr>
          <w:lang w:val="en-US"/>
        </w:rPr>
        <w:t>D</w:t>
      </w:r>
      <w:r>
        <w:t>).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lastRenderedPageBreak/>
        <w:t>В случае гипотиреоза необходим предварительный курс тиреоидны</w:t>
      </w:r>
      <w:r>
        <w:rPr>
          <w:szCs w:val="36"/>
        </w:rPr>
        <w:t xml:space="preserve">ми препаратами в течение 3-4 недель.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 xml:space="preserve">У  детей с задержкой пубертата необходим “прайминг” (предварительный курс половых стероидов) для имитирования секреции СТГ в период пубертата и снижения ложноотрицательных результатов </w:t>
      </w:r>
      <w:r>
        <w:t xml:space="preserve"> (</w:t>
      </w:r>
      <w:r>
        <w:rPr>
          <w:lang w:val="en-US"/>
        </w:rPr>
        <w:t>D</w:t>
      </w:r>
      <w:r>
        <w:t>).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>Согласно Российскому консенсусу 2005 года, а также по международному и национальным консенсусам разных стран, нормальным выбросом СТГ на стимуляции считается выброс выше 10 нг/мл. Тотальный СТГ-дефицит ставится при пике выброса менее 7 нг/мл, парциальный С</w:t>
      </w:r>
      <w:r>
        <w:rPr>
          <w:szCs w:val="36"/>
        </w:rPr>
        <w:t xml:space="preserve">ТГ-дефицит – при пике выброса от 7 до 10 нг/мл. </w:t>
      </w:r>
      <w:r>
        <w:t>(</w:t>
      </w:r>
      <w:r>
        <w:rPr>
          <w:lang w:val="en-US"/>
        </w:rPr>
        <w:t>D</w:t>
      </w:r>
      <w:r>
        <w:t>).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szCs w:val="36"/>
        </w:rPr>
        <w:t xml:space="preserve">При наличии нормального выброса хотя бы на одном из тестов, ставится </w:t>
      </w:r>
      <w:r>
        <w:rPr>
          <w:b/>
          <w:szCs w:val="36"/>
        </w:rPr>
        <w:t>идиопатическая низкорослость</w:t>
      </w:r>
      <w:r>
        <w:rPr>
          <w:szCs w:val="36"/>
        </w:rPr>
        <w:t>. После получения пика выброса более 10 нг/мл, необходимости в проведении второй пробы нет,  диагноз “СТГ-</w:t>
      </w:r>
      <w:r>
        <w:rPr>
          <w:szCs w:val="36"/>
        </w:rPr>
        <w:t xml:space="preserve">дефицит” исключен.  </w:t>
      </w:r>
    </w:p>
    <w:p w:rsidR="00612E35" w:rsidRDefault="00612E35">
      <w:pPr>
        <w:pStyle w:val="a3"/>
        <w:spacing w:line="360" w:lineRule="auto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  <w:szCs w:val="36"/>
        </w:rPr>
        <w:t>Инсулиноподобный ростовой фактор-1 (ИФР-1)</w:t>
      </w:r>
    </w:p>
    <w:p w:rsidR="00612E35" w:rsidRDefault="00F913EE">
      <w:pPr>
        <w:pStyle w:val="a3"/>
        <w:spacing w:line="360" w:lineRule="auto"/>
        <w:jc w:val="both"/>
      </w:pPr>
      <w:r>
        <w:rPr>
          <w:szCs w:val="36"/>
        </w:rPr>
        <w:t xml:space="preserve">ИФР-1 является важным параметром в оценке любого ребенка с низкорослостью. </w:t>
      </w:r>
    </w:p>
    <w:p w:rsidR="00612E35" w:rsidRDefault="00F913EE">
      <w:pPr>
        <w:pStyle w:val="a3"/>
        <w:spacing w:line="360" w:lineRule="auto"/>
        <w:jc w:val="both"/>
      </w:pPr>
      <w:r>
        <w:rPr>
          <w:szCs w:val="36"/>
        </w:rPr>
        <w:t xml:space="preserve">Однако, его уровень зависит от возраста, пола, питания ребенка, тиреоидного статуса, наличия пубертата, эндокринных (сахарный диабет) и соматических заболеваний (патология печени и почек). </w:t>
      </w:r>
    </w:p>
    <w:p w:rsidR="00612E35" w:rsidRDefault="00F913EE">
      <w:pPr>
        <w:pStyle w:val="a3"/>
        <w:spacing w:line="360" w:lineRule="auto"/>
        <w:jc w:val="both"/>
      </w:pPr>
      <w:r>
        <w:rPr>
          <w:szCs w:val="36"/>
        </w:rPr>
        <w:t>ИФР-1 снижен у 25-50 %  детей с идиопатической низкорослостью, что</w:t>
      </w:r>
      <w:r>
        <w:rPr>
          <w:szCs w:val="36"/>
        </w:rPr>
        <w:t xml:space="preserve"> является показанием к проведению теста на генерацию. Нормальный уровень ИФР-1, с другой стороны, ставит под сомнение, хотя и не исключает  СТГ-дефицит. </w:t>
      </w:r>
      <w:r>
        <w:t>(</w:t>
      </w:r>
      <w:r>
        <w:rPr>
          <w:lang w:val="en-US"/>
        </w:rPr>
        <w:t>D</w:t>
      </w:r>
      <w:r>
        <w:t>).</w:t>
      </w:r>
    </w:p>
    <w:p w:rsidR="00612E35" w:rsidRDefault="00F913EE">
      <w:pPr>
        <w:pStyle w:val="a3"/>
        <w:spacing w:line="360" w:lineRule="auto"/>
        <w:jc w:val="both"/>
      </w:pPr>
      <w:r>
        <w:rPr>
          <w:szCs w:val="36"/>
        </w:rPr>
        <w:t>Измерение ИФР-1 необходимо также в процессе лечения для оценки комплаентности и чувствительности к</w:t>
      </w:r>
      <w:r>
        <w:rPr>
          <w:szCs w:val="36"/>
        </w:rPr>
        <w:t xml:space="preserve"> ГР, а также для контроля безопасности терапии. Надо отметить, что для правильной интерпретации результатов измерения ИФР-1 у одного ребенка, необходимо использовать одни нормативные стандарты, которые часто сильно отличаются в зависимости от методики опре</w:t>
      </w:r>
      <w:r>
        <w:rPr>
          <w:szCs w:val="36"/>
        </w:rPr>
        <w:t xml:space="preserve">деления ИФР-1. </w:t>
      </w:r>
    </w:p>
    <w:p w:rsidR="00612E35" w:rsidRDefault="00612E35">
      <w:pPr>
        <w:pStyle w:val="a3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lastRenderedPageBreak/>
        <w:t>Тест на генерацию ИФР-1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Тест на генерацию ИФР-1 проводится только при сниженном (&lt; -2 SDS)  уровне ИФР-1, если при этом выброс СТГ на стимуляции выше 10 нг/мл. При нормальном или повышенном уровне ИФР-1 тест на генерацию не проводят. (</w:t>
      </w:r>
      <w:r>
        <w:rPr>
          <w:lang w:val="en-US"/>
        </w:rPr>
        <w:t>D</w:t>
      </w:r>
      <w:r>
        <w:t>).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Тест проводят в расчетной дозе 0,033 мг/кг/сут, измеряется базальный уровень ИРФ-1 (иногда с ИФР-СБ3 и КЛС) и стимулированный после 4-7 дней инъекций гормона роста.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Отсутствие повышения ИФР-1 менее, чем на 15 нг/мл (или менее 2 SD), говорит о тажелой рез</w:t>
      </w:r>
      <w:r>
        <w:t xml:space="preserve">истентности к гормону роста и неэффективности лечения. 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Помимо этого, тест на генерацию ИФР-1 можно применять для оценки чувствительности к терапии, как показано на рис. 5. За положительный (+) результат принято повышение ИРФ-1 более, чем 15 нг/мл, на 5 д</w:t>
      </w:r>
      <w:r>
        <w:t>ень инъекций рГР.</w:t>
      </w: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4817110" cy="2977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>Рис. 5. Тест на генерацию ИРФ-1 и его интерпретация</w:t>
      </w:r>
      <w:r>
        <w:rPr>
          <w:b/>
          <w:color w:val="0000FF"/>
        </w:rPr>
        <w:t xml:space="preserve"> </w:t>
      </w:r>
      <w:r>
        <w:rPr>
          <w:b/>
        </w:rPr>
        <w:t>(Шандин А.Н., 2009).</w:t>
      </w: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>Рентгенография кистей.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lastRenderedPageBreak/>
        <w:t>Определение костного возраста важно как для постановки диагноза, так и для прогноза конечного роста.  При нарушениях на уровне ростовой пл</w:t>
      </w:r>
      <w:r>
        <w:t>астинки кости (костные дисплазии, синдромальная патология) костный возраст практически не отстает от паспортного. Напротив, для вторичного дефицита роста, особенно для СТГ-дефицита, а также при идиопатической низкорослости, характерно значительное отставан</w:t>
      </w:r>
      <w:r>
        <w:t xml:space="preserve">ие костного возраста от паспортного (более 2 лет).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Кроме того, костный возраст позволяет оценить имеющийся у ребенка ростовой потенциал, т.е. предсказать конечный рост. Перцентиль, на которой расположены данные костного возраста, примерно совпадает с коне</w:t>
      </w:r>
      <w:r>
        <w:t xml:space="preserve">чным ростом.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Более точно рассчитать прогнозируемый конечный рост можно по таблицам и формулам B</w:t>
      </w:r>
      <w:r>
        <w:rPr>
          <w:lang w:val="en-US"/>
        </w:rPr>
        <w:t>ay</w:t>
      </w:r>
      <w:r>
        <w:t>l</w:t>
      </w:r>
      <w:r>
        <w:rPr>
          <w:lang w:val="en-US"/>
        </w:rPr>
        <w:t>e</w:t>
      </w:r>
      <w:r>
        <w:t>y-Pinneau (по методу Greulich-</w:t>
      </w:r>
      <w:r>
        <w:rPr>
          <w:lang w:val="en-US"/>
        </w:rPr>
        <w:t>Pyle</w:t>
      </w:r>
      <w:r>
        <w:t xml:space="preserve">) или по методу Tanner-Whitehouse. </w:t>
      </w: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>МРТ головного мозга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МРТ головного мозга проводится до СТГ-стимулирующих проб только в</w:t>
      </w:r>
      <w:r>
        <w:t xml:space="preserve"> случае подозрения на объемный процесс. После подтверждения диагноза СТГ-дефицита по результатам одной стимуляционной пробы всем детям необходимо провести МРТ с прицельным вниманием на гипоталамо-гипофизарную область. (</w:t>
      </w:r>
      <w:r>
        <w:rPr>
          <w:lang w:val="en-US"/>
        </w:rPr>
        <w:t>D</w:t>
      </w:r>
      <w:r>
        <w:t>).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По данным международного консенсу</w:t>
      </w:r>
      <w:r>
        <w:t>са проведение МРТ при идиопатической низкорослости не показано, мы все же считаем обязательным его проведение любому ребенку с низкорослостью до начала терапии гормоном роста (для исключения объемных образований).</w:t>
      </w: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>Алгоритм диагностики идиопатической низко</w:t>
      </w:r>
      <w:r>
        <w:rPr>
          <w:b/>
        </w:rPr>
        <w:t>рослости представлен на рис.6.</w:t>
      </w:r>
    </w:p>
    <w:p w:rsidR="00612E35" w:rsidRDefault="00612E35">
      <w:pPr>
        <w:pStyle w:val="a3"/>
        <w:spacing w:line="360" w:lineRule="auto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>Рис. 6. Алгоритм диагностики идиопатической низкорослости (Шандин А.Н., 2009).</w:t>
      </w: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>ЛЕЧЕНИЕ ИДИОПАТИЧЕСКОЙ НИЗКОРОСЛОСТИ</w:t>
      </w:r>
    </w:p>
    <w:p w:rsidR="00612E35" w:rsidRDefault="00F913EE">
      <w:pPr>
        <w:pStyle w:val="a3"/>
        <w:spacing w:line="360" w:lineRule="auto"/>
        <w:jc w:val="both"/>
      </w:pPr>
      <w:r>
        <w:rPr>
          <w:b/>
        </w:rPr>
        <w:t>Показания к ростстимулирующей терапии гормоном роста.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Лечение  гормоном роста рекомендовано у детей ниже -2,25 </w:t>
      </w:r>
      <w:r>
        <w:rPr>
          <w:lang w:val="en-US"/>
        </w:rPr>
        <w:t>SDS</w:t>
      </w:r>
      <w:r>
        <w:t xml:space="preserve"> (ниже 1 перцентили). Оптимальный возраст для начала терапии - от 5 лет до раннего пубертата.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При начавшемся пубертате можно рассмотреть вопрос о применении аналогов гонадотропин-рилизинг гормона</w:t>
      </w:r>
      <w:r>
        <w:t xml:space="preserve"> (для торможения пубертата) в  сочетании с терапией гормоном роста.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Сниженный (или нормальный) уровень ИРФ-1 не является показанием (или противопоказанием) к терапии гормоном роста при идиопатической низкорослости.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Кроме того, при принятии решения о начале</w:t>
      </w:r>
      <w:r>
        <w:t xml:space="preserve"> терапии, необходимо учитывать психологический критерий.</w:t>
      </w:r>
      <w:r>
        <w:rPr>
          <w:b/>
        </w:rPr>
        <w:t xml:space="preserve"> </w:t>
      </w:r>
      <w:r>
        <w:t>Терапия не рекомендуется ребенку, который не беспокоится по поводу своего роста  (</w:t>
      </w:r>
      <w:r>
        <w:rPr>
          <w:lang w:val="en-US"/>
        </w:rPr>
        <w:t>D</w:t>
      </w:r>
      <w:r>
        <w:t>).</w:t>
      </w:r>
    </w:p>
    <w:p w:rsidR="00612E35" w:rsidRDefault="00612E35">
      <w:pPr>
        <w:pStyle w:val="a3"/>
        <w:spacing w:line="360" w:lineRule="auto"/>
        <w:jc w:val="both"/>
      </w:pPr>
    </w:p>
    <w:p w:rsidR="00612E35" w:rsidRDefault="00F913EE">
      <w:pPr>
        <w:pStyle w:val="a3"/>
        <w:spacing w:line="360" w:lineRule="auto"/>
        <w:jc w:val="both"/>
      </w:pPr>
      <w:r>
        <w:rPr>
          <w:b/>
        </w:rPr>
        <w:t>Доза гормона роста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Предполагается, что у большинства детей с идиопатической низкорослостью снижена чувствительно</w:t>
      </w:r>
      <w:r>
        <w:t xml:space="preserve">сть к собственному СТГ, и ее можно преодолеть добавлением экзогенного ГР в заместительных дозах (плюс частично подавленная собственная спонтанная секреция СТГ.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>Рекомендуемая доза для лечения идиопатической низкорослости – 0,05 мг/кг/сут (</w:t>
      </w:r>
      <w:r>
        <w:rPr>
          <w:b/>
          <w:lang w:val="en-US"/>
        </w:rPr>
        <w:t>D</w:t>
      </w:r>
      <w:r>
        <w:rPr>
          <w:b/>
        </w:rPr>
        <w:t xml:space="preserve">). </w:t>
      </w:r>
      <w:r>
        <w:t xml:space="preserve">Большие дозы (0,07 мг/кг/сут и выше) приводят к быстрому прогрессированию костного созревания и сводят на нет эффективность терапии. 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Ответ детей с идиопатической низкорослостью на гормон роста очень сходен с ответом при синдроме Шерешевского-Тернера или </w:t>
      </w:r>
      <w:r>
        <w:t xml:space="preserve">внутриутробной задержке роста.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Прибавка к конечному росту составляет в среднем + 7-8 см (на дозе 0,05 мг/кг/сут) и + 3-4 см (на дозе 0,033 мг/кг/сут).</w:t>
      </w:r>
    </w:p>
    <w:p w:rsidR="00612E35" w:rsidRDefault="00612E35">
      <w:pPr>
        <w:pStyle w:val="a3"/>
        <w:spacing w:line="360" w:lineRule="auto"/>
        <w:jc w:val="both"/>
      </w:pPr>
    </w:p>
    <w:p w:rsidR="00612E35" w:rsidRDefault="00F913EE">
      <w:pPr>
        <w:pStyle w:val="a3"/>
        <w:spacing w:line="360" w:lineRule="auto"/>
        <w:jc w:val="both"/>
      </w:pPr>
      <w:r>
        <w:rPr>
          <w:b/>
        </w:rPr>
        <w:lastRenderedPageBreak/>
        <w:t>Критерии эффективности терапии.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Наилучшим критерием эффективности терапии является изменение </w:t>
      </w:r>
      <w:r>
        <w:rPr>
          <w:lang w:val="en-US"/>
        </w:rPr>
        <w:t>SDS</w:t>
      </w:r>
      <w:r>
        <w:t xml:space="preserve"> роста </w:t>
      </w:r>
      <w:r>
        <w:t xml:space="preserve">(∆ </w:t>
      </w:r>
      <w:r>
        <w:rPr>
          <w:lang w:val="en-US"/>
        </w:rPr>
        <w:t>SDS</w:t>
      </w:r>
      <w:r>
        <w:t xml:space="preserve"> роста). Кроме того, оценивается изменение скорости роста (в см/год и </w:t>
      </w:r>
      <w:r>
        <w:rPr>
          <w:lang w:val="en-US"/>
        </w:rPr>
        <w:t>SDS</w:t>
      </w:r>
      <w:r>
        <w:t>). Абсолютную прибавку роста (в см) как критерий не учитывают, так как она зависит от возраста.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Терапию считают эффективной при: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- ∆ </w:t>
      </w:r>
      <w:r>
        <w:rPr>
          <w:lang w:val="en-US"/>
        </w:rPr>
        <w:t>SDS</w:t>
      </w:r>
      <w:r>
        <w:t xml:space="preserve"> роста &gt; 0,3-0,5 через год терапии,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- у</w:t>
      </w:r>
      <w:r>
        <w:t>величении скорости роста более, чем на 3 см/год,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- </w:t>
      </w:r>
      <w:r>
        <w:rPr>
          <w:lang w:val="en-US"/>
        </w:rPr>
        <w:t>SDS</w:t>
      </w:r>
      <w:r>
        <w:t xml:space="preserve"> скорости роста &gt; +1.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>Плохой ростовой ответ</w:t>
      </w:r>
      <w:r>
        <w:t xml:space="preserve"> может быть следствием либо плохой комплаентности, либо нечувствительности к гормону роста.  При подозрении на резистентность к гормону роста следует провести </w:t>
      </w:r>
      <w:r>
        <w:t xml:space="preserve">тест на генерацию ИРФ-1 на фоне отмены терапии.  После этого решается вопрос об увеличении дозы или прекращении лечения..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При </w:t>
      </w:r>
      <w:r>
        <w:rPr>
          <w:b/>
        </w:rPr>
        <w:t>хорошем ростовом ответе</w:t>
      </w:r>
      <w:r>
        <w:t>, лечение продолжается в той же дозе.</w:t>
      </w:r>
    </w:p>
    <w:p w:rsidR="00612E35" w:rsidRDefault="00612E35">
      <w:pPr>
        <w:pStyle w:val="a3"/>
        <w:spacing w:line="360" w:lineRule="auto"/>
        <w:jc w:val="both"/>
      </w:pPr>
    </w:p>
    <w:p w:rsidR="00612E35" w:rsidRDefault="00F913EE">
      <w:pPr>
        <w:pStyle w:val="a3"/>
        <w:spacing w:line="360" w:lineRule="auto"/>
        <w:jc w:val="both"/>
      </w:pPr>
      <w:r>
        <w:rPr>
          <w:b/>
        </w:rPr>
        <w:t>Продолжительность терапии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Лечение продолжается до достижения роста,</w:t>
      </w:r>
      <w:r>
        <w:t xml:space="preserve"> близкого к конечному (до закрытия зон роста), т.е. скорость роста менее 2 см/год, и/или костный возраст &gt;16 лет у мальчиков и &gt;14 лет у девочек. (</w:t>
      </w:r>
      <w:r>
        <w:rPr>
          <w:lang w:val="en-US"/>
        </w:rPr>
        <w:t>D</w:t>
      </w:r>
      <w:r>
        <w:t>).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Терапию гормоном роста можно прекращать при достижении “нормального” роста (выше -1,5 </w:t>
      </w:r>
      <w:r>
        <w:rPr>
          <w:lang w:val="en-US"/>
        </w:rPr>
        <w:t>SDS</w:t>
      </w:r>
      <w:r>
        <w:t>). Лечение можно</w:t>
      </w:r>
      <w:r>
        <w:t xml:space="preserve"> остановить раньше, если ребенок или его родители  удовлетворены достигнутым ростом или не желают продолжать терапию по другим причинам. (</w:t>
      </w:r>
      <w:r>
        <w:rPr>
          <w:lang w:val="en-US"/>
        </w:rPr>
        <w:t>D</w:t>
      </w:r>
      <w:r>
        <w:t>).</w:t>
      </w:r>
    </w:p>
    <w:p w:rsidR="00612E35" w:rsidRDefault="00612E35">
      <w:pPr>
        <w:pStyle w:val="a3"/>
        <w:spacing w:line="360" w:lineRule="auto"/>
        <w:jc w:val="both"/>
      </w:pPr>
    </w:p>
    <w:p w:rsidR="00612E35" w:rsidRDefault="00F913EE">
      <w:pPr>
        <w:pStyle w:val="a3"/>
        <w:spacing w:line="360" w:lineRule="auto"/>
        <w:jc w:val="both"/>
      </w:pPr>
      <w:r>
        <w:rPr>
          <w:b/>
        </w:rPr>
        <w:t>Возможные побочные эффекты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lastRenderedPageBreak/>
        <w:t>Частота побочных эффектов при терапии гормоном роста детей с идиопатической низкоросло</w:t>
      </w:r>
      <w:r>
        <w:t>стью не выше, чем при терапии гормоном роста других состояний. Однако, учитывая возможный риск, необходим тщательный мониторинг.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 xml:space="preserve">Параметры, контролируемые на фоне лечения гормоном роста, приведены в табл.3.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>Табл. 3. Мониторинг эффективности и безопасности</w:t>
      </w:r>
      <w:r>
        <w:rPr>
          <w:b/>
        </w:rPr>
        <w:t xml:space="preserve"> лечения гормоном роста (Шандин А.Н., 2011)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2000"/>
        <w:gridCol w:w="4345"/>
      </w:tblGrid>
      <w:tr w:rsidR="00612E35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  <w:ind w:firstLine="709"/>
              <w:jc w:val="both"/>
            </w:pPr>
            <w:r>
              <w:t>П</w:t>
            </w:r>
            <w:r>
              <w:rPr>
                <w:lang w:val="en-US"/>
              </w:rPr>
              <w:t>араметр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  <w:ind w:firstLine="709"/>
              <w:jc w:val="both"/>
            </w:pPr>
            <w:r>
              <w:t>Частота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  <w:ind w:firstLine="709"/>
              <w:jc w:val="both"/>
            </w:pPr>
            <w:r>
              <w:t>Клиническое значение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  <w:jc w:val="both"/>
            </w:pPr>
            <w:r>
              <w:t>Динамика роста:</w:t>
            </w:r>
          </w:p>
          <w:p w:rsidR="00612E35" w:rsidRDefault="00F913EE">
            <w:pPr>
              <w:pStyle w:val="a3"/>
              <w:spacing w:line="360" w:lineRule="auto"/>
              <w:jc w:val="both"/>
            </w:pPr>
            <w:r>
              <w:t xml:space="preserve">-SDS роста, ∆ </w:t>
            </w:r>
            <w:r>
              <w:rPr>
                <w:lang w:val="en-US"/>
              </w:rPr>
              <w:t>SDS</w:t>
            </w:r>
            <w:r>
              <w:t xml:space="preserve"> роста</w:t>
            </w:r>
          </w:p>
          <w:p w:rsidR="00612E35" w:rsidRDefault="00F913EE">
            <w:pPr>
              <w:pStyle w:val="a3"/>
              <w:spacing w:line="360" w:lineRule="auto"/>
              <w:jc w:val="both"/>
            </w:pPr>
            <w:r>
              <w:t xml:space="preserve">-скорость роста (см и </w:t>
            </w:r>
            <w:r>
              <w:rPr>
                <w:lang w:val="en-US"/>
              </w:rPr>
              <w:t>SDS</w:t>
            </w:r>
            <w:r>
              <w:t>)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1 раз в 6-12 мес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Оценка эффективности терапии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  <w:jc w:val="both"/>
            </w:pPr>
            <w:r>
              <w:t>Рост сидя с оценкой пропорциональности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1 раз в 6-12 мес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Профилактика усиления диспропорций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  <w:jc w:val="both"/>
            </w:pPr>
            <w:r>
              <w:t>Стадия пубертата (по Таннер)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1 раз в 6 мес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Контроль за началом и течением пубертата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  <w:jc w:val="both"/>
            </w:pPr>
            <w:r>
              <w:t>Клинический мониторинг:</w:t>
            </w:r>
          </w:p>
          <w:p w:rsidR="00612E35" w:rsidRDefault="00F913EE">
            <w:pPr>
              <w:pStyle w:val="a3"/>
              <w:spacing w:line="360" w:lineRule="auto"/>
              <w:jc w:val="both"/>
            </w:pPr>
            <w:r>
              <w:t>-сколиоз</w:t>
            </w:r>
          </w:p>
          <w:p w:rsidR="00612E35" w:rsidRDefault="00F913EE">
            <w:pPr>
              <w:pStyle w:val="a3"/>
              <w:spacing w:line="360" w:lineRule="auto"/>
              <w:jc w:val="both"/>
            </w:pPr>
            <w:r>
              <w:t>-гипертрофия миндалин</w:t>
            </w:r>
          </w:p>
          <w:p w:rsidR="00612E35" w:rsidRDefault="00F913EE">
            <w:pPr>
              <w:pStyle w:val="a3"/>
              <w:spacing w:line="360" w:lineRule="auto"/>
              <w:jc w:val="both"/>
            </w:pPr>
            <w:r>
              <w:t>-папилледема</w:t>
            </w:r>
          </w:p>
          <w:p w:rsidR="00612E35" w:rsidRDefault="00F913EE">
            <w:pPr>
              <w:pStyle w:val="a3"/>
              <w:spacing w:line="360" w:lineRule="auto"/>
              <w:jc w:val="both"/>
            </w:pPr>
            <w:r>
              <w:t>-некроз эпифиза головки бедренной кости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при каждом визите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Профилактика клинической безопасности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Рентгенография кистей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1 раз в  год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Контроль динамики костного возраста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ИФР-1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1 раз в 6-12 мес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 xml:space="preserve">Оценка комплаентности, адекватности </w:t>
            </w:r>
          </w:p>
          <w:p w:rsidR="00612E35" w:rsidRDefault="00F913EE">
            <w:pPr>
              <w:pStyle w:val="a3"/>
              <w:spacing w:line="360" w:lineRule="auto"/>
            </w:pPr>
            <w:r>
              <w:t xml:space="preserve">дозы, эффективности и безопасности </w:t>
            </w:r>
          </w:p>
          <w:p w:rsidR="00612E35" w:rsidRDefault="00F913EE">
            <w:pPr>
              <w:pStyle w:val="a3"/>
              <w:spacing w:line="360" w:lineRule="auto"/>
            </w:pPr>
            <w:r>
              <w:t>терапии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lastRenderedPageBreak/>
              <w:t>Глюкоза (ИРИ, HbA1c)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1 раз в 6 мес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Контроль за углеводным обменом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Консультация  окулиста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1 раз в год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Признаки повышения ВЧД</w:t>
            </w:r>
          </w:p>
        </w:tc>
      </w:tr>
      <w:tr w:rsidR="00612E35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МРТ головного мозга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при подозрении на объемный процесс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E35" w:rsidRDefault="00F913EE">
            <w:pPr>
              <w:pStyle w:val="a3"/>
              <w:spacing w:line="360" w:lineRule="auto"/>
            </w:pPr>
            <w:r>
              <w:t>Профилактика опухолей</w:t>
            </w:r>
          </w:p>
        </w:tc>
      </w:tr>
    </w:tbl>
    <w:p w:rsidR="00612E35" w:rsidRDefault="00F913EE">
      <w:pPr>
        <w:pStyle w:val="a3"/>
        <w:spacing w:line="360" w:lineRule="auto"/>
        <w:ind w:firstLine="709"/>
        <w:jc w:val="both"/>
      </w:pPr>
      <w:r>
        <w:t xml:space="preserve">Решение о тактике ведения ребенка с идиопатической низкорослостью должны принимать совместно врач-эндокринолог и родители. Главная цель лечения – достижение нормального конечного роста. Независимо от выбранной тактики она должна иметь четкие обоснования.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Врач обязан активно привлекать семью в обсуждение тактики ведения ребенка, а также давать реалистичную оценку ожидаемых результатов лечения, учитывая изменчивость клинического результата.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В процессе терапии необходимо проводить обязательный контроль с оцен</w:t>
      </w:r>
      <w:r>
        <w:t>кой эффективности и безопасности лечения. Лечение может быть прекращено при плохом ростовом эффекте, при достижении приемлемого роста, или нежелании продолжать лечиться.</w:t>
      </w:r>
    </w:p>
    <w:p w:rsidR="00612E35" w:rsidRDefault="00612E35">
      <w:pPr>
        <w:pStyle w:val="a3"/>
        <w:spacing w:line="360" w:lineRule="auto"/>
        <w:jc w:val="both"/>
      </w:pPr>
    </w:p>
    <w:p w:rsidR="00612E35" w:rsidRDefault="00F913EE">
      <w:pPr>
        <w:pStyle w:val="a3"/>
        <w:spacing w:line="360" w:lineRule="auto"/>
        <w:jc w:val="both"/>
      </w:pPr>
      <w:r>
        <w:rPr>
          <w:b/>
        </w:rPr>
        <w:t>Альтернативные методы лечения идиопатической низкорослости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>Анаболические стероиды (ок</w:t>
      </w:r>
      <w:r>
        <w:rPr>
          <w:b/>
        </w:rPr>
        <w:t>сандролон и тестостерон).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</w:rPr>
        <w:t xml:space="preserve"> </w:t>
      </w:r>
      <w:r>
        <w:t xml:space="preserve">Оба этих препарата используют при конституциональной задержке роста и пубертата с невыраженным отставанием в росте (&gt;-2,5 </w:t>
      </w:r>
      <w:r>
        <w:rPr>
          <w:lang w:val="en-US"/>
        </w:rPr>
        <w:t>SDS</w:t>
      </w:r>
      <w:r>
        <w:t>). (</w:t>
      </w:r>
      <w:r>
        <w:rPr>
          <w:lang w:val="en-US"/>
        </w:rPr>
        <w:t>D</w:t>
      </w:r>
      <w:r>
        <w:t>).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t>Цель лечения – ускорение темпов роста и достижение нормального роста в периоде детства за счет с</w:t>
      </w:r>
      <w:r>
        <w:t xml:space="preserve">тимуляции полового созревания. Конечный рост при этом не изменяется. 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u w:val="single"/>
        </w:rPr>
        <w:t>Тестостерон</w:t>
      </w:r>
      <w:r>
        <w:t xml:space="preserve"> применяют только у мальчиков старше 14 лет, с ростом ниже 3 перцентили, в препубертате или ранней стадии </w:t>
      </w:r>
      <w:r>
        <w:rPr>
          <w:lang w:val="en-US"/>
        </w:rPr>
        <w:t>G</w:t>
      </w:r>
      <w:r>
        <w:t>2 по Таннеру, с базальным уровнем тестостерона менее 3,5 нмоль/л. Ис</w:t>
      </w:r>
      <w:r>
        <w:t>пользуют тестостерона энантат по 50-200 мг в/м каждый месяц.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u w:val="single"/>
        </w:rPr>
        <w:lastRenderedPageBreak/>
        <w:t>Оксандролон</w:t>
      </w:r>
      <w:r>
        <w:t xml:space="preserve"> применяется у детей более младшего возраста (10-14 лет). Принимают оксандролон </w:t>
      </w:r>
      <w:r>
        <w:rPr>
          <w:lang w:val="en-US"/>
        </w:rPr>
        <w:t>per</w:t>
      </w:r>
      <w:r>
        <w:t xml:space="preserve"> </w:t>
      </w:r>
      <w:r>
        <w:rPr>
          <w:lang w:val="en-US"/>
        </w:rPr>
        <w:t>os</w:t>
      </w:r>
      <w:r>
        <w:t>, по 0,1 мг/кг в сут в течение от 3 месяцев до 4 лет.</w:t>
      </w:r>
    </w:p>
    <w:p w:rsidR="00612E35" w:rsidRDefault="00F913EE">
      <w:pPr>
        <w:pStyle w:val="a3"/>
        <w:spacing w:line="360" w:lineRule="auto"/>
        <w:ind w:firstLine="709"/>
        <w:jc w:val="both"/>
      </w:pPr>
      <w:r>
        <w:rPr>
          <w:b/>
          <w:caps/>
        </w:rPr>
        <w:t>Литература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bCs/>
          <w:sz w:val="22"/>
          <w:szCs w:val="22"/>
        </w:rPr>
        <w:t xml:space="preserve">Витебская A.B. Антропометрические, гормональные, рентгенологические и молекулярно-генетические проявления идиопатической низкорослости у детей. Диссертация канд. мед. наук. Москва, 2003. 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bCs/>
          <w:sz w:val="22"/>
          <w:szCs w:val="22"/>
        </w:rPr>
        <w:t>Дедов И.И., Петеркова В.А. Детская эндокринология: руководство. Моск</w:t>
      </w:r>
      <w:r>
        <w:rPr>
          <w:bCs/>
          <w:sz w:val="22"/>
          <w:szCs w:val="22"/>
        </w:rPr>
        <w:t>ва, 2006.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bCs/>
          <w:sz w:val="22"/>
          <w:szCs w:val="22"/>
        </w:rPr>
        <w:t xml:space="preserve">Солтаханов Э.М. Семейная низкорослость: патогенез, оптимизация методов диагностики и лечения. Диссертация канд. мед. наук. Москва, 1996. </w:t>
      </w:r>
    </w:p>
    <w:p w:rsidR="00612E35" w:rsidRDefault="00F913EE">
      <w:pPr>
        <w:pStyle w:val="ad"/>
        <w:numPr>
          <w:ilvl w:val="0"/>
          <w:numId w:val="5"/>
        </w:numPr>
        <w:jc w:val="both"/>
      </w:pP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2"/>
          <w:szCs w:val="22"/>
        </w:rPr>
        <w:t>Шандин А.Н. Клинические варианты и молекулярные основы идиопатической низкорослости у детей.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Диссертация </w:t>
      </w:r>
      <w:r>
        <w:rPr>
          <w:bCs/>
          <w:color w:val="000000"/>
          <w:sz w:val="22"/>
          <w:szCs w:val="22"/>
        </w:rPr>
        <w:t>канд. мед. наук. Москва</w:t>
      </w:r>
      <w:r>
        <w:rPr>
          <w:color w:val="000000"/>
          <w:sz w:val="22"/>
          <w:szCs w:val="22"/>
        </w:rPr>
        <w:t xml:space="preserve">, 2011. </w:t>
      </w:r>
    </w:p>
    <w:p w:rsidR="00612E35" w:rsidRDefault="00F913EE">
      <w:pPr>
        <w:pStyle w:val="ad"/>
        <w:numPr>
          <w:ilvl w:val="0"/>
          <w:numId w:val="5"/>
        </w:numPr>
        <w:jc w:val="both"/>
      </w:pPr>
      <w:r>
        <w:rPr>
          <w:sz w:val="22"/>
          <w:szCs w:val="22"/>
        </w:rPr>
        <w:t>Шандин А.Н., Нагаева Е.В., Петеркова В.А.,</w:t>
      </w:r>
      <w:r>
        <w:rPr>
          <w:bCs/>
          <w:sz w:val="22"/>
          <w:szCs w:val="22"/>
        </w:rPr>
        <w:t xml:space="preserve"> Дедов И.И.</w:t>
      </w:r>
      <w:r>
        <w:rPr>
          <w:sz w:val="22"/>
          <w:szCs w:val="22"/>
        </w:rPr>
        <w:t xml:space="preserve"> Эффективность и безопасность применения рекомбинантного гормона роста у детей с идиопатической низкорослостью. Проблемы эндокринологии. 2010; 56(6):14-23.</w:t>
      </w:r>
    </w:p>
    <w:p w:rsidR="00612E35" w:rsidRDefault="00F913EE">
      <w:pPr>
        <w:pStyle w:val="ad"/>
        <w:numPr>
          <w:ilvl w:val="0"/>
          <w:numId w:val="5"/>
        </w:numPr>
        <w:jc w:val="both"/>
      </w:pPr>
      <w:r>
        <w:rPr>
          <w:sz w:val="22"/>
          <w:szCs w:val="22"/>
        </w:rPr>
        <w:t>Шандин А.Н., Пе</w:t>
      </w:r>
      <w:r>
        <w:rPr>
          <w:sz w:val="22"/>
          <w:szCs w:val="22"/>
        </w:rPr>
        <w:t>теркова В.А. Классификация, диагностика и лечение идиопатической низкорослости. Проблемы эндокринологии. 2009; 55(4):36-43.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bCs/>
          <w:sz w:val="22"/>
          <w:szCs w:val="22"/>
        </w:rPr>
        <w:t>Национальный консенсус. Диагностика и лечение соматотропной недостаточности у детей. - М, 2005.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hyperlink r:id="rId10">
        <w:r>
          <w:rPr>
            <w:rStyle w:val="-"/>
            <w:color w:val="00000A"/>
            <w:sz w:val="22"/>
            <w:szCs w:val="22"/>
            <w:u w:val="none"/>
            <w:lang w:val="en-US"/>
          </w:rPr>
          <w:t>Blair</w:t>
        </w:r>
        <w:r w:rsidRPr="00F86A18">
          <w:rPr>
            <w:rStyle w:val="-"/>
            <w:color w:val="00000A"/>
            <w:sz w:val="22"/>
            <w:szCs w:val="22"/>
            <w:u w:val="none"/>
            <w:lang w:val="en-US"/>
          </w:rPr>
          <w:t xml:space="preserve"> </w:t>
        </w:r>
        <w:r>
          <w:rPr>
            <w:rStyle w:val="-"/>
            <w:color w:val="00000A"/>
            <w:sz w:val="22"/>
            <w:szCs w:val="22"/>
            <w:u w:val="none"/>
            <w:lang w:val="en-US"/>
          </w:rPr>
          <w:t>JC</w:t>
        </w:r>
      </w:hyperlink>
      <w:r w:rsidRPr="00F86A18">
        <w:rPr>
          <w:sz w:val="22"/>
          <w:szCs w:val="22"/>
          <w:lang w:val="en-US"/>
        </w:rPr>
        <w:t xml:space="preserve">, </w:t>
      </w:r>
      <w:hyperlink r:id="rId11">
        <w:r>
          <w:rPr>
            <w:rStyle w:val="-"/>
            <w:color w:val="00000A"/>
            <w:sz w:val="22"/>
            <w:szCs w:val="22"/>
            <w:u w:val="none"/>
            <w:lang w:val="en-US"/>
          </w:rPr>
          <w:t>Camacho</w:t>
        </w:r>
        <w:r w:rsidRPr="00F86A18">
          <w:rPr>
            <w:rStyle w:val="-"/>
            <w:color w:val="00000A"/>
            <w:sz w:val="22"/>
            <w:szCs w:val="22"/>
            <w:u w:val="none"/>
            <w:lang w:val="en-US"/>
          </w:rPr>
          <w:t>-</w:t>
        </w:r>
        <w:r>
          <w:rPr>
            <w:rStyle w:val="-"/>
            <w:color w:val="00000A"/>
            <w:sz w:val="22"/>
            <w:szCs w:val="22"/>
            <w:u w:val="none"/>
            <w:lang w:val="en-US"/>
          </w:rPr>
          <w:t>H</w:t>
        </w:r>
        <w:r w:rsidRPr="00F86A18">
          <w:rPr>
            <w:rStyle w:val="-"/>
            <w:color w:val="00000A"/>
            <w:sz w:val="22"/>
            <w:szCs w:val="22"/>
            <w:u w:val="none"/>
            <w:lang w:val="en-US"/>
          </w:rPr>
          <w:t>ü</w:t>
        </w:r>
        <w:r>
          <w:rPr>
            <w:rStyle w:val="-"/>
            <w:color w:val="00000A"/>
            <w:sz w:val="22"/>
            <w:szCs w:val="22"/>
            <w:u w:val="none"/>
            <w:lang w:val="en-US"/>
          </w:rPr>
          <w:t>bner</w:t>
        </w:r>
        <w:r w:rsidRPr="00F86A18">
          <w:rPr>
            <w:rStyle w:val="-"/>
            <w:color w:val="00000A"/>
            <w:sz w:val="22"/>
            <w:szCs w:val="22"/>
            <w:u w:val="none"/>
            <w:lang w:val="en-US"/>
          </w:rPr>
          <w:t xml:space="preserve"> </w:t>
        </w:r>
        <w:r>
          <w:rPr>
            <w:rStyle w:val="-"/>
            <w:color w:val="00000A"/>
            <w:sz w:val="22"/>
            <w:szCs w:val="22"/>
            <w:u w:val="none"/>
            <w:lang w:val="en-US"/>
          </w:rPr>
          <w:t>C</w:t>
        </w:r>
      </w:hyperlink>
      <w:r w:rsidRPr="00F86A18">
        <w:rPr>
          <w:sz w:val="22"/>
          <w:szCs w:val="22"/>
          <w:lang w:val="en-US"/>
        </w:rPr>
        <w:t xml:space="preserve">, </w:t>
      </w:r>
      <w:hyperlink r:id="rId12">
        <w:r>
          <w:rPr>
            <w:rStyle w:val="-"/>
            <w:color w:val="00000A"/>
            <w:sz w:val="22"/>
            <w:szCs w:val="22"/>
            <w:u w:val="none"/>
            <w:lang w:val="en-US"/>
          </w:rPr>
          <w:t>Miraki</w:t>
        </w:r>
        <w:r w:rsidRPr="00F86A18">
          <w:rPr>
            <w:rStyle w:val="-"/>
            <w:color w:val="00000A"/>
            <w:sz w:val="22"/>
            <w:szCs w:val="22"/>
            <w:u w:val="none"/>
            <w:lang w:val="en-US"/>
          </w:rPr>
          <w:t xml:space="preserve"> </w:t>
        </w:r>
        <w:r>
          <w:rPr>
            <w:rStyle w:val="-"/>
            <w:color w:val="00000A"/>
            <w:sz w:val="22"/>
            <w:szCs w:val="22"/>
            <w:u w:val="none"/>
            <w:lang w:val="en-US"/>
          </w:rPr>
          <w:t>Moud</w:t>
        </w:r>
        <w:r w:rsidRPr="00F86A18">
          <w:rPr>
            <w:rStyle w:val="-"/>
            <w:color w:val="00000A"/>
            <w:sz w:val="22"/>
            <w:szCs w:val="22"/>
            <w:u w:val="none"/>
            <w:lang w:val="en-US"/>
          </w:rPr>
          <w:t xml:space="preserve"> </w:t>
        </w:r>
        <w:r>
          <w:rPr>
            <w:rStyle w:val="-"/>
            <w:color w:val="00000A"/>
            <w:sz w:val="22"/>
            <w:szCs w:val="22"/>
            <w:u w:val="none"/>
            <w:lang w:val="en-US"/>
          </w:rPr>
          <w:t>F</w:t>
        </w:r>
      </w:hyperlink>
      <w:r w:rsidRPr="00F86A18">
        <w:rPr>
          <w:sz w:val="22"/>
          <w:szCs w:val="22"/>
          <w:lang w:val="en-US"/>
        </w:rPr>
        <w:t xml:space="preserve">, </w:t>
      </w:r>
      <w:hyperlink r:id="rId13">
        <w:r>
          <w:rPr>
            <w:rStyle w:val="-"/>
            <w:color w:val="00000A"/>
            <w:sz w:val="22"/>
            <w:szCs w:val="22"/>
            <w:u w:val="none"/>
            <w:lang w:val="en-US"/>
          </w:rPr>
          <w:t>Rosberg</w:t>
        </w:r>
        <w:r w:rsidRPr="00F86A18">
          <w:rPr>
            <w:rStyle w:val="-"/>
            <w:color w:val="00000A"/>
            <w:sz w:val="22"/>
            <w:szCs w:val="22"/>
            <w:u w:val="none"/>
            <w:lang w:val="en-US"/>
          </w:rPr>
          <w:t xml:space="preserve"> </w:t>
        </w:r>
        <w:r>
          <w:rPr>
            <w:rStyle w:val="-"/>
            <w:color w:val="00000A"/>
            <w:sz w:val="22"/>
            <w:szCs w:val="22"/>
            <w:u w:val="none"/>
            <w:lang w:val="en-US"/>
          </w:rPr>
          <w:t>S</w:t>
        </w:r>
      </w:hyperlink>
      <w:r w:rsidRPr="00F86A1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et</w:t>
      </w:r>
      <w:r w:rsidRPr="00F86A1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al</w:t>
      </w:r>
      <w:r w:rsidRPr="00F86A18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Standard and low-dose IGF-I generation tests and spontaneous growth hormone secretion in children with idiopathic short stature. </w:t>
      </w:r>
      <w:hyperlink r:id="rId14">
        <w:r>
          <w:rPr>
            <w:rStyle w:val="-"/>
            <w:color w:val="00000A"/>
            <w:sz w:val="22"/>
            <w:szCs w:val="22"/>
            <w:u w:val="none"/>
            <w:lang w:val="en-US"/>
          </w:rPr>
          <w:t>Clin Endocrinol (Oxf).</w:t>
        </w:r>
      </w:hyperlink>
      <w:r>
        <w:rPr>
          <w:rStyle w:val="ti"/>
          <w:sz w:val="22"/>
          <w:szCs w:val="22"/>
          <w:lang w:val="en-US"/>
        </w:rPr>
        <w:t xml:space="preserve"> 2004</w:t>
      </w:r>
      <w:r>
        <w:rPr>
          <w:rStyle w:val="ti"/>
          <w:sz w:val="22"/>
          <w:szCs w:val="22"/>
          <w:lang w:val="en-US"/>
        </w:rPr>
        <w:t xml:space="preserve"> Feb;60(2):163-8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bCs/>
          <w:sz w:val="22"/>
          <w:szCs w:val="22"/>
          <w:lang w:val="en-US"/>
        </w:rPr>
        <w:t>Consensus Statement on the Diagnosis and Treatment of Children with Idiopathic Short Stature: A Summary of the Growth Hormone Research Society, the Lawson Wilkins Pediatric Endocrine Society and the European Society for Paediatric Endocrin</w:t>
      </w:r>
      <w:r>
        <w:rPr>
          <w:bCs/>
          <w:sz w:val="22"/>
          <w:szCs w:val="22"/>
          <w:lang w:val="en-US"/>
        </w:rPr>
        <w:t>ology Workshop /</w:t>
      </w:r>
      <w:r>
        <w:rPr>
          <w:sz w:val="22"/>
          <w:szCs w:val="22"/>
          <w:lang w:val="en-US"/>
        </w:rPr>
        <w:t xml:space="preserve"> J. Clin. Endocrinol. Metab. 2008 Sep 9.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it-IT"/>
        </w:rPr>
        <w:t xml:space="preserve">De Luca F, Argente J, Cavallo L, Crowne E et al. </w:t>
      </w:r>
      <w:r>
        <w:rPr>
          <w:sz w:val="22"/>
          <w:szCs w:val="22"/>
          <w:lang w:val="en-US"/>
        </w:rPr>
        <w:t xml:space="preserve">International Workshop on Management of Puberty for Optimum Auxological Results. Management of puberty in constitutional delay of growth and puberty. </w:t>
      </w:r>
      <w:r>
        <w:rPr>
          <w:sz w:val="22"/>
          <w:szCs w:val="22"/>
          <w:lang w:val="en-US"/>
        </w:rPr>
        <w:t>J Pediatr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Endocrinol Metab. </w:t>
      </w:r>
      <w:r>
        <w:rPr>
          <w:sz w:val="22"/>
          <w:szCs w:val="22"/>
        </w:rPr>
        <w:t>2001; 14 Suppl 2:953-7.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en-US"/>
        </w:rPr>
        <w:t xml:space="preserve">Hero M, Wickman S, Dunkel L. Treatment with the aromatase inhibitor letrozole during adolescence increases near-final height in boys with constitutional delay of puberty. Clin Endocrinol (Oxf). 2006; </w:t>
      </w:r>
      <w:r>
        <w:rPr>
          <w:sz w:val="22"/>
          <w:szCs w:val="22"/>
          <w:lang w:val="en-US"/>
        </w:rPr>
        <w:t>64:510-3.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en-US"/>
        </w:rPr>
        <w:t>Lindsay R, Feldkamp M, Harris D, Robertson J et al. Utah Growth Study: growth standards and the prevalence of growth hormone deficiency. J Pediatr. 1994; 125:29-35.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en-US"/>
        </w:rPr>
        <w:t>Mauras, N Gonzalez de Pijem L, Hsiang HY, Desrosiers P et al. Anastrozole Increas</w:t>
      </w:r>
      <w:r>
        <w:rPr>
          <w:sz w:val="22"/>
          <w:szCs w:val="22"/>
          <w:lang w:val="en-US"/>
        </w:rPr>
        <w:t xml:space="preserve">es Predicted Adult Height of Short Adolescent Males Treated With Growth Hormone: A Randomized, </w:t>
      </w:r>
      <w:r>
        <w:rPr>
          <w:sz w:val="22"/>
          <w:szCs w:val="22"/>
          <w:lang w:val="en-US"/>
        </w:rPr>
        <w:lastRenderedPageBreak/>
        <w:t>Double-blind, Placebo-Controlled Multicenter Trial For One To Three Years. J Clin Endocrinol Metab 2007 Dec 28</w:t>
      </w:r>
    </w:p>
    <w:p w:rsidR="00612E35" w:rsidRPr="00F86A18" w:rsidRDefault="00F913EE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bCs/>
          <w:sz w:val="22"/>
          <w:szCs w:val="22"/>
          <w:lang w:val="en-US"/>
        </w:rPr>
        <w:t>Pediatric Endocrinology (5th edition), by F.Lifshi</w:t>
      </w:r>
      <w:r>
        <w:rPr>
          <w:bCs/>
          <w:sz w:val="22"/>
          <w:szCs w:val="22"/>
          <w:lang w:val="en-US"/>
        </w:rPr>
        <w:t xml:space="preserve">tz, </w:t>
      </w:r>
      <w:r>
        <w:rPr>
          <w:sz w:val="22"/>
          <w:szCs w:val="22"/>
          <w:lang w:val="en-US"/>
        </w:rPr>
        <w:t>Informa Healthcare USA, Inc.</w:t>
      </w:r>
      <w:r>
        <w:rPr>
          <w:bCs/>
          <w:sz w:val="22"/>
          <w:szCs w:val="22"/>
          <w:lang w:val="en-US"/>
        </w:rPr>
        <w:t>, 2007.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en-US"/>
        </w:rPr>
        <w:t>Quigley CA, Gill AM, Crowe BJ, Robling K et al. Safety of growth hormone treatment in pediatric patients with idiopathic short stature. J Clin Endocrinol Metab. 2005; 90:5188-96.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en-US"/>
        </w:rPr>
        <w:t>Ranke M.B., Towards a consensus on th</w:t>
      </w:r>
      <w:r>
        <w:rPr>
          <w:sz w:val="22"/>
          <w:szCs w:val="22"/>
          <w:lang w:val="en-US"/>
        </w:rPr>
        <w:t>e definition of idiopathic short stature, Summary, Horm. Res. 45 (Suppl. 2) (1996) 64–66.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en-US"/>
        </w:rPr>
        <w:t>Rekers-Mombarg L.T.M., Wit J.M., Massa G.G. et al. Spontaneous growth in idiopathic short stature, Arch. Dis. Child. 75</w:t>
      </w:r>
      <w:r>
        <w:rPr>
          <w:sz w:val="22"/>
          <w:szCs w:val="22"/>
        </w:rPr>
        <w:t xml:space="preserve"> (1996) 175–180.</w:t>
      </w:r>
    </w:p>
    <w:p w:rsidR="00612E35" w:rsidRPr="00F86A18" w:rsidRDefault="00F913EE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Rosenfeld R.G., The molecular </w:t>
      </w:r>
      <w:r>
        <w:rPr>
          <w:sz w:val="22"/>
          <w:szCs w:val="22"/>
          <w:lang w:val="en-US"/>
        </w:rPr>
        <w:t>basis of idiopathic short stature, Growth Hormone IGF Res. 15 (2005) S3–S5.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en-US"/>
        </w:rPr>
        <w:t>Rosenfeld R.G., Albertsson-Wikland K., Cassorla F. et al. Diagnostic controversy: the diagnosis of childhood growth hormone deficiency revisited, J. Clin. Endocrinol. Metab. 80 (19</w:t>
      </w:r>
      <w:r>
        <w:rPr>
          <w:sz w:val="22"/>
          <w:szCs w:val="22"/>
          <w:lang w:val="en-US"/>
        </w:rPr>
        <w:t>95) 1532–1540.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fr-FR"/>
        </w:rPr>
        <w:t xml:space="preserve">Ross JL, Sandberg DE, Rose SR, Leschek EW et al. </w:t>
      </w:r>
      <w:r>
        <w:rPr>
          <w:sz w:val="22"/>
          <w:szCs w:val="22"/>
          <w:lang w:val="en-US"/>
        </w:rPr>
        <w:t>Psychological adaptation in children with idiopathic short stature treated with growth hormone or placebo. J Clin Endocrinol Metab. 2004; 89:4873-8.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hyperlink r:id="rId15">
        <w:r>
          <w:rPr>
            <w:rStyle w:val="-"/>
            <w:color w:val="00000A"/>
            <w:sz w:val="22"/>
            <w:szCs w:val="22"/>
            <w:u w:val="none"/>
            <w:lang w:val="en-US"/>
          </w:rPr>
          <w:t>Selva KA</w:t>
        </w:r>
      </w:hyperlink>
      <w:r>
        <w:rPr>
          <w:sz w:val="22"/>
          <w:szCs w:val="22"/>
          <w:lang w:val="en-US"/>
        </w:rPr>
        <w:t xml:space="preserve">, </w:t>
      </w:r>
      <w:hyperlink r:id="rId16">
        <w:r>
          <w:rPr>
            <w:rStyle w:val="-"/>
            <w:color w:val="00000A"/>
            <w:sz w:val="22"/>
            <w:szCs w:val="22"/>
            <w:u w:val="none"/>
            <w:lang w:val="en-US"/>
          </w:rPr>
          <w:t>Buckway CK</w:t>
        </w:r>
      </w:hyperlink>
      <w:r>
        <w:rPr>
          <w:sz w:val="22"/>
          <w:szCs w:val="22"/>
          <w:lang w:val="en-US"/>
        </w:rPr>
        <w:t xml:space="preserve">, </w:t>
      </w:r>
      <w:hyperlink r:id="rId17">
        <w:r>
          <w:rPr>
            <w:rStyle w:val="-"/>
            <w:color w:val="00000A"/>
            <w:sz w:val="22"/>
            <w:szCs w:val="22"/>
            <w:u w:val="none"/>
            <w:lang w:val="en-US"/>
          </w:rPr>
          <w:t>Sexton G</w:t>
        </w:r>
      </w:hyperlink>
      <w:r>
        <w:rPr>
          <w:sz w:val="22"/>
          <w:szCs w:val="22"/>
          <w:lang w:val="en-US"/>
        </w:rPr>
        <w:t xml:space="preserve">, </w:t>
      </w:r>
      <w:hyperlink r:id="rId18">
        <w:r>
          <w:rPr>
            <w:rStyle w:val="-"/>
            <w:color w:val="00000A"/>
            <w:sz w:val="22"/>
            <w:szCs w:val="22"/>
            <w:u w:val="none"/>
            <w:lang w:val="en-US"/>
          </w:rPr>
          <w:t>Pratt KL</w:t>
        </w:r>
      </w:hyperlink>
      <w:r>
        <w:rPr>
          <w:sz w:val="22"/>
          <w:szCs w:val="22"/>
          <w:lang w:val="en-US"/>
        </w:rPr>
        <w:t xml:space="preserve"> et al. Reproduci</w:t>
      </w:r>
      <w:r>
        <w:rPr>
          <w:sz w:val="22"/>
          <w:szCs w:val="22"/>
          <w:lang w:val="en-US"/>
        </w:rPr>
        <w:t xml:space="preserve">bility in patterns of IGF generation with special reference to idiopathic short stature. </w:t>
      </w:r>
      <w:hyperlink r:id="rId19">
        <w:r>
          <w:rPr>
            <w:rStyle w:val="-"/>
            <w:color w:val="00000A"/>
            <w:sz w:val="22"/>
            <w:szCs w:val="22"/>
            <w:u w:val="none"/>
            <w:lang w:val="en-US"/>
          </w:rPr>
          <w:t>Horm Res.</w:t>
        </w:r>
      </w:hyperlink>
      <w:r>
        <w:rPr>
          <w:rStyle w:val="ti"/>
          <w:sz w:val="22"/>
          <w:szCs w:val="22"/>
          <w:lang w:val="en-US"/>
        </w:rPr>
        <w:t xml:space="preserve"> 2003;60(5):237-4</w:t>
      </w:r>
      <w:r>
        <w:rPr>
          <w:rStyle w:val="ti"/>
          <w:sz w:val="22"/>
          <w:szCs w:val="22"/>
        </w:rPr>
        <w:t>6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hyperlink r:id="rId20">
        <w:r>
          <w:rPr>
            <w:rStyle w:val="-"/>
            <w:bCs/>
            <w:color w:val="00000A"/>
            <w:sz w:val="22"/>
            <w:szCs w:val="22"/>
            <w:u w:val="none"/>
            <w:lang w:val="en-US"/>
          </w:rPr>
          <w:t>Smyczyńska J</w:t>
        </w:r>
      </w:hyperlink>
      <w:r>
        <w:rPr>
          <w:sz w:val="22"/>
          <w:szCs w:val="22"/>
          <w:lang w:val="en-US"/>
        </w:rPr>
        <w:t xml:space="preserve">, </w:t>
      </w:r>
      <w:hyperlink r:id="rId21">
        <w:r>
          <w:rPr>
            <w:rStyle w:val="-"/>
            <w:bCs/>
            <w:color w:val="00000A"/>
            <w:sz w:val="22"/>
            <w:szCs w:val="22"/>
            <w:u w:val="none"/>
            <w:lang w:val="en-US"/>
          </w:rPr>
          <w:t>Lewiński A</w:t>
        </w:r>
      </w:hyperlink>
      <w:r>
        <w:rPr>
          <w:sz w:val="22"/>
          <w:szCs w:val="22"/>
          <w:lang w:val="en-US"/>
        </w:rPr>
        <w:t xml:space="preserve">, </w:t>
      </w:r>
      <w:hyperlink r:id="rId22">
        <w:r>
          <w:rPr>
            <w:rStyle w:val="-"/>
            <w:bCs/>
            <w:color w:val="00000A"/>
            <w:sz w:val="22"/>
            <w:szCs w:val="22"/>
            <w:u w:val="none"/>
            <w:lang w:val="en-US"/>
          </w:rPr>
          <w:t>Hilczer M</w:t>
        </w:r>
      </w:hyperlink>
      <w:r>
        <w:rPr>
          <w:sz w:val="22"/>
          <w:szCs w:val="22"/>
          <w:lang w:val="en-US"/>
        </w:rPr>
        <w:t xml:space="preserve">, </w:t>
      </w:r>
      <w:hyperlink r:id="rId23">
        <w:r>
          <w:rPr>
            <w:rStyle w:val="-"/>
            <w:bCs/>
            <w:color w:val="00000A"/>
            <w:sz w:val="22"/>
            <w:szCs w:val="22"/>
            <w:u w:val="none"/>
            <w:lang w:val="en-US"/>
          </w:rPr>
          <w:t>Stawerska R</w:t>
        </w:r>
      </w:hyperlink>
      <w:r>
        <w:rPr>
          <w:sz w:val="22"/>
          <w:szCs w:val="22"/>
          <w:lang w:val="en-US"/>
        </w:rPr>
        <w:t xml:space="preserve"> et al. Partial growth hormone deficiency (GHD) in children has more similarities to idiopathic short stature than to severe GHD. </w:t>
      </w:r>
      <w:hyperlink r:id="rId24">
        <w:r>
          <w:rPr>
            <w:rStyle w:val="-"/>
            <w:color w:val="00000A"/>
            <w:sz w:val="22"/>
            <w:szCs w:val="22"/>
            <w:u w:val="none"/>
            <w:lang w:val="en-US"/>
          </w:rPr>
          <w:t>Endokrynol Pol.</w:t>
        </w:r>
      </w:hyperlink>
      <w:r>
        <w:rPr>
          <w:rStyle w:val="ti"/>
          <w:sz w:val="22"/>
          <w:szCs w:val="22"/>
          <w:lang w:val="en-US"/>
        </w:rPr>
        <w:t xml:space="preserve"> 2007 May-Jun;58(3):182-7.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en-US"/>
        </w:rPr>
        <w:t>Tanaka T. Suf</w:t>
      </w:r>
      <w:r>
        <w:rPr>
          <w:sz w:val="22"/>
          <w:szCs w:val="22"/>
          <w:lang w:val="en-US"/>
        </w:rPr>
        <w:t>ficiently long-term treatment with combined growth hormone and gonadotropin-releasing hormone analogue can improve adult height in short children with isolated growth hormone deficiency (GHD) and non-GHD short children. Pediatric Endocrine Reviews. 2007; 5</w:t>
      </w:r>
      <w:r>
        <w:rPr>
          <w:sz w:val="22"/>
          <w:szCs w:val="22"/>
          <w:lang w:val="en-US"/>
        </w:rPr>
        <w:t>:471-481.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en-US"/>
        </w:rPr>
        <w:t>van Gool SA, Kamp GA, Visser-van Balen H, Mul D et al. Final height outcome after three years of growth hormone and gonadotropin-releasing hormone agonist treatment in short adolescents with relatively early puberty. J Clin Endocrinol Metab. 2007</w:t>
      </w:r>
      <w:r>
        <w:rPr>
          <w:sz w:val="22"/>
          <w:szCs w:val="22"/>
          <w:lang w:val="en-US"/>
        </w:rPr>
        <w:t>; 92:1402-8.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de-DE"/>
        </w:rPr>
        <w:t xml:space="preserve">Visser-van Balen H, Geenen R, Kamp GA, Huisman J et al. </w:t>
      </w:r>
      <w:r>
        <w:rPr>
          <w:sz w:val="22"/>
          <w:szCs w:val="22"/>
          <w:lang w:val="en-US"/>
        </w:rPr>
        <w:t>Long-term psychosocial consequences of hormone treatment for short stature. Acta Paediatr. 2007; 96:715-9</w:t>
      </w:r>
    </w:p>
    <w:p w:rsidR="00612E35" w:rsidRDefault="00F913E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spacing w:line="360" w:lineRule="auto"/>
        <w:ind w:left="0" w:right="19" w:firstLine="0"/>
        <w:jc w:val="both"/>
      </w:pPr>
      <w:r>
        <w:rPr>
          <w:sz w:val="22"/>
          <w:szCs w:val="22"/>
          <w:lang w:val="en-US"/>
        </w:rPr>
        <w:t xml:space="preserve">Walenkamp MJ, Wit JM: Genetic disorders in the growth hormone- insulin-like </w:t>
      </w:r>
      <w:r>
        <w:rPr>
          <w:sz w:val="22"/>
          <w:szCs w:val="22"/>
          <w:lang w:val="en-US"/>
        </w:rPr>
        <w:t>growth factor-1-axis. Horm Res 2006; 66:221-230.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en-US"/>
        </w:rPr>
        <w:t>Walton-Betancourth S., Martinelli C.E., Thalange N.K.S., Dyke M.P. et al. Excellent growth response to growth hormone therapy in a child with PTPN11-negative Noonan syndrome and features of growth hormone re</w:t>
      </w:r>
      <w:r>
        <w:rPr>
          <w:sz w:val="22"/>
          <w:szCs w:val="22"/>
          <w:lang w:val="en-US"/>
        </w:rPr>
        <w:t>sistance. J. Endocrinol. Invest. 30: 439-441, 2007.</w:t>
      </w:r>
    </w:p>
    <w:p w:rsidR="00612E35" w:rsidRPr="00F86A18" w:rsidRDefault="00F913EE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sz w:val="22"/>
          <w:szCs w:val="22"/>
          <w:lang w:val="en-US"/>
        </w:rPr>
        <w:lastRenderedPageBreak/>
        <w:t xml:space="preserve">Wit JM, Clayton PE, Rogol AD, Savage MO et al. Idiopathic short stature: Definition, epidemiology, and diagnostic evaluation. </w:t>
      </w:r>
      <w:r>
        <w:rPr>
          <w:bCs/>
          <w:sz w:val="22"/>
          <w:szCs w:val="22"/>
          <w:lang w:val="en-US"/>
        </w:rPr>
        <w:t>/</w:t>
      </w:r>
      <w:r>
        <w:rPr>
          <w:sz w:val="22"/>
          <w:szCs w:val="22"/>
          <w:lang w:val="en-US"/>
        </w:rPr>
        <w:t>Growth Horm IGF Res. 2008 Jan 5.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en-US"/>
        </w:rPr>
        <w:t>Wit J.M., Ranke M.B., Kelnar C.J.H. ESPE cla</w:t>
      </w:r>
      <w:r>
        <w:rPr>
          <w:sz w:val="22"/>
          <w:szCs w:val="22"/>
          <w:lang w:val="en-US"/>
        </w:rPr>
        <w:t>ssification of paediatric endocrine diagnoses, Horm. Res. 68 (Suppl. 2) (2007) 1–120.</w:t>
      </w:r>
    </w:p>
    <w:p w:rsidR="00612E35" w:rsidRPr="00F86A18" w:rsidRDefault="00F913EE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sz w:val="22"/>
          <w:szCs w:val="22"/>
          <w:lang w:val="de-DE"/>
        </w:rPr>
        <w:t xml:space="preserve">Wit JM, Reiter EO, Ross JL, Saenger PH et al. </w:t>
      </w:r>
      <w:r>
        <w:rPr>
          <w:sz w:val="22"/>
          <w:szCs w:val="22"/>
          <w:lang w:val="en-US"/>
        </w:rPr>
        <w:t xml:space="preserve">Idiopathic short stature: Management and growth hormone treatment. </w:t>
      </w:r>
      <w:r>
        <w:rPr>
          <w:bCs/>
          <w:sz w:val="22"/>
          <w:szCs w:val="22"/>
          <w:lang w:val="en-US"/>
        </w:rPr>
        <w:t>/</w:t>
      </w:r>
      <w:r>
        <w:rPr>
          <w:sz w:val="22"/>
          <w:szCs w:val="22"/>
          <w:lang w:val="en-US"/>
        </w:rPr>
        <w:t xml:space="preserve">Growth Horm IGF Res. 2008 Jan 4. </w:t>
      </w:r>
    </w:p>
    <w:p w:rsidR="00612E35" w:rsidRDefault="00F913EE">
      <w:pPr>
        <w:pStyle w:val="a3"/>
        <w:numPr>
          <w:ilvl w:val="0"/>
          <w:numId w:val="5"/>
        </w:numPr>
        <w:jc w:val="both"/>
      </w:pPr>
      <w:r>
        <w:rPr>
          <w:sz w:val="22"/>
          <w:szCs w:val="22"/>
          <w:lang w:val="it-IT"/>
        </w:rPr>
        <w:t xml:space="preserve">Yanovski JA, Rose SR, </w:t>
      </w:r>
      <w:r>
        <w:rPr>
          <w:sz w:val="22"/>
          <w:szCs w:val="22"/>
          <w:lang w:val="it-IT"/>
        </w:rPr>
        <w:t xml:space="preserve">Municchi G, Pescovitz OH et al. </w:t>
      </w:r>
      <w:r>
        <w:rPr>
          <w:sz w:val="22"/>
          <w:szCs w:val="22"/>
          <w:lang w:val="en-US"/>
        </w:rPr>
        <w:t>Treatment with a luteinizing hormone-releasing hormone agonist in adolescents with short stature. N Engl J Med. 2003; 348:908-17.</w:t>
      </w:r>
    </w:p>
    <w:p w:rsidR="00612E35" w:rsidRDefault="00612E35">
      <w:pPr>
        <w:pStyle w:val="a3"/>
        <w:ind w:left="720"/>
      </w:pPr>
    </w:p>
    <w:p w:rsidR="00612E35" w:rsidRDefault="00612E35">
      <w:pPr>
        <w:pStyle w:val="a3"/>
        <w:widowControl w:val="0"/>
        <w:shd w:val="clear" w:color="auto" w:fill="FFFFFF"/>
        <w:tabs>
          <w:tab w:val="left" w:pos="384"/>
        </w:tabs>
        <w:spacing w:line="360" w:lineRule="auto"/>
        <w:ind w:right="19"/>
        <w:jc w:val="both"/>
      </w:pPr>
    </w:p>
    <w:p w:rsidR="00612E35" w:rsidRDefault="00612E35">
      <w:pPr>
        <w:pStyle w:val="a3"/>
        <w:spacing w:line="360" w:lineRule="auto"/>
        <w:ind w:firstLine="709"/>
        <w:jc w:val="both"/>
      </w:pPr>
    </w:p>
    <w:sectPr w:rsidR="00612E35">
      <w:footerReference w:type="default" r:id="rId25"/>
      <w:pgSz w:w="11906" w:h="16838"/>
      <w:pgMar w:top="1134" w:right="850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EE" w:rsidRDefault="00F913EE">
      <w:pPr>
        <w:spacing w:after="0" w:line="240" w:lineRule="auto"/>
      </w:pPr>
      <w:r>
        <w:separator/>
      </w:r>
    </w:p>
  </w:endnote>
  <w:endnote w:type="continuationSeparator" w:id="0">
    <w:p w:rsidR="00F913EE" w:rsidRDefault="00F9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35" w:rsidRDefault="00F913EE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F86A18">
      <w:rPr>
        <w:noProof/>
      </w:rPr>
      <w:t>1</w:t>
    </w:r>
    <w:r>
      <w:fldChar w:fldCharType="end"/>
    </w:r>
  </w:p>
  <w:p w:rsidR="00612E35" w:rsidRDefault="00612E3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EE" w:rsidRDefault="00F913EE">
      <w:pPr>
        <w:spacing w:after="0" w:line="240" w:lineRule="auto"/>
      </w:pPr>
      <w:r>
        <w:separator/>
      </w:r>
    </w:p>
  </w:footnote>
  <w:footnote w:type="continuationSeparator" w:id="0">
    <w:p w:rsidR="00F913EE" w:rsidRDefault="00F9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126"/>
    <w:multiLevelType w:val="multilevel"/>
    <w:tmpl w:val="B2D05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9B7"/>
    <w:multiLevelType w:val="multilevel"/>
    <w:tmpl w:val="38823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6A0410"/>
    <w:multiLevelType w:val="multilevel"/>
    <w:tmpl w:val="0C4034A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44E25D12"/>
    <w:multiLevelType w:val="multilevel"/>
    <w:tmpl w:val="99143F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7704FAD"/>
    <w:multiLevelType w:val="multilevel"/>
    <w:tmpl w:val="B464C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5">
    <w:nsid w:val="7BB3684F"/>
    <w:multiLevelType w:val="multilevel"/>
    <w:tmpl w:val="DABC187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35"/>
    <w:rsid w:val="00612E35"/>
    <w:rsid w:val="00F86A18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ti">
    <w:name w:val="ti"/>
    <w:basedOn w:val="a0"/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Title"/>
    <w:basedOn w:val="a3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3"/>
    <w:pPr>
      <w:suppressLineNumbers/>
    </w:pPr>
    <w:rPr>
      <w:rFonts w:cs="Lucida Sans"/>
    </w:rPr>
  </w:style>
  <w:style w:type="paragraph" w:styleId="ac">
    <w:name w:val="Balloon Text"/>
    <w:basedOn w:val="a3"/>
    <w:rPr>
      <w:rFonts w:ascii="Tahoma" w:hAnsi="Tahoma" w:cs="Tahoma"/>
      <w:sz w:val="16"/>
      <w:szCs w:val="16"/>
    </w:rPr>
  </w:style>
  <w:style w:type="paragraph" w:styleId="ad">
    <w:name w:val="List Paragraph"/>
    <w:basedOn w:val="a3"/>
    <w:pPr>
      <w:ind w:left="720"/>
    </w:pPr>
  </w:style>
  <w:style w:type="paragraph" w:styleId="ae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3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ti">
    <w:name w:val="ti"/>
    <w:basedOn w:val="a0"/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Title"/>
    <w:basedOn w:val="a3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3"/>
    <w:pPr>
      <w:suppressLineNumbers/>
    </w:pPr>
    <w:rPr>
      <w:rFonts w:cs="Lucida Sans"/>
    </w:rPr>
  </w:style>
  <w:style w:type="paragraph" w:styleId="ac">
    <w:name w:val="Balloon Text"/>
    <w:basedOn w:val="a3"/>
    <w:rPr>
      <w:rFonts w:ascii="Tahoma" w:hAnsi="Tahoma" w:cs="Tahoma"/>
      <w:sz w:val="16"/>
      <w:szCs w:val="16"/>
    </w:rPr>
  </w:style>
  <w:style w:type="paragraph" w:styleId="ad">
    <w:name w:val="List Paragraph"/>
    <w:basedOn w:val="a3"/>
    <w:pPr>
      <w:ind w:left="720"/>
    </w:pPr>
  </w:style>
  <w:style w:type="paragraph" w:styleId="ae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3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bi.nlm.nih.gov/sites/entrez?Db=pubmed&amp;Cmd=Search&amp;Term=%22Rosberg%20S%22%5BAuthor%5D&amp;itool=EntrezSystem2.PEntrez.Pubmed.Pubmed_ResultsPanel.Pubmed_RVAbstractPlus" TargetMode="External"/><Relationship Id="rId18" Type="http://schemas.openxmlformats.org/officeDocument/2006/relationships/hyperlink" Target="http://www.ncbi.nlm.nih.gov/sites/entrez?Db=pubmed&amp;Cmd=Search&amp;Term=%22Pratt%20KL%22%5BAuthor%5D&amp;itool=EntrezSystem2.PEntrez.Pubmed.Pubmed_ResultsPanel.Pubmed_RVAbstractPlu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sites/entrez?Db=pubmed&amp;Cmd=Search&amp;Term=%22Lewi&#324;ski%20A%22%5BAuthor%5D&amp;itool=EntrezSystem2.PEntrez.Pubmed.Pubmed_ResultsPanel.Pubmed_RVAbstractPl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sites/entrez?Db=pubmed&amp;Cmd=Search&amp;Term=%22Miraki%20Moud%20F%22%5BAuthor%5D&amp;itool=EntrezSystem2.PEntrez.Pubmed.Pubmed_ResultsPanel.Pubmed_RVAbstractPlus" TargetMode="External"/><Relationship Id="rId17" Type="http://schemas.openxmlformats.org/officeDocument/2006/relationships/hyperlink" Target="http://www.ncbi.nlm.nih.gov/sites/entrez?Db=pubmed&amp;Cmd=Search&amp;Term=%22Sexton%20G%22%5BAuthor%5D&amp;itool=EntrezSystem2.PEntrez.Pubmed.Pubmed_ResultsPanel.Pubmed_RVAbstractPlu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sites/entrez?Db=pubmed&amp;Cmd=Search&amp;Term=%22Buckway%20CK%22%5BAuthor%5D&amp;itool=EntrezSystem2.PEntrez.Pubmed.Pubmed_ResultsPanel.Pubmed_RVAbstractPlus" TargetMode="External"/><Relationship Id="rId20" Type="http://schemas.openxmlformats.org/officeDocument/2006/relationships/hyperlink" Target="http://www.ncbi.nlm.nih.gov/sites/entrez?Db=pubmed&amp;Cmd=Search&amp;Term=%22Smyczy&#324;ska%20J%22%5BAuthor%5D&amp;itool=EntrezSystem2.PEntrez.Pubmed.Pubmed_ResultsPanel.Pubmed_RVAbstractPl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sites/entrez?Db=pubmed&amp;Cmd=Search&amp;Term=%22Camacho-H&#252;bner%20C%22%5BAuthor%5D&amp;itool=EntrezSystem2.PEntrez.Pubmed.Pubmed_ResultsPanel.Pubmed_RVAbstractPlus" TargetMode="External"/><Relationship Id="rId24" Type="http://schemas.openxmlformats.org/officeDocument/2006/relationships/hyperlink" Target="javascript:AL_get(this,%20'jour',%20'Endokrynol%20Pol.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sites/entrez?Db=pubmed&amp;Cmd=Search&amp;Term=%22Selva%20KA%22%5BAuthor%5D&amp;itool=EntrezSystem2.PEntrez.Pubmed.Pubmed_ResultsPanel.Pubmed_RVAbstractPlus" TargetMode="External"/><Relationship Id="rId23" Type="http://schemas.openxmlformats.org/officeDocument/2006/relationships/hyperlink" Target="http://www.ncbi.nlm.nih.gov/sites/entrez?Db=pubmed&amp;Cmd=Search&amp;Term=%22Stawerska%20R%22%5BAuthor%5D&amp;itool=EntrezSystem2.PEntrez.Pubmed.Pubmed_ResultsPanel.Pubmed_RVAbstractPlus" TargetMode="External"/><Relationship Id="rId10" Type="http://schemas.openxmlformats.org/officeDocument/2006/relationships/hyperlink" Target="http://www.ncbi.nlm.nih.gov/sites/entrez?Db=pubmed&amp;Cmd=Search&amp;Term=%22Blair%20JC%22%5BAuthor%5D&amp;itool=EntrezSystem2.PEntrez.Pubmed.Pubmed_ResultsPanel.Pubmed_RVAbstractPlus" TargetMode="External"/><Relationship Id="rId19" Type="http://schemas.openxmlformats.org/officeDocument/2006/relationships/hyperlink" Target="javascript:AL_get(this,%20'jour',%20'Horm%20Res.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javascript:AL_get(this,%20'jour',%20'Clin%20Endocrinol%20(Oxf).');" TargetMode="External"/><Relationship Id="rId22" Type="http://schemas.openxmlformats.org/officeDocument/2006/relationships/hyperlink" Target="http://www.ncbi.nlm.nih.gov/sites/entrez?Db=pubmed&amp;Cmd=Search&amp;Term=%22Hilczer%20M%22%5BAuthor%5D&amp;itool=EntrezSystem2.PEntrez.Pubmed.Pubmed_ResultsPanel.Pubmed_RVAbstractPl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Мария Станиславовна</dc:creator>
  <cp:lastModifiedBy>HP</cp:lastModifiedBy>
  <cp:revision>2</cp:revision>
  <cp:lastPrinted>2014-02-18T11:51:00Z</cp:lastPrinted>
  <dcterms:created xsi:type="dcterms:W3CDTF">2015-03-18T10:13:00Z</dcterms:created>
  <dcterms:modified xsi:type="dcterms:W3CDTF">2015-03-18T10:13:00Z</dcterms:modified>
</cp:coreProperties>
</file>