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DF" w:rsidRDefault="00D165C3">
      <w:pPr>
        <w:pStyle w:val="1"/>
        <w:jc w:val="center"/>
      </w:pPr>
      <w:bookmarkStart w:id="0" w:name="_GoBack"/>
      <w:bookmarkEnd w:id="0"/>
      <w:r>
        <w:t>Федеральные клинические рекомендации – протоколы по ведению пациентов с врожденной дисфункцией коры надпочечников в детском возрасте</w:t>
      </w:r>
    </w:p>
    <w:p w:rsidR="006E3BDF" w:rsidRDefault="006E3BDF">
      <w:pPr>
        <w:pStyle w:val="a0"/>
      </w:pPr>
    </w:p>
    <w:p w:rsidR="006E3BDF" w:rsidRDefault="00D165C3">
      <w:pPr>
        <w:pStyle w:val="1"/>
      </w:pPr>
      <w:r>
        <w:rPr>
          <w:sz w:val="24"/>
          <w:szCs w:val="24"/>
        </w:rPr>
        <w:t>Определение</w:t>
      </w:r>
    </w:p>
    <w:p w:rsidR="006E3BDF" w:rsidRDefault="00D165C3">
      <w:pPr>
        <w:pStyle w:val="a0"/>
        <w:jc w:val="both"/>
      </w:pPr>
      <w:r>
        <w:rPr>
          <w:b/>
          <w:sz w:val="24"/>
          <w:szCs w:val="24"/>
        </w:rPr>
        <w:t>Врожденная дисфункция коры надпочечников</w:t>
      </w:r>
      <w:r>
        <w:rPr>
          <w:sz w:val="24"/>
          <w:szCs w:val="24"/>
        </w:rPr>
        <w:t xml:space="preserve"> (адреногенитальный синдром, врожденная надпочечниковая гиперплазия) – группа заболеваний с аутосомно-рецессивным типом наследования, в основе которых лежит дефект одного из ферментов или транспортных белков, принимающих участие в биосинтезе кортизола в ко</w:t>
      </w:r>
      <w:r>
        <w:rPr>
          <w:sz w:val="24"/>
          <w:szCs w:val="24"/>
        </w:rPr>
        <w:t>ре надпочечников. На сегодняшний день известно 7 форм врожденной дисфункции коры надпочечников (ВДКН):</w:t>
      </w:r>
    </w:p>
    <w:p w:rsidR="006E3BDF" w:rsidRDefault="00D165C3">
      <w:pPr>
        <w:pStyle w:val="aa"/>
        <w:numPr>
          <w:ilvl w:val="0"/>
          <w:numId w:val="1"/>
        </w:numPr>
      </w:pPr>
      <w:r>
        <w:rPr>
          <w:sz w:val="24"/>
          <w:szCs w:val="24"/>
        </w:rPr>
        <w:t xml:space="preserve">Дефект </w:t>
      </w:r>
      <w:r>
        <w:rPr>
          <w:sz w:val="24"/>
          <w:szCs w:val="24"/>
          <w:lang w:val="en-US"/>
        </w:rPr>
        <w:t>STAR</w:t>
      </w:r>
    </w:p>
    <w:p w:rsidR="006E3BDF" w:rsidRDefault="00D165C3">
      <w:pPr>
        <w:pStyle w:val="aa"/>
        <w:numPr>
          <w:ilvl w:val="0"/>
          <w:numId w:val="1"/>
        </w:numPr>
      </w:pPr>
      <w:r>
        <w:rPr>
          <w:sz w:val="24"/>
          <w:szCs w:val="24"/>
        </w:rPr>
        <w:t>Дефицит 20,22-десмолазы (11α-гидроксилазы)</w:t>
      </w:r>
    </w:p>
    <w:p w:rsidR="006E3BDF" w:rsidRDefault="00D165C3">
      <w:pPr>
        <w:pStyle w:val="aa"/>
        <w:numPr>
          <w:ilvl w:val="0"/>
          <w:numId w:val="1"/>
        </w:numPr>
      </w:pPr>
      <w:r>
        <w:rPr>
          <w:sz w:val="24"/>
          <w:szCs w:val="24"/>
        </w:rPr>
        <w:t>Дефицит 17α-гидроксилазы</w:t>
      </w:r>
      <w:r>
        <w:rPr>
          <w:sz w:val="24"/>
          <w:szCs w:val="24"/>
          <w:lang w:val="en-US"/>
        </w:rPr>
        <w:t>/</w:t>
      </w:r>
      <w:r>
        <w:rPr>
          <w:sz w:val="24"/>
          <w:szCs w:val="24"/>
        </w:rPr>
        <w:t>17,20-лиазы</w:t>
      </w:r>
    </w:p>
    <w:p w:rsidR="006E3BDF" w:rsidRDefault="00D165C3">
      <w:pPr>
        <w:pStyle w:val="aa"/>
        <w:numPr>
          <w:ilvl w:val="0"/>
          <w:numId w:val="1"/>
        </w:numPr>
      </w:pPr>
      <w:r>
        <w:rPr>
          <w:sz w:val="24"/>
          <w:szCs w:val="24"/>
        </w:rPr>
        <w:t>Дефицит 3β-гидроксистероиддегидрогеназы</w:t>
      </w:r>
    </w:p>
    <w:p w:rsidR="006E3BDF" w:rsidRDefault="00D165C3">
      <w:pPr>
        <w:pStyle w:val="aa"/>
        <w:numPr>
          <w:ilvl w:val="0"/>
          <w:numId w:val="1"/>
        </w:numPr>
      </w:pPr>
      <w:r>
        <w:rPr>
          <w:sz w:val="24"/>
          <w:szCs w:val="24"/>
        </w:rPr>
        <w:t>Дефицит 21-гидроксила</w:t>
      </w:r>
      <w:r>
        <w:rPr>
          <w:sz w:val="24"/>
          <w:szCs w:val="24"/>
        </w:rPr>
        <w:t>зы</w:t>
      </w:r>
    </w:p>
    <w:p w:rsidR="006E3BDF" w:rsidRDefault="00D165C3">
      <w:pPr>
        <w:pStyle w:val="aa"/>
        <w:numPr>
          <w:ilvl w:val="0"/>
          <w:numId w:val="1"/>
        </w:numPr>
      </w:pPr>
      <w:r>
        <w:rPr>
          <w:sz w:val="24"/>
          <w:szCs w:val="24"/>
        </w:rPr>
        <w:t>Дефицит 11β-гидроксилазы</w:t>
      </w:r>
    </w:p>
    <w:p w:rsidR="006E3BDF" w:rsidRDefault="00D165C3">
      <w:pPr>
        <w:pStyle w:val="aa"/>
        <w:numPr>
          <w:ilvl w:val="0"/>
          <w:numId w:val="1"/>
        </w:numPr>
      </w:pPr>
      <w:r>
        <w:rPr>
          <w:sz w:val="24"/>
          <w:szCs w:val="24"/>
        </w:rPr>
        <w:t>Дефицит оксидоредуктазы</w:t>
      </w:r>
    </w:p>
    <w:p w:rsidR="006E3BDF" w:rsidRDefault="00D165C3">
      <w:pPr>
        <w:pStyle w:val="1"/>
      </w:pPr>
      <w:r>
        <w:rPr>
          <w:sz w:val="24"/>
          <w:szCs w:val="24"/>
        </w:rPr>
        <w:t>Эпидемиология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Самой частой формой ВДКН является дефицит 21-гидроксилазы, на который приходится более 90% всех пациентов с ВДКН. Частота данного заболевания в мировой популяции, рассчитанная по данным неон</w:t>
      </w:r>
      <w:r>
        <w:rPr>
          <w:sz w:val="24"/>
          <w:szCs w:val="24"/>
        </w:rPr>
        <w:t>атального скрининга, составляет 1 случай на 14000 живых новорожденных. В России по данным скрининга частота составляет 1:9500. Учитывая аутосомно-рецессивный тип наследования данной патологии, существуют популяции с более высокой частотой данной патологии,</w:t>
      </w:r>
      <w:r>
        <w:rPr>
          <w:sz w:val="24"/>
          <w:szCs w:val="24"/>
        </w:rPr>
        <w:t xml:space="preserve"> например некоторые этнические группы на Северном Кавказе, где распространены близкородственные браки. Распространенность неклассической формы дефицита 21-гидроксилазы составляет 0,1-0,2% в мировой популяции, значительно чаще данная форма встречается среди</w:t>
      </w:r>
      <w:r>
        <w:rPr>
          <w:sz w:val="24"/>
          <w:szCs w:val="24"/>
        </w:rPr>
        <w:t xml:space="preserve"> евреев Ашкенази – 1-2%.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Второй по частоте формой ВДКН является дефицит 11β-гидроксилазы. В мировой популяции частота встречаемости данной формы ВДКН в 10 раз ниже, чем классических форм дефицита 21-гидроксилазы. Частота встречаемости дефицита 11β-гидрокси</w:t>
      </w:r>
      <w:r>
        <w:rPr>
          <w:sz w:val="24"/>
          <w:szCs w:val="24"/>
        </w:rPr>
        <w:t>лазы в России не изучена. Остальные формы ВДКН встречаются еще реже.</w:t>
      </w:r>
    </w:p>
    <w:p w:rsidR="006E3BDF" w:rsidRDefault="00D165C3">
      <w:pPr>
        <w:pStyle w:val="a0"/>
        <w:jc w:val="both"/>
      </w:pPr>
      <w:r>
        <w:rPr>
          <w:i/>
          <w:color w:val="365F91"/>
          <w:sz w:val="24"/>
          <w:szCs w:val="24"/>
        </w:rPr>
        <w:lastRenderedPageBreak/>
        <w:t>Учитывая доминирующее преобладание дефицита 21-гидроксилазы, основная часть клинических рекомендаций относится к диагностике и лечению именно этой формы ВДКН.</w:t>
      </w:r>
    </w:p>
    <w:p w:rsidR="006E3BDF" w:rsidRDefault="00D165C3">
      <w:pPr>
        <w:pStyle w:val="1"/>
      </w:pPr>
      <w:r>
        <w:rPr>
          <w:sz w:val="24"/>
          <w:szCs w:val="24"/>
        </w:rPr>
        <w:t>Этиология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Причиной всех форм</w:t>
      </w:r>
      <w:r>
        <w:rPr>
          <w:sz w:val="24"/>
          <w:szCs w:val="24"/>
        </w:rPr>
        <w:t xml:space="preserve"> ВДКН являются мутации в генах, отвечающих за синтез ферментов стероидогенеза или коферментов стероидогенеза, а также в гене </w:t>
      </w:r>
      <w:r>
        <w:rPr>
          <w:sz w:val="24"/>
          <w:szCs w:val="24"/>
          <w:lang w:val="en-US"/>
        </w:rPr>
        <w:t>STAR</w:t>
      </w:r>
      <w:r>
        <w:rPr>
          <w:sz w:val="24"/>
          <w:szCs w:val="24"/>
        </w:rPr>
        <w:t>, кодирующем белок, который участвует в транспорте холестерина внутрь митохондрий.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Ген, кодирующий стероид-21-гидроксилазу, (CY</w:t>
      </w:r>
      <w:r>
        <w:rPr>
          <w:sz w:val="24"/>
          <w:szCs w:val="24"/>
        </w:rPr>
        <w:t>P21, CYP21B, CYP21A2) и гомологичный ему псевдоген (CYP21P, CYP21A, CYP21A1P) локализованы в HLA-комплексе между локусами HLA-B и HLA -DR на коротком плече 6-й хромосомы (6р21.3). Тандемная организация высокогомологичных генов предрасполагает к частым реко</w:t>
      </w:r>
      <w:r>
        <w:rPr>
          <w:sz w:val="24"/>
          <w:szCs w:val="24"/>
        </w:rPr>
        <w:t>мбинациям между ними. Большинство описанных мутаций (около 90-95%), приводящих к 21-гидроксилазной недостаточности, являются результатом двух типов рекомбинаций между геном CYP21 и псевдогеном CYP21P. Первый механизм - неравный кроссинговер во время мейоза</w:t>
      </w:r>
      <w:r>
        <w:rPr>
          <w:sz w:val="24"/>
          <w:szCs w:val="24"/>
        </w:rPr>
        <w:t>, приводящий к частичной делеции гена CYP21 и замещению большого фрагмента гена CYP21 аналогичным фрагментом псевдогена CYP21P. Второй механизм - т.н. генная конверсия, в результате которой переносятся очень маленькие фрагменты, включающие точечные мутации</w:t>
      </w:r>
      <w:r>
        <w:rPr>
          <w:sz w:val="24"/>
          <w:szCs w:val="24"/>
        </w:rPr>
        <w:t>, обычно присутствующие в псевдогене CYP21P, в активный ген CYP21. На точечные мутации, большая часть которых образуется в результате микроконверсий, приходится около 75-80% повреждений гена CYP21. На большие генные перестройки (делеции и конверсии) приход</w:t>
      </w:r>
      <w:r>
        <w:rPr>
          <w:sz w:val="24"/>
          <w:szCs w:val="24"/>
        </w:rPr>
        <w:t>ится около 20-25% в большинстве популяций. Редкие мутации, не являющиеся результатом генных конверсии, обнаруживаются в 5-10% пораженных аллелей. Все вышеперечисленное осложняет генетическую диагностику дефицита 21-гидроксилазы.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Для дефицита 21-гидроксилаз</w:t>
      </w:r>
      <w:r>
        <w:rPr>
          <w:sz w:val="24"/>
          <w:szCs w:val="24"/>
        </w:rPr>
        <w:t xml:space="preserve">ы существует четкая связь фенотипических проявлений с типом мутации. В таблице 1 представлены распространенность частых мутаций в Российской популяции и корреляция генотип-фенотип по данным ФГБУ ЭНЦ МЗ РФ. При составных гетерозиготных мутациях клиническая </w:t>
      </w:r>
      <w:r>
        <w:rPr>
          <w:sz w:val="24"/>
          <w:szCs w:val="24"/>
        </w:rPr>
        <w:t>картина определяется менее тяжелой мутацией.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Таблица 1. Соответствие генетического дефекта клинической картине дефицита 21-гидроксилазы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2"/>
        <w:gridCol w:w="2393"/>
        <w:gridCol w:w="2393"/>
      </w:tblGrid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Мутация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Частота аллельного варианта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Клиническая форма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  <w:lang w:val="en-US"/>
              </w:rPr>
              <w:t>Del/large conversion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СТ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  <w:lang w:val="en-US"/>
              </w:rPr>
              <w:t>I2splice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ПВ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  <w:lang w:val="en-US"/>
              </w:rPr>
              <w:t>R356W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ПВ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  <w:lang w:val="en-US"/>
              </w:rPr>
              <w:lastRenderedPageBreak/>
              <w:t>Q318W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СТ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  <w:lang w:val="en-US"/>
              </w:rPr>
              <w:t>I172N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ПВ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  <w:lang w:val="en-US"/>
              </w:rPr>
              <w:t>V281L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НК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3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  <w:lang w:val="en-US"/>
              </w:rPr>
              <w:t>P30L</w:t>
            </w: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</w:pPr>
          </w:p>
        </w:tc>
        <w:tc>
          <w:tcPr>
            <w:tcW w:w="239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</w:pPr>
            <w:r>
              <w:rPr>
                <w:sz w:val="24"/>
                <w:szCs w:val="24"/>
              </w:rPr>
              <w:t>НК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ПВ</w:t>
            </w:r>
          </w:p>
        </w:tc>
      </w:tr>
    </w:tbl>
    <w:p w:rsidR="006E3BDF" w:rsidRDefault="00D165C3">
      <w:pPr>
        <w:pStyle w:val="a0"/>
      </w:pPr>
      <w:r>
        <w:rPr>
          <w:sz w:val="24"/>
          <w:szCs w:val="24"/>
        </w:rPr>
        <w:t>СТ – сольтеряющая форма, ПВ – простая вирильная форма, НК – неклассическая форма.</w:t>
      </w:r>
    </w:p>
    <w:p w:rsidR="006E3BDF" w:rsidRDefault="00D165C3">
      <w:pPr>
        <w:pStyle w:val="1"/>
      </w:pPr>
      <w:r>
        <w:rPr>
          <w:sz w:val="24"/>
          <w:szCs w:val="24"/>
        </w:rPr>
        <w:t>Патогенез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 xml:space="preserve">При всех формах ВДКН отмечается дефицит кортизола, что по механизму отрицательной обратной связи приводит к повышению уровня </w:t>
      </w:r>
      <w:r>
        <w:rPr>
          <w:sz w:val="24"/>
          <w:szCs w:val="24"/>
        </w:rPr>
        <w:t>АКТГ и гиперплазии надпочечников. В результате стимуляции надпочечников происходит избыточное накопление стероидов, предшествующих ферментативному блоку. Клиническая картина каждой формы ВДКН обусловлена дефицитом гормонов, синтез которых невозможен при да</w:t>
      </w:r>
      <w:r>
        <w:rPr>
          <w:sz w:val="24"/>
          <w:szCs w:val="24"/>
        </w:rPr>
        <w:t>нном ферментативном блоке и избытком накапливаемых предшественников.</w:t>
      </w:r>
    </w:p>
    <w:p w:rsidR="006E3BDF" w:rsidRDefault="00D165C3">
      <w:pPr>
        <w:pStyle w:val="1"/>
        <w:jc w:val="both"/>
      </w:pPr>
      <w:r>
        <w:rPr>
          <w:sz w:val="24"/>
          <w:szCs w:val="24"/>
        </w:rPr>
        <w:t>Клиническая картина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 xml:space="preserve">При всех формах ВДКН имеется </w:t>
      </w:r>
      <w:r>
        <w:rPr>
          <w:b/>
          <w:sz w:val="24"/>
          <w:szCs w:val="24"/>
        </w:rPr>
        <w:t>дефицит кортизола</w:t>
      </w:r>
      <w:r>
        <w:rPr>
          <w:sz w:val="24"/>
          <w:szCs w:val="24"/>
        </w:rPr>
        <w:t>, что проявляется склонностью к гипогликемическому синдрому, особенно в стрессовых ситуациях и у грудных детей. Специфиче</w:t>
      </w:r>
      <w:r>
        <w:rPr>
          <w:sz w:val="24"/>
          <w:szCs w:val="24"/>
        </w:rPr>
        <w:t>ским симптомом дефицита кортизола являются гиперпигментации кожных покровов вследствие высокого уровня проопиомеланокортина и его дериватов. В крови определяется повышенный уровень АКТГ.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 некоторых формах ВДКН (липоидная гиперплазия надпочечников, дефиц</w:t>
      </w:r>
      <w:r>
        <w:rPr>
          <w:sz w:val="24"/>
          <w:szCs w:val="24"/>
        </w:rPr>
        <w:t xml:space="preserve">ит 11α-гидроксилазы, дефицит 3β-гидроксистероиддегидрогеназы, дефицит 21-гидроксилазы) отмечается </w:t>
      </w:r>
      <w:r>
        <w:rPr>
          <w:b/>
          <w:sz w:val="24"/>
          <w:szCs w:val="24"/>
        </w:rPr>
        <w:t>дефицит минералокортикоидов</w:t>
      </w:r>
      <w:r>
        <w:rPr>
          <w:sz w:val="24"/>
          <w:szCs w:val="24"/>
        </w:rPr>
        <w:t xml:space="preserve">, проявляющийся сольтеряющим синдромом. Недостаток альдостерона вызывает снижение обратной реабсорбции натрия в почках, вследствие </w:t>
      </w:r>
      <w:r>
        <w:rPr>
          <w:sz w:val="24"/>
          <w:szCs w:val="24"/>
        </w:rPr>
        <w:t>чего снижается ОЦК и артериальное давление. У детей отмечается неукротимая рвота, жидкий стул, боли в животе, падение АД. В крови определяется гиперкалиемия, гипонатриемия и повышение активности ренина плазмы.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 гипертонических формах ВДКН (дефицит 17α-г</w:t>
      </w:r>
      <w:r>
        <w:rPr>
          <w:sz w:val="24"/>
          <w:szCs w:val="24"/>
        </w:rPr>
        <w:t xml:space="preserve">идроксилазы, дефицит 11β-гидроксилазы) имеет место </w:t>
      </w:r>
      <w:r>
        <w:rPr>
          <w:b/>
          <w:sz w:val="24"/>
          <w:szCs w:val="24"/>
        </w:rPr>
        <w:t>избыток минералокортикоидов</w:t>
      </w:r>
      <w:r>
        <w:rPr>
          <w:sz w:val="24"/>
          <w:szCs w:val="24"/>
        </w:rPr>
        <w:t>. В клинической картине на первый план выходит артериальная гипертензия и симптомы гипокалиемии – мышечная слабость, полиурия, полидипсия. В крови определяется низкий уровень акт</w:t>
      </w:r>
      <w:r>
        <w:rPr>
          <w:sz w:val="24"/>
          <w:szCs w:val="24"/>
        </w:rPr>
        <w:t>ивности ренина плазмы, гипокалиемия и гипернатриемия.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 xml:space="preserve">При некоторых формах ВДКН отмечается </w:t>
      </w:r>
      <w:r>
        <w:rPr>
          <w:b/>
          <w:sz w:val="24"/>
          <w:szCs w:val="24"/>
        </w:rPr>
        <w:t>нарушения синтеза половых стероидов</w:t>
      </w:r>
      <w:r>
        <w:rPr>
          <w:sz w:val="24"/>
          <w:szCs w:val="24"/>
        </w:rPr>
        <w:t xml:space="preserve">, как в надпочечниках, так и в гонадах. В этом случае у пациентов с кариотипом 46 </w:t>
      </w:r>
      <w:r>
        <w:rPr>
          <w:sz w:val="24"/>
          <w:szCs w:val="24"/>
          <w:lang w:val="en-US"/>
        </w:rPr>
        <w:t>XY</w:t>
      </w:r>
      <w:r>
        <w:rPr>
          <w:sz w:val="24"/>
          <w:szCs w:val="24"/>
        </w:rPr>
        <w:t xml:space="preserve"> отмечается нарушение строения наружных половы</w:t>
      </w:r>
      <w:r>
        <w:rPr>
          <w:sz w:val="24"/>
          <w:szCs w:val="24"/>
        </w:rPr>
        <w:t>х органов. В дальнейшем у всех пациентов и с кариотипом 46ХХ и с кариотипом 46</w:t>
      </w:r>
      <w:r>
        <w:rPr>
          <w:sz w:val="24"/>
          <w:szCs w:val="24"/>
          <w:lang w:val="en-US"/>
        </w:rPr>
        <w:t>XY</w:t>
      </w:r>
      <w:r>
        <w:rPr>
          <w:sz w:val="24"/>
          <w:szCs w:val="24"/>
        </w:rPr>
        <w:t xml:space="preserve"> разовьется первичный гипергонадотропный гипогонадизм.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lastRenderedPageBreak/>
        <w:t xml:space="preserve">При тех формах ВДКН, когда </w:t>
      </w:r>
      <w:r>
        <w:rPr>
          <w:b/>
          <w:sz w:val="24"/>
          <w:szCs w:val="24"/>
        </w:rPr>
        <w:t>синтез половых стероидов не нарушен</w:t>
      </w:r>
      <w:r>
        <w:rPr>
          <w:sz w:val="24"/>
          <w:szCs w:val="24"/>
        </w:rPr>
        <w:t>, происходит обратная ситуация. При кариотипе 46ХХ у новоро</w:t>
      </w:r>
      <w:r>
        <w:rPr>
          <w:sz w:val="24"/>
          <w:szCs w:val="24"/>
        </w:rPr>
        <w:t>жденных определяется неправильное строение наружных половых органов, в дальнейшем нарастают симптомы гиперандрогении, которые проявляются у мальчиков симптомами ложного преждевременного полового развития, а у девочек прогрессируют симптомы вирилизации. Всл</w:t>
      </w:r>
      <w:r>
        <w:rPr>
          <w:sz w:val="24"/>
          <w:szCs w:val="24"/>
        </w:rPr>
        <w:t>едствие избыточного количества надпочечниковых андрогенов происходит ускорение костного возраста, что приводит к конечной низкорослости.</w:t>
      </w:r>
    </w:p>
    <w:p w:rsidR="006E3BDF" w:rsidRDefault="00D165C3">
      <w:pPr>
        <w:pStyle w:val="a0"/>
        <w:jc w:val="both"/>
        <w:sectPr w:rsidR="006E3BDF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  <w:r>
        <w:rPr>
          <w:sz w:val="24"/>
          <w:szCs w:val="24"/>
        </w:rPr>
        <w:t>Клиническая картина всех форм ВДКН представлена в таблице 2.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lastRenderedPageBreak/>
        <w:t xml:space="preserve">Таблица 2. Клиническая и гормональная </w:t>
      </w:r>
      <w:r>
        <w:rPr>
          <w:sz w:val="24"/>
          <w:szCs w:val="24"/>
        </w:rPr>
        <w:t>характеристика разных форм ВДКН</w:t>
      </w: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4"/>
        <w:gridCol w:w="1188"/>
        <w:gridCol w:w="1798"/>
        <w:gridCol w:w="1071"/>
        <w:gridCol w:w="1574"/>
        <w:gridCol w:w="2203"/>
        <w:gridCol w:w="2321"/>
        <w:gridCol w:w="2315"/>
      </w:tblGrid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Форма ВДКН</w:t>
            </w:r>
          </w:p>
        </w:tc>
        <w:tc>
          <w:tcPr>
            <w:tcW w:w="12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ген</w:t>
            </w:r>
          </w:p>
        </w:tc>
        <w:tc>
          <w:tcPr>
            <w:tcW w:w="1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Минералокортико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иды</w:t>
            </w:r>
          </w:p>
        </w:tc>
        <w:tc>
          <w:tcPr>
            <w:tcW w:w="10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Половые стероиды</w:t>
            </w:r>
          </w:p>
        </w:tc>
        <w:tc>
          <w:tcPr>
            <w:tcW w:w="64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Клиническая картина</w:t>
            </w:r>
          </w:p>
        </w:tc>
        <w:tc>
          <w:tcPr>
            <w:tcW w:w="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Гормональный маркер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  <w:spacing w:after="0" w:line="100" w:lineRule="atLeast"/>
            </w:pPr>
          </w:p>
        </w:tc>
        <w:tc>
          <w:tcPr>
            <w:tcW w:w="12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  <w:spacing w:after="0" w:line="100" w:lineRule="atLeast"/>
            </w:pPr>
          </w:p>
        </w:tc>
        <w:tc>
          <w:tcPr>
            <w:tcW w:w="1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  <w:spacing w:after="0" w:line="100" w:lineRule="atLeast"/>
            </w:pPr>
          </w:p>
        </w:tc>
        <w:tc>
          <w:tcPr>
            <w:tcW w:w="10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  <w:spacing w:after="0" w:line="100" w:lineRule="atLeast"/>
            </w:pP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  <w:spacing w:after="0" w:line="100" w:lineRule="atLeast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>XY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Наружные гениталии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Функция гонад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  <w:lang w:val="en-US"/>
              </w:rPr>
              <w:t>XX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Наружные гениталии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Функция гонад</w:t>
            </w:r>
          </w:p>
        </w:tc>
        <w:tc>
          <w:tcPr>
            <w:tcW w:w="23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6E3BDF">
            <w:pPr>
              <w:pStyle w:val="a0"/>
              <w:spacing w:after="0" w:line="100" w:lineRule="atLeast"/>
            </w:pP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 xml:space="preserve">Дефект </w:t>
            </w:r>
            <w:r>
              <w:rPr>
                <w:sz w:val="20"/>
                <w:szCs w:val="20"/>
                <w:lang w:val="en-US"/>
              </w:rPr>
              <w:t>StAR</w:t>
            </w:r>
            <w:r>
              <w:rPr>
                <w:sz w:val="20"/>
                <w:szCs w:val="20"/>
              </w:rPr>
              <w:t xml:space="preserve"> протеина (липоидная гиперплазия надпочечников)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i/>
                <w:sz w:val="20"/>
                <w:szCs w:val="20"/>
                <w:lang w:val="en-US"/>
              </w:rPr>
              <w:t>STAR</w:t>
            </w:r>
          </w:p>
          <w:p w:rsidR="006E3BDF" w:rsidRDefault="00D165C3">
            <w:pPr>
              <w:pStyle w:val="a0"/>
              <w:spacing w:after="0" w:line="100" w:lineRule="atLeast"/>
            </w:pPr>
            <w:hyperlink r:id="rId6">
              <w:r>
                <w:rPr>
                  <w:rStyle w:val="-"/>
                  <w:sz w:val="20"/>
                  <w:szCs w:val="20"/>
                </w:rPr>
                <w:t>8p11.2</w:t>
              </w:r>
            </w:hyperlink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Синдром потери соли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Женские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гипогонадизм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  <w:lang w:val="en-US"/>
              </w:rPr>
              <w:t>N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гипогонадизм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Дефицит 20,22-десмолазы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i/>
                <w:sz w:val="20"/>
                <w:szCs w:val="20"/>
                <w:lang w:val="en-US"/>
              </w:rPr>
              <w:t>CYP11A1</w:t>
            </w:r>
          </w:p>
          <w:p w:rsidR="006E3BDF" w:rsidRDefault="00D165C3">
            <w:pPr>
              <w:pStyle w:val="a0"/>
              <w:spacing w:after="0" w:line="100" w:lineRule="atLeast"/>
            </w:pPr>
            <w:hyperlink r:id="rId7">
              <w:r>
                <w:rPr>
                  <w:rStyle w:val="-"/>
                  <w:sz w:val="20"/>
                  <w:szCs w:val="20"/>
                </w:rPr>
                <w:t>15q23-q24</w:t>
              </w:r>
            </w:hyperlink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Синдром потери соли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Женские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гипогонадизм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  <w:lang w:val="en-US"/>
              </w:rPr>
              <w:t>N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гипогонадизм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Дефект С</w:t>
            </w:r>
            <w:r>
              <w:rPr>
                <w:sz w:val="20"/>
                <w:szCs w:val="20"/>
                <w:lang w:val="en-US"/>
              </w:rPr>
              <w:t>Y</w:t>
            </w:r>
            <w:r>
              <w:rPr>
                <w:sz w:val="20"/>
                <w:szCs w:val="20"/>
              </w:rPr>
              <w:t>Р17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i/>
                <w:sz w:val="20"/>
                <w:szCs w:val="20"/>
                <w:lang w:val="en-US"/>
              </w:rPr>
              <w:t>CYP17</w:t>
            </w:r>
          </w:p>
          <w:p w:rsidR="006E3BDF" w:rsidRDefault="00D165C3">
            <w:pPr>
              <w:pStyle w:val="a0"/>
              <w:spacing w:after="0" w:line="100" w:lineRule="atLeast"/>
            </w:pPr>
            <w:hyperlink r:id="rId8">
              <w:r>
                <w:rPr>
                  <w:rStyle w:val="-"/>
                  <w:sz w:val="20"/>
                  <w:szCs w:val="20"/>
                </w:rPr>
                <w:t>10q24.3</w:t>
              </w:r>
            </w:hyperlink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Промежуточные ближе к женским, гипогонадизм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  <w:lang w:val="en-US"/>
              </w:rPr>
              <w:t>N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гипогонадизм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дезоксикортикостерон, кортикостерон.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Дефект 3βГСД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i/>
                <w:sz w:val="20"/>
                <w:szCs w:val="20"/>
                <w:lang w:val="en-US"/>
              </w:rPr>
              <w:t>HSD3B2</w:t>
            </w:r>
          </w:p>
          <w:p w:rsidR="006E3BDF" w:rsidRDefault="00D165C3">
            <w:pPr>
              <w:pStyle w:val="a0"/>
              <w:spacing w:after="0" w:line="100" w:lineRule="atLeast"/>
            </w:pPr>
            <w:hyperlink r:id="rId9">
              <w:r>
                <w:rPr>
                  <w:rStyle w:val="-"/>
                  <w:sz w:val="20"/>
                  <w:szCs w:val="20"/>
                </w:rPr>
                <w:t>1p13.1</w:t>
              </w:r>
            </w:hyperlink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Синдром потери соли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Промежуточные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с андрогенизацией в пубертате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Промежуточные ближе к женским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Δ5-стероиды: прегненолон, 17ОН-прегненолн, ДНЕА.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Дефицит 21-гидроксилазы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i/>
                <w:sz w:val="20"/>
                <w:szCs w:val="20"/>
                <w:lang w:val="en-US"/>
              </w:rPr>
              <w:t>CYP21</w:t>
            </w:r>
          </w:p>
          <w:p w:rsidR="006E3BDF" w:rsidRDefault="00D165C3">
            <w:pPr>
              <w:pStyle w:val="a0"/>
              <w:spacing w:after="0" w:line="100" w:lineRule="atLeast"/>
            </w:pPr>
            <w:hyperlink r:id="rId10">
              <w:r>
                <w:rPr>
                  <w:rStyle w:val="-"/>
                  <w:sz w:val="20"/>
                  <w:szCs w:val="20"/>
                </w:rPr>
                <w:t>6p21.3</w:t>
              </w:r>
            </w:hyperlink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/N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 xml:space="preserve">Синдром потери </w:t>
            </w:r>
            <w:r>
              <w:rPr>
                <w:sz w:val="20"/>
                <w:szCs w:val="20"/>
              </w:rPr>
              <w:t>соли/</w:t>
            </w: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17ОНР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Дефицит 11β-гидроксилазы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i/>
                <w:sz w:val="20"/>
                <w:szCs w:val="20"/>
                <w:lang w:val="en-US"/>
              </w:rPr>
              <w:t>CYP11B1</w:t>
            </w:r>
          </w:p>
          <w:p w:rsidR="006E3BDF" w:rsidRDefault="00D165C3">
            <w:pPr>
              <w:pStyle w:val="a0"/>
              <w:spacing w:after="0" w:line="100" w:lineRule="atLeast"/>
            </w:pPr>
            <w:hyperlink r:id="rId11">
              <w:r>
                <w:rPr>
                  <w:rStyle w:val="-"/>
                  <w:sz w:val="20"/>
                  <w:szCs w:val="20"/>
                </w:rPr>
                <w:t>8q21</w:t>
              </w:r>
            </w:hyperlink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↑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Артериальная гипертензия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11-ДОК</w:t>
            </w:r>
          </w:p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11-дезоксикортикостерон</w:t>
            </w:r>
          </w:p>
        </w:tc>
      </w:tr>
      <w:tr w:rsidR="006E3BDF">
        <w:tblPrEx>
          <w:tblCellMar>
            <w:top w:w="0" w:type="dxa"/>
            <w:bottom w:w="0" w:type="dxa"/>
          </w:tblCellMar>
        </w:tblPrEx>
        <w:tc>
          <w:tcPr>
            <w:tcW w:w="2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Дефицит оксидоредуктазы</w:t>
            </w:r>
          </w:p>
        </w:tc>
        <w:tc>
          <w:tcPr>
            <w:tcW w:w="1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i/>
                <w:sz w:val="20"/>
                <w:szCs w:val="20"/>
                <w:lang w:val="en-US"/>
              </w:rPr>
              <w:t>POR</w:t>
            </w:r>
          </w:p>
          <w:p w:rsidR="006E3BDF" w:rsidRDefault="00D165C3">
            <w:pPr>
              <w:pStyle w:val="a0"/>
              <w:spacing w:after="0" w:line="100" w:lineRule="atLeast"/>
            </w:pPr>
            <w:hyperlink r:id="rId12">
              <w:r>
                <w:rPr>
                  <w:rStyle w:val="-"/>
                  <w:sz w:val="20"/>
                  <w:szCs w:val="20"/>
                </w:rPr>
                <w:t>7q11.2</w:t>
              </w:r>
            </w:hyperlink>
          </w:p>
        </w:tc>
        <w:tc>
          <w:tcPr>
            <w:tcW w:w="1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  <w:lang w:val="en-US"/>
              </w:rPr>
              <w:t>N/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↓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>↓</w:t>
            </w:r>
          </w:p>
        </w:tc>
        <w:tc>
          <w:tcPr>
            <w:tcW w:w="16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промежуточный</w:t>
            </w:r>
          </w:p>
        </w:tc>
        <w:tc>
          <w:tcPr>
            <w:tcW w:w="23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3BDF" w:rsidRDefault="00D165C3">
            <w:pPr>
              <w:pStyle w:val="a0"/>
              <w:spacing w:after="0" w:line="100" w:lineRule="atLeast"/>
            </w:pPr>
            <w:r>
              <w:rPr>
                <w:sz w:val="20"/>
                <w:szCs w:val="20"/>
              </w:rPr>
              <w:t>17ОНР, прогестерон, 17ОНпрегненолон</w:t>
            </w:r>
          </w:p>
        </w:tc>
      </w:tr>
    </w:tbl>
    <w:p w:rsidR="006E3BDF" w:rsidRDefault="006E3BDF">
      <w:pPr>
        <w:pStyle w:val="1"/>
        <w:sectPr w:rsidR="006E3BDF">
          <w:pgSz w:w="16838" w:h="11906" w:orient="landscape"/>
          <w:pgMar w:top="850" w:right="1134" w:bottom="1701" w:left="1134" w:header="0" w:footer="0" w:gutter="0"/>
          <w:cols w:space="720"/>
          <w:formProt w:val="0"/>
          <w:docGrid w:linePitch="360" w:charSpace="4096"/>
        </w:sectPr>
      </w:pPr>
    </w:p>
    <w:p w:rsidR="006E3BDF" w:rsidRDefault="00D165C3">
      <w:pPr>
        <w:pStyle w:val="1"/>
      </w:pPr>
      <w:r>
        <w:rPr>
          <w:sz w:val="24"/>
          <w:szCs w:val="24"/>
        </w:rPr>
        <w:lastRenderedPageBreak/>
        <w:t>Диагностика</w:t>
      </w:r>
    </w:p>
    <w:p w:rsidR="006E3BDF" w:rsidRDefault="00D165C3">
      <w:pPr>
        <w:pStyle w:val="a0"/>
      </w:pPr>
      <w:r>
        <w:rPr>
          <w:i/>
          <w:color w:val="365F91"/>
          <w:sz w:val="24"/>
          <w:szCs w:val="24"/>
        </w:rPr>
        <w:t>Неонатальный скрининг.</w:t>
      </w:r>
    </w:p>
    <w:p w:rsidR="006E3BDF" w:rsidRDefault="00D165C3">
      <w:pPr>
        <w:pStyle w:val="a0"/>
        <w:jc w:val="both"/>
      </w:pPr>
      <w:r>
        <w:rPr>
          <w:b/>
          <w:color w:val="365F91"/>
          <w:sz w:val="24"/>
          <w:szCs w:val="24"/>
        </w:rPr>
        <w:t>Рекомендации:</w:t>
      </w:r>
      <w:r>
        <w:rPr>
          <w:color w:val="365F91"/>
          <w:sz w:val="24"/>
          <w:szCs w:val="24"/>
        </w:rPr>
        <w:t xml:space="preserve"> неонатальный скрининг эффективен для диагностики классических форм дефицита 21-гидроксилазы. На втором этапе скрининга (ретестирование) по возможности предпочтительно определение мультистероидного спектра методом тандемной масс-спектрометрии и расчетного </w:t>
      </w:r>
      <w:r>
        <w:rPr>
          <w:color w:val="365F91"/>
          <w:sz w:val="24"/>
          <w:szCs w:val="24"/>
        </w:rPr>
        <w:t>показателя (17ОНР+21ДОК/кортизол) (1++).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Дефицит 21-гидроксилазы подходит для программы неонатального скрининга, поскольку является частым, потенциально летальным заболеванием, имеет четкий диагностический маркер и эффективное средство терапии. С 1977г сна</w:t>
      </w:r>
      <w:r>
        <w:rPr>
          <w:sz w:val="24"/>
          <w:szCs w:val="24"/>
        </w:rPr>
        <w:t>чала в штате Аляска США, а затем и в других регионах внедрен тотальный неонатальный скрининг на ВДКН. По данным литературы доказана эффективность скрининга. Неонатальная смертность от сольтеряющего криза без диагноза составляла от 4 до 10%, неправильное оп</w:t>
      </w:r>
      <w:r>
        <w:rPr>
          <w:sz w:val="24"/>
          <w:szCs w:val="24"/>
        </w:rPr>
        <w:t>ределение пола у девочек -  до 10%. После внедрения скрининга мальчиков и девочек с ВДКН стало поровну, и частота заболевания повысилась.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В России неонатальный скрининг существует с середины 2006г, в результате чего частота встречаемости данного заболевани</w:t>
      </w:r>
      <w:r>
        <w:rPr>
          <w:sz w:val="24"/>
          <w:szCs w:val="24"/>
        </w:rPr>
        <w:t xml:space="preserve">я выросла более чем в 2 раза. Кроме того, сократился срок постановки диагноза и степень гипонатриемии, что по данным литературы улучшает в последующем обучаемость детей. 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Процедура скрининга включает в себя забор крови у доношенных новорожденных на 4 сутки</w:t>
      </w:r>
      <w:r>
        <w:rPr>
          <w:sz w:val="24"/>
          <w:szCs w:val="24"/>
        </w:rPr>
        <w:t xml:space="preserve"> жизни, у недоношенных на 7-10 сутки и определение в образцах уровня 17ОНР с помощью специальных наборов для скрининга. Используются разные отсечки в зависимости от веса при рождении, которые определены для каждой лаборатории. Сведения о положительном резу</w:t>
      </w:r>
      <w:r>
        <w:rPr>
          <w:sz w:val="24"/>
          <w:szCs w:val="24"/>
        </w:rPr>
        <w:t>льтате скрининга сообщаются в поликлинику по месту жительства ребенка, после чего происходит повторный забор крови для ретестирования.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Согласно данным литературы для недоношенных новорожденных градация диагностического уровня 17ОНР более информативна, если</w:t>
      </w:r>
      <w:r>
        <w:rPr>
          <w:sz w:val="24"/>
          <w:szCs w:val="24"/>
        </w:rPr>
        <w:t xml:space="preserve"> происходит с учетом гестационного возраста, а не веса при рождении.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 существующем в России порядке скрининга положительная предсказательная ценность его составляет от 1 до 5%, т.е. среди всех положительных результатов только от 1 до 5 детей из 100 поло</w:t>
      </w:r>
      <w:r>
        <w:rPr>
          <w:sz w:val="24"/>
          <w:szCs w:val="24"/>
        </w:rPr>
        <w:t>жительных образцов имеют диагноз, в остальных случаях – это ложноположительные результаты. Учитывая большие экономические и эмоциональные затраты в связи с большим количеством ложноположительных случаев было предложено проводить ретестирование с использова</w:t>
      </w:r>
      <w:r>
        <w:rPr>
          <w:sz w:val="24"/>
          <w:szCs w:val="24"/>
        </w:rPr>
        <w:t xml:space="preserve">нием тандемной масс-спектрометрии (ТМС). По результатам немецких авторов, использование ТМС и определение расчетного показателя (сумма 17ОН-прогестерона и 21-дезоксикортизола, деленная на кортизол) повышает положительную предсказательную ценность до 100%. </w:t>
      </w:r>
      <w:r>
        <w:rPr>
          <w:sz w:val="24"/>
          <w:szCs w:val="24"/>
        </w:rPr>
        <w:t>Помимо выявления дефицита 21-гидроксилазы, ТМС позволяет диагностировать и редкие формы ВДКН.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lastRenderedPageBreak/>
        <w:t xml:space="preserve">Использование молекулярно-генетического анализа на втором этапе скрининга имеет свои положительные моменты, так как позволяет не только подтвердить диагноз, но и </w:t>
      </w:r>
      <w:r>
        <w:rPr>
          <w:sz w:val="24"/>
          <w:szCs w:val="24"/>
        </w:rPr>
        <w:t>предсказать форму заболевания. В тоже время применение метода аллель-специфической ПЦР имеет свои ограничения: частые мутации выявляются в 85-90% случаев. Генетическое тестирование дороже, чем ТМС, занимает больше времени и не позволяет диагностировать ред</w:t>
      </w:r>
      <w:r>
        <w:rPr>
          <w:sz w:val="24"/>
          <w:szCs w:val="24"/>
        </w:rPr>
        <w:t>кие формы ВДКН.</w:t>
      </w:r>
    </w:p>
    <w:p w:rsidR="006E3BDF" w:rsidRDefault="006E3BDF">
      <w:pPr>
        <w:pStyle w:val="a0"/>
      </w:pPr>
    </w:p>
    <w:p w:rsidR="006E3BDF" w:rsidRDefault="00D165C3">
      <w:pPr>
        <w:pStyle w:val="a0"/>
      </w:pPr>
      <w:r>
        <w:rPr>
          <w:i/>
          <w:color w:val="365F91"/>
          <w:sz w:val="24"/>
          <w:szCs w:val="24"/>
        </w:rPr>
        <w:t>Диагностика дефицита 21-гидроксилазы вне процедуры скрининга.</w:t>
      </w:r>
    </w:p>
    <w:p w:rsidR="006E3BDF" w:rsidRDefault="00D165C3">
      <w:pPr>
        <w:pStyle w:val="a0"/>
        <w:spacing w:after="0"/>
        <w:jc w:val="both"/>
      </w:pPr>
      <w:r>
        <w:rPr>
          <w:b/>
          <w:color w:val="365F91"/>
          <w:sz w:val="24"/>
          <w:szCs w:val="24"/>
        </w:rPr>
        <w:t>Рекомендации:</w:t>
      </w:r>
      <w:r>
        <w:rPr>
          <w:color w:val="365F91"/>
          <w:sz w:val="24"/>
          <w:szCs w:val="24"/>
        </w:rPr>
        <w:t xml:space="preserve"> гормональным маркером дефицита 21-гидроксилазы является уровень 17ОНР определенный в утренней крови (1++)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Гормональным маркером дефицита минералокортикоидов при со</w:t>
      </w:r>
      <w:r>
        <w:rPr>
          <w:color w:val="365F91"/>
          <w:sz w:val="24"/>
          <w:szCs w:val="24"/>
        </w:rPr>
        <w:t xml:space="preserve">льтеряющей форме является повышение активности ренина плазмы (1++) 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«Золотым стандартом» в диагностике неклассической формы дефицита 21-гидроксилазы и дифференциальной диагностике редких форм ВДКН является проба с синактеном с определением широкого спектра</w:t>
      </w:r>
      <w:r>
        <w:rPr>
          <w:color w:val="365F91"/>
          <w:sz w:val="24"/>
          <w:szCs w:val="24"/>
        </w:rPr>
        <w:t xml:space="preserve"> стероидов (1++).</w:t>
      </w:r>
    </w:p>
    <w:p w:rsidR="006E3BDF" w:rsidRDefault="00D165C3">
      <w:pPr>
        <w:pStyle w:val="a0"/>
      </w:pPr>
      <w:r>
        <w:rPr>
          <w:color w:val="365F91"/>
          <w:sz w:val="24"/>
          <w:szCs w:val="24"/>
        </w:rPr>
        <w:t>Генетическое тестирование применяется как второй этап в сомнительных случаях и в качестве семейного генетического консультирования (2+).</w:t>
      </w:r>
    </w:p>
    <w:p w:rsidR="006E3BDF" w:rsidRDefault="00D165C3">
      <w:pPr>
        <w:pStyle w:val="a0"/>
      </w:pPr>
      <w:r>
        <w:rPr>
          <w:sz w:val="24"/>
          <w:szCs w:val="24"/>
        </w:rPr>
        <w:t>Показания для определения уровня 17ОНР у детей с целью диагностики дефицита 21-гидроксилазы:</w:t>
      </w:r>
    </w:p>
    <w:p w:rsidR="006E3BDF" w:rsidRDefault="00D165C3">
      <w:pPr>
        <w:pStyle w:val="aa"/>
        <w:numPr>
          <w:ilvl w:val="0"/>
          <w:numId w:val="2"/>
        </w:numPr>
      </w:pPr>
      <w:r>
        <w:rPr>
          <w:sz w:val="24"/>
          <w:szCs w:val="24"/>
        </w:rPr>
        <w:t>Неправил</w:t>
      </w:r>
      <w:r>
        <w:rPr>
          <w:sz w:val="24"/>
          <w:szCs w:val="24"/>
        </w:rPr>
        <w:t>ьное строение наружных половых органов при кариотипе 46ХХ;</w:t>
      </w:r>
    </w:p>
    <w:p w:rsidR="006E3BDF" w:rsidRDefault="00D165C3">
      <w:pPr>
        <w:pStyle w:val="aa"/>
        <w:numPr>
          <w:ilvl w:val="0"/>
          <w:numId w:val="2"/>
        </w:numPr>
      </w:pPr>
      <w:r>
        <w:rPr>
          <w:sz w:val="24"/>
          <w:szCs w:val="24"/>
        </w:rPr>
        <w:t>Повторные срыгивания, потеря веса, признаки эксикоза у грудных детей при наличии гиперкалиемии в сочетании с гипонатриемией;</w:t>
      </w:r>
    </w:p>
    <w:p w:rsidR="006E3BDF" w:rsidRDefault="00D165C3">
      <w:pPr>
        <w:pStyle w:val="aa"/>
        <w:numPr>
          <w:ilvl w:val="0"/>
          <w:numId w:val="2"/>
        </w:numPr>
      </w:pPr>
      <w:r>
        <w:rPr>
          <w:sz w:val="24"/>
          <w:szCs w:val="24"/>
        </w:rPr>
        <w:t>Ускорение роста, костного возраста и преждевременное адренархе;</w:t>
      </w:r>
    </w:p>
    <w:p w:rsidR="006E3BDF" w:rsidRDefault="00D165C3">
      <w:pPr>
        <w:pStyle w:val="aa"/>
        <w:numPr>
          <w:ilvl w:val="0"/>
          <w:numId w:val="2"/>
        </w:numPr>
      </w:pPr>
      <w:r>
        <w:rPr>
          <w:sz w:val="24"/>
          <w:szCs w:val="24"/>
        </w:rPr>
        <w:t>Симптомы</w:t>
      </w:r>
      <w:r>
        <w:rPr>
          <w:sz w:val="24"/>
          <w:szCs w:val="24"/>
        </w:rPr>
        <w:t xml:space="preserve"> гиперандрогении у девочек-подростков.</w:t>
      </w:r>
    </w:p>
    <w:p w:rsidR="006E3BDF" w:rsidRDefault="00D165C3">
      <w:pPr>
        <w:pStyle w:val="a0"/>
      </w:pPr>
      <w:r>
        <w:rPr>
          <w:sz w:val="24"/>
          <w:szCs w:val="24"/>
        </w:rPr>
        <w:t>При классических формах ВДКН уровень 17ОНР в десятки раз превышает нормативные показатели. При неклассических формах и в сомнительных случаях необходимо проведение пробы с синактеном (синтетическим аналогом АКТГ).</w:t>
      </w:r>
    </w:p>
    <w:p w:rsidR="006E3BDF" w:rsidRDefault="00D165C3">
      <w:pPr>
        <w:pStyle w:val="ab"/>
        <w:spacing w:after="200" w:line="276" w:lineRule="auto"/>
        <w:ind w:firstLine="0"/>
      </w:pPr>
      <w:r>
        <w:rPr>
          <w:rFonts w:ascii="Calibri" w:hAnsi="Calibri" w:cs="Calibri"/>
          <w:bCs w:val="0"/>
          <w:iCs w:val="0"/>
          <w:lang w:eastAsia="en-US"/>
        </w:rPr>
        <w:t>Про</w:t>
      </w:r>
      <w:r>
        <w:rPr>
          <w:rFonts w:ascii="Calibri" w:hAnsi="Calibri" w:cs="Calibri"/>
          <w:bCs w:val="0"/>
          <w:iCs w:val="0"/>
          <w:lang w:eastAsia="en-US"/>
        </w:rPr>
        <w:t>токол пробы с синактеном: исходно берется кровь для определения 17ОНР, и кортизола, после чего в/в вводится 250 мкг тетракозактида (синтетический аналог АКТГ) в 5 мл физиологического раствора, продолжительность инфузии составляет 2 мин. Затем через 30 и 60</w:t>
      </w:r>
      <w:r>
        <w:rPr>
          <w:rFonts w:ascii="Calibri" w:hAnsi="Calibri" w:cs="Calibri"/>
          <w:bCs w:val="0"/>
          <w:iCs w:val="0"/>
          <w:lang w:eastAsia="en-US"/>
        </w:rPr>
        <w:t xml:space="preserve"> мин берут кровь для повторного определения 17ОНР и кортизола.</w:t>
      </w:r>
    </w:p>
    <w:p w:rsidR="006E3BDF" w:rsidRDefault="00D165C3">
      <w:pPr>
        <w:pStyle w:val="ab"/>
        <w:spacing w:after="200" w:line="276" w:lineRule="auto"/>
        <w:ind w:firstLine="0"/>
      </w:pPr>
      <w:r>
        <w:rPr>
          <w:rFonts w:ascii="Calibri" w:hAnsi="Calibri" w:cs="Calibri"/>
          <w:bCs w:val="0"/>
          <w:iCs w:val="0"/>
          <w:lang w:eastAsia="en-US"/>
        </w:rPr>
        <w:t>В норме уровень кортизола на стимуляции превышает 500 нмоль/л при этом уровень 17ОНР не должен превышать 36 нмоль/л. При дефиците 21-гидроксилазы уровень 17ОНР превышает 45 нмоль/л, диапазон от</w:t>
      </w:r>
      <w:r>
        <w:rPr>
          <w:rFonts w:ascii="Calibri" w:hAnsi="Calibri" w:cs="Calibri"/>
          <w:bCs w:val="0"/>
          <w:iCs w:val="0"/>
          <w:lang w:eastAsia="en-US"/>
        </w:rPr>
        <w:t xml:space="preserve"> 36 до 45 нмоль/л является «серой зоной» и требует дальнейшей подтверждающей диагностики. </w:t>
      </w:r>
    </w:p>
    <w:p w:rsidR="006E3BDF" w:rsidRDefault="00D165C3">
      <w:pPr>
        <w:pStyle w:val="ab"/>
        <w:spacing w:after="200" w:line="276" w:lineRule="auto"/>
        <w:ind w:firstLine="0"/>
      </w:pPr>
      <w:r>
        <w:rPr>
          <w:rFonts w:ascii="Calibri" w:hAnsi="Calibri" w:cs="Calibri"/>
          <w:bCs w:val="0"/>
          <w:iCs w:val="0"/>
          <w:lang w:eastAsia="en-US"/>
        </w:rPr>
        <w:lastRenderedPageBreak/>
        <w:t>При отсутствии препаратов АКТГ короткого действия возможно проведение аналогичной пробы с препаратом  АКТГ пролонгированного действия (Синактен-депо). После в/м введ</w:t>
      </w:r>
      <w:r>
        <w:rPr>
          <w:rFonts w:ascii="Calibri" w:hAnsi="Calibri" w:cs="Calibri"/>
          <w:bCs w:val="0"/>
          <w:iCs w:val="0"/>
          <w:lang w:eastAsia="en-US"/>
        </w:rPr>
        <w:t>ения 1мл Синактена (1 мг) кровь для определения 17ОНР и кортизола берется через 10-12 и 24 часа. Результаты оцениваются аналогично тесту с АКТГ короткого действия.</w:t>
      </w:r>
    </w:p>
    <w:p w:rsidR="006E3BDF" w:rsidRDefault="00D165C3">
      <w:pPr>
        <w:pStyle w:val="ab"/>
        <w:spacing w:after="200" w:line="276" w:lineRule="auto"/>
        <w:ind w:firstLine="0"/>
      </w:pPr>
      <w:r>
        <w:rPr>
          <w:rFonts w:ascii="Calibri" w:hAnsi="Calibri" w:cs="Calibri"/>
          <w:bCs w:val="0"/>
          <w:iCs w:val="0"/>
          <w:lang w:eastAsia="en-US"/>
        </w:rPr>
        <w:t>На фоне стимуляции целесообразно проводить определение других стероидов для исключения редки</w:t>
      </w:r>
      <w:r>
        <w:rPr>
          <w:rFonts w:ascii="Calibri" w:hAnsi="Calibri" w:cs="Calibri"/>
          <w:bCs w:val="0"/>
          <w:iCs w:val="0"/>
          <w:lang w:eastAsia="en-US"/>
        </w:rPr>
        <w:t>х форм ВДКН. Максимальную информацию дает определение мультистероидного профиля с помощью ТМС.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 xml:space="preserve">При сомнительных результатах пробы с синактеном проводится генетическая диагностика. Первым этапом осуществляется поиск частых мутаций в гене </w:t>
      </w:r>
      <w:r>
        <w:rPr>
          <w:i/>
          <w:sz w:val="24"/>
          <w:szCs w:val="24"/>
          <w:lang w:val="en-US"/>
        </w:rPr>
        <w:t>CYP</w:t>
      </w:r>
      <w:r>
        <w:rPr>
          <w:i/>
          <w:sz w:val="24"/>
          <w:szCs w:val="24"/>
        </w:rPr>
        <w:t>21</w:t>
      </w:r>
      <w:r>
        <w:rPr>
          <w:sz w:val="24"/>
          <w:szCs w:val="24"/>
        </w:rPr>
        <w:t xml:space="preserve">. Выявление двух мутаций позволяет поставить диагноз. При обнаружении одной мутации проводится полное секвенирование гена </w:t>
      </w:r>
      <w:r>
        <w:rPr>
          <w:i/>
          <w:sz w:val="24"/>
          <w:szCs w:val="24"/>
          <w:lang w:val="en-US"/>
        </w:rPr>
        <w:t>CYP</w:t>
      </w:r>
      <w:r>
        <w:rPr>
          <w:i/>
          <w:sz w:val="24"/>
          <w:szCs w:val="24"/>
        </w:rPr>
        <w:t>21</w:t>
      </w:r>
      <w:r>
        <w:rPr>
          <w:sz w:val="24"/>
          <w:szCs w:val="24"/>
        </w:rPr>
        <w:t>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 подозрении на сольтеряющий синдром показано исследование электролитов крови и определения активности ренина плазмы. Гиперка</w:t>
      </w:r>
      <w:r>
        <w:rPr>
          <w:sz w:val="24"/>
          <w:szCs w:val="24"/>
        </w:rPr>
        <w:t>лиемия, гипонатриемия и повышение активности ренина свидетельствуют в пользу дефицита минералокортикоидов.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Гормональные маркеры редких форм ВДКН представлены в таблице 2.</w:t>
      </w:r>
    </w:p>
    <w:p w:rsidR="006E3BDF" w:rsidRDefault="00D165C3">
      <w:pPr>
        <w:pStyle w:val="1"/>
      </w:pPr>
      <w:r>
        <w:rPr>
          <w:b w:val="0"/>
          <w:sz w:val="24"/>
          <w:szCs w:val="24"/>
        </w:rPr>
        <w:t>Лечение</w:t>
      </w:r>
    </w:p>
    <w:p w:rsidR="006E3BDF" w:rsidRDefault="00D165C3">
      <w:pPr>
        <w:pStyle w:val="a0"/>
        <w:spacing w:after="0"/>
        <w:jc w:val="both"/>
      </w:pPr>
      <w:r>
        <w:rPr>
          <w:b/>
          <w:color w:val="365F91"/>
          <w:sz w:val="24"/>
          <w:szCs w:val="24"/>
        </w:rPr>
        <w:t xml:space="preserve">Рекомендации: </w:t>
      </w:r>
      <w:r>
        <w:rPr>
          <w:color w:val="365F91"/>
          <w:sz w:val="24"/>
          <w:szCs w:val="24"/>
        </w:rPr>
        <w:t>препаратом выбора для лечения детей с ВДКН является таблетирова</w:t>
      </w:r>
      <w:r>
        <w:rPr>
          <w:color w:val="365F91"/>
          <w:sz w:val="24"/>
          <w:szCs w:val="24"/>
        </w:rPr>
        <w:t>нный гидрокортизон (1+++)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Применение сиропа гидрокортизона и пролонгированных форм глюкокортикоидов не показано у детей в период активного роста (1++)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Всем детям с сольтеряющей формой ВДКН показано назначение флюдрокортизона, детям грудного возраста показа</w:t>
      </w:r>
      <w:r>
        <w:rPr>
          <w:color w:val="365F91"/>
          <w:sz w:val="24"/>
          <w:szCs w:val="24"/>
        </w:rPr>
        <w:t>но дополнительное введение в пищевой рацион поваренной соли (1++)</w:t>
      </w:r>
    </w:p>
    <w:p w:rsidR="006E3BDF" w:rsidRDefault="006E3BDF">
      <w:pPr>
        <w:pStyle w:val="a0"/>
        <w:spacing w:after="0"/>
        <w:jc w:val="both"/>
      </w:pPr>
    </w:p>
    <w:p w:rsidR="006E3BDF" w:rsidRDefault="00D165C3">
      <w:pPr>
        <w:pStyle w:val="a0"/>
        <w:jc w:val="both"/>
      </w:pPr>
      <w:r>
        <w:rPr>
          <w:sz w:val="24"/>
          <w:szCs w:val="24"/>
        </w:rPr>
        <w:t>Основным принципом в терапии всех форм ВДКН является назначение глюкокортикоидов, которые позволяют заместить дефицит кортизола, тем самым подавить избыточную секрецию АКТГ. В результате че</w:t>
      </w:r>
      <w:r>
        <w:rPr>
          <w:sz w:val="24"/>
          <w:szCs w:val="24"/>
        </w:rPr>
        <w:t>го снижается продукция надпочечниками тех стероидов, которые синтезируются в избытке при конкретном ферментативном блоке. Существуют различные медикаментозные препараты, обладающие глюкокортикоидной активностью: преднизолон, кортизон, дексаметазон. Пролонг</w:t>
      </w:r>
      <w:r>
        <w:rPr>
          <w:sz w:val="24"/>
          <w:szCs w:val="24"/>
        </w:rPr>
        <w:t xml:space="preserve">ированные синтетические глюкортикоидные препараты (преднизолон, дексаметазон) оказывают негативное влияние на процессы роста. Для детей с открытыми зонами роста, особенно младшего возраста, наиболее оптимальными препаратами следует считать таблетированные </w:t>
      </w:r>
      <w:r>
        <w:rPr>
          <w:sz w:val="24"/>
          <w:szCs w:val="24"/>
        </w:rPr>
        <w:t>аналоги гидрокортизона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 xml:space="preserve"> Первоначальная суточная доза гидрокортизона, необходимая для подавления АКТГ у детей первого года жизни, может достигать 20мг\м2. В среднем суточная доза гидрокортизона у детей старше года должна составлять 10-15мг\м2. Препарат дается три раза в день в ра</w:t>
      </w:r>
      <w:r>
        <w:rPr>
          <w:sz w:val="24"/>
          <w:szCs w:val="24"/>
        </w:rPr>
        <w:t>вных дозах (в 7.00-15.00-22.00).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lastRenderedPageBreak/>
        <w:t>При сольтеряющей форме ВДКН необходимо проводить терапию препаратом минералокортикоидов – флудрокортизоном, который назначается в дозе 0,05-0,15мг в сутки 1-2 раза в день. У детей грудного возраста потребность в минералокор</w:t>
      </w:r>
      <w:r>
        <w:rPr>
          <w:sz w:val="24"/>
          <w:szCs w:val="24"/>
        </w:rPr>
        <w:t>тикоидах выше и может достигать 0,3мг в сутки, которые можно разделить на 3 приема. У детей без клинических проявлений сольтеряющего синдрома может отмечаться субклинический дефицит минералокортикоидов, критерием которого является повышенный уровень ренина</w:t>
      </w:r>
      <w:r>
        <w:rPr>
          <w:sz w:val="24"/>
          <w:szCs w:val="24"/>
        </w:rPr>
        <w:t>. В таких случаях тоже показано назначение терапии флудрокортизоном.</w:t>
      </w:r>
    </w:p>
    <w:p w:rsidR="006E3BDF" w:rsidRDefault="006E3BDF">
      <w:pPr>
        <w:pStyle w:val="a0"/>
        <w:jc w:val="both"/>
      </w:pPr>
    </w:p>
    <w:p w:rsidR="006E3BDF" w:rsidRDefault="00D165C3">
      <w:pPr>
        <w:pStyle w:val="a0"/>
        <w:jc w:val="both"/>
      </w:pPr>
      <w:r>
        <w:rPr>
          <w:i/>
          <w:color w:val="365F91"/>
          <w:sz w:val="24"/>
          <w:szCs w:val="24"/>
        </w:rPr>
        <w:t>Ведение пациентов с ВДКН, выявленных по результатам неонатального скрининга.</w:t>
      </w:r>
    </w:p>
    <w:p w:rsidR="006E3BDF" w:rsidRDefault="00D165C3">
      <w:pPr>
        <w:pStyle w:val="a0"/>
        <w:jc w:val="both"/>
      </w:pPr>
      <w:r>
        <w:rPr>
          <w:b/>
          <w:color w:val="365F91"/>
          <w:sz w:val="24"/>
          <w:szCs w:val="24"/>
        </w:rPr>
        <w:t>Рекомендации</w:t>
      </w:r>
      <w:r>
        <w:rPr>
          <w:color w:val="365F91"/>
          <w:sz w:val="24"/>
          <w:szCs w:val="24"/>
        </w:rPr>
        <w:t xml:space="preserve">: 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 положительных результатах неонатального скрининга на ВДКН ребенок должен быть осмотрен энд</w:t>
      </w:r>
      <w:r>
        <w:rPr>
          <w:sz w:val="24"/>
          <w:szCs w:val="24"/>
        </w:rPr>
        <w:t>окринологом. Эндокринолог проводит анализ клинической картины:</w:t>
      </w:r>
    </w:p>
    <w:p w:rsidR="006E3BDF" w:rsidRDefault="00D165C3">
      <w:pPr>
        <w:pStyle w:val="aa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Неправильное строение наружных гениталий</w:t>
      </w:r>
    </w:p>
    <w:p w:rsidR="006E3BDF" w:rsidRDefault="00D165C3">
      <w:pPr>
        <w:pStyle w:val="aa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Гиперпигментации или гипогликемии в анамнезе</w:t>
      </w:r>
    </w:p>
    <w:p w:rsidR="006E3BDF" w:rsidRDefault="00D165C3">
      <w:pPr>
        <w:pStyle w:val="aa"/>
        <w:numPr>
          <w:ilvl w:val="0"/>
          <w:numId w:val="3"/>
        </w:numPr>
        <w:spacing w:after="0"/>
        <w:jc w:val="both"/>
      </w:pPr>
      <w:r>
        <w:rPr>
          <w:sz w:val="24"/>
          <w:szCs w:val="24"/>
        </w:rPr>
        <w:t>Признаки сольтеряющего синдрома (частые срыгивания плохой набор веса, признаки эксикоза).</w:t>
      </w:r>
    </w:p>
    <w:p w:rsidR="006E3BDF" w:rsidRDefault="006E3BDF">
      <w:pPr>
        <w:pStyle w:val="a0"/>
        <w:spacing w:after="0"/>
        <w:ind w:left="709"/>
        <w:jc w:val="both"/>
      </w:pP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 наличии клин</w:t>
      </w:r>
      <w:r>
        <w:rPr>
          <w:sz w:val="24"/>
          <w:szCs w:val="24"/>
        </w:rPr>
        <w:t>ических признаков показана госпитализация в отделение эндокринологии с опытом ведения новорожденных с ВДКН. В стационаре ребенку определяют уровень 17ОНР  в сыворотке крови и электролиты крови. При наличии электролитных изменений начинают парентеральное вв</w:t>
      </w:r>
      <w:r>
        <w:rPr>
          <w:sz w:val="24"/>
          <w:szCs w:val="24"/>
        </w:rPr>
        <w:t>едение глюкокортикоидов из расчета 100мг/м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/сут и, при необходимости, инфузионную терапию физиологическим раствором. При отсутствии электролитных изменений показано назначение таблетированного гидрокортизона в стартовой дозе 15-20 мг/м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/сут и флудрокортизо</w:t>
      </w:r>
      <w:r>
        <w:rPr>
          <w:sz w:val="24"/>
          <w:szCs w:val="24"/>
        </w:rPr>
        <w:t>на 0,05-0,1мг/сут.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При отсутствии клинических признаков дефицита 21-гидроксилазы целесообразно исследование уровня 17ОНР в сыворотке крови. При повышении 17ОНР более 100нмоль/л ставится диагноз дефицита 21-гидроксилазы и начинается терапия пероральным гидр</w:t>
      </w:r>
      <w:r>
        <w:rPr>
          <w:sz w:val="24"/>
          <w:szCs w:val="24"/>
        </w:rPr>
        <w:t>окортизоном. В случае повышения 17ОНР менее 100 нмоль/л требуется уточняющая диагностика с использованием ТМС и/или пробы с синактеном и/или генетического тестирования.</w:t>
      </w:r>
    </w:p>
    <w:p w:rsidR="006E3BDF" w:rsidRDefault="00D165C3">
      <w:pPr>
        <w:pStyle w:val="a0"/>
        <w:jc w:val="both"/>
      </w:pPr>
      <w:r>
        <w:rPr>
          <w:i/>
          <w:color w:val="365F91"/>
          <w:sz w:val="24"/>
          <w:szCs w:val="24"/>
        </w:rPr>
        <w:t>Ведение пациентов с дефицитом 21-гидроксилазы.</w:t>
      </w:r>
    </w:p>
    <w:p w:rsidR="006E3BDF" w:rsidRDefault="00D165C3">
      <w:pPr>
        <w:pStyle w:val="a0"/>
        <w:tabs>
          <w:tab w:val="clear" w:pos="708"/>
          <w:tab w:val="left" w:pos="720"/>
        </w:tabs>
        <w:jc w:val="both"/>
      </w:pPr>
      <w:r>
        <w:rPr>
          <w:b/>
          <w:color w:val="365F91"/>
          <w:sz w:val="24"/>
          <w:szCs w:val="24"/>
        </w:rPr>
        <w:t>Рекомендации</w:t>
      </w:r>
      <w:r>
        <w:rPr>
          <w:color w:val="365F91"/>
          <w:sz w:val="24"/>
          <w:szCs w:val="24"/>
        </w:rPr>
        <w:t>: целью терапии ВДКН являетс</w:t>
      </w:r>
      <w:r>
        <w:rPr>
          <w:color w:val="365F91"/>
          <w:sz w:val="24"/>
          <w:szCs w:val="24"/>
        </w:rPr>
        <w:t>я подбор минимально-эффективной дозы глюкокортикоидов (1+).</w:t>
      </w:r>
    </w:p>
    <w:p w:rsidR="006E3BDF" w:rsidRDefault="00D165C3">
      <w:pPr>
        <w:pStyle w:val="a0"/>
        <w:tabs>
          <w:tab w:val="clear" w:pos="708"/>
          <w:tab w:val="left" w:pos="720"/>
        </w:tabs>
        <w:spacing w:after="0"/>
        <w:jc w:val="both"/>
      </w:pPr>
      <w:r>
        <w:rPr>
          <w:color w:val="365F91"/>
          <w:sz w:val="24"/>
          <w:szCs w:val="24"/>
        </w:rPr>
        <w:t>Протокол наблюдения за детьми первого года жизни:</w:t>
      </w:r>
    </w:p>
    <w:p w:rsidR="006E3BDF" w:rsidRDefault="00D165C3">
      <w:pPr>
        <w:pStyle w:val="a0"/>
        <w:tabs>
          <w:tab w:val="clear" w:pos="708"/>
          <w:tab w:val="left" w:pos="720"/>
        </w:tabs>
        <w:spacing w:after="0"/>
        <w:jc w:val="both"/>
      </w:pPr>
      <w:r>
        <w:rPr>
          <w:color w:val="365F91"/>
          <w:sz w:val="24"/>
          <w:szCs w:val="24"/>
        </w:rPr>
        <w:t>Кратность наблюдения 1раз</w:t>
      </w:r>
      <w:r>
        <w:rPr>
          <w:color w:val="365F91"/>
          <w:sz w:val="24"/>
          <w:szCs w:val="24"/>
          <w:lang w:val="en-US"/>
        </w:rPr>
        <w:t>/</w:t>
      </w:r>
      <w:r>
        <w:rPr>
          <w:color w:val="365F91"/>
          <w:sz w:val="24"/>
          <w:szCs w:val="24"/>
        </w:rPr>
        <w:t>1-3 мес</w:t>
      </w:r>
    </w:p>
    <w:p w:rsidR="006E3BDF" w:rsidRDefault="00D165C3">
      <w:pPr>
        <w:pStyle w:val="a0"/>
        <w:numPr>
          <w:ilvl w:val="1"/>
          <w:numId w:val="5"/>
        </w:numPr>
        <w:spacing w:after="0"/>
        <w:jc w:val="both"/>
      </w:pPr>
      <w:r>
        <w:rPr>
          <w:color w:val="365F91"/>
          <w:sz w:val="24"/>
          <w:szCs w:val="24"/>
        </w:rPr>
        <w:t>Электролиты крови</w:t>
      </w:r>
    </w:p>
    <w:p w:rsidR="006E3BDF" w:rsidRDefault="00D165C3">
      <w:pPr>
        <w:pStyle w:val="a0"/>
        <w:numPr>
          <w:ilvl w:val="1"/>
          <w:numId w:val="5"/>
        </w:numPr>
        <w:spacing w:after="0"/>
        <w:jc w:val="both"/>
      </w:pPr>
      <w:r>
        <w:rPr>
          <w:color w:val="365F91"/>
          <w:sz w:val="24"/>
          <w:szCs w:val="24"/>
        </w:rPr>
        <w:t>динамика веса и уровень АД</w:t>
      </w:r>
    </w:p>
    <w:p w:rsidR="006E3BDF" w:rsidRDefault="00D165C3">
      <w:pPr>
        <w:pStyle w:val="a0"/>
        <w:numPr>
          <w:ilvl w:val="1"/>
          <w:numId w:val="5"/>
        </w:numPr>
        <w:jc w:val="both"/>
      </w:pPr>
      <w:r>
        <w:rPr>
          <w:color w:val="365F91"/>
          <w:sz w:val="24"/>
          <w:szCs w:val="24"/>
        </w:rPr>
        <w:lastRenderedPageBreak/>
        <w:t>17ОНР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Протокол наблюдения за детьми допубертатаного возраста: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Кратность наблюдения 1 раз в 6 мес</w:t>
      </w:r>
    </w:p>
    <w:p w:rsidR="006E3BDF" w:rsidRDefault="00D165C3">
      <w:pPr>
        <w:pStyle w:val="a0"/>
        <w:numPr>
          <w:ilvl w:val="1"/>
          <w:numId w:val="6"/>
        </w:numPr>
        <w:spacing w:after="0"/>
        <w:jc w:val="both"/>
      </w:pPr>
      <w:r>
        <w:rPr>
          <w:color w:val="365F91"/>
          <w:sz w:val="24"/>
          <w:szCs w:val="24"/>
        </w:rPr>
        <w:t>Скорость роста, динамика веса, АД, оценка стадии полового развития по Таннер</w:t>
      </w:r>
    </w:p>
    <w:p w:rsidR="006E3BDF" w:rsidRDefault="00D165C3">
      <w:pPr>
        <w:pStyle w:val="a0"/>
        <w:numPr>
          <w:ilvl w:val="1"/>
          <w:numId w:val="6"/>
        </w:numPr>
        <w:spacing w:after="0"/>
        <w:jc w:val="both"/>
      </w:pPr>
      <w:r>
        <w:rPr>
          <w:color w:val="365F91"/>
          <w:sz w:val="24"/>
          <w:szCs w:val="24"/>
        </w:rPr>
        <w:t>Костный возраст (1 раз в год)</w:t>
      </w:r>
    </w:p>
    <w:p w:rsidR="006E3BDF" w:rsidRDefault="00D165C3">
      <w:pPr>
        <w:pStyle w:val="a0"/>
        <w:numPr>
          <w:ilvl w:val="1"/>
          <w:numId w:val="6"/>
        </w:numPr>
        <w:spacing w:after="0"/>
        <w:jc w:val="both"/>
      </w:pPr>
      <w:r>
        <w:rPr>
          <w:color w:val="365F91"/>
          <w:sz w:val="24"/>
          <w:szCs w:val="24"/>
        </w:rPr>
        <w:t>17ОНР, тестостерон, АРП</w:t>
      </w:r>
    </w:p>
    <w:p w:rsidR="006E3BDF" w:rsidRDefault="00D165C3">
      <w:pPr>
        <w:pStyle w:val="a0"/>
        <w:numPr>
          <w:ilvl w:val="1"/>
          <w:numId w:val="7"/>
        </w:numPr>
        <w:jc w:val="both"/>
      </w:pPr>
      <w:r>
        <w:rPr>
          <w:color w:val="365F91"/>
          <w:sz w:val="24"/>
          <w:szCs w:val="24"/>
        </w:rPr>
        <w:t>УЗИ надпочечников и яичек (при длительной декомпенсации)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Протокол наблюдения за подросткам</w:t>
      </w:r>
      <w:r>
        <w:rPr>
          <w:color w:val="365F91"/>
          <w:sz w:val="24"/>
          <w:szCs w:val="24"/>
        </w:rPr>
        <w:t>и.</w:t>
      </w:r>
    </w:p>
    <w:p w:rsidR="006E3BDF" w:rsidRDefault="00D165C3">
      <w:pPr>
        <w:pStyle w:val="a0"/>
        <w:spacing w:after="0"/>
        <w:jc w:val="both"/>
      </w:pPr>
      <w:r>
        <w:rPr>
          <w:color w:val="365F91"/>
          <w:sz w:val="24"/>
          <w:szCs w:val="24"/>
        </w:rPr>
        <w:t>Кратность наблюдения 1 раз в 3-6 мес</w:t>
      </w:r>
    </w:p>
    <w:p w:rsidR="006E3BDF" w:rsidRDefault="00D165C3">
      <w:pPr>
        <w:pStyle w:val="a0"/>
        <w:numPr>
          <w:ilvl w:val="1"/>
          <w:numId w:val="8"/>
        </w:numPr>
        <w:spacing w:after="0"/>
        <w:jc w:val="both"/>
      </w:pPr>
      <w:r>
        <w:rPr>
          <w:color w:val="365F91"/>
          <w:sz w:val="24"/>
          <w:szCs w:val="24"/>
        </w:rPr>
        <w:t>Скорость роста, динамика веса, АД</w:t>
      </w:r>
    </w:p>
    <w:p w:rsidR="006E3BDF" w:rsidRDefault="00D165C3">
      <w:pPr>
        <w:pStyle w:val="a0"/>
        <w:numPr>
          <w:ilvl w:val="1"/>
          <w:numId w:val="8"/>
        </w:numPr>
        <w:spacing w:after="0"/>
        <w:jc w:val="both"/>
      </w:pPr>
      <w:r>
        <w:rPr>
          <w:color w:val="365F91"/>
          <w:sz w:val="24"/>
          <w:szCs w:val="24"/>
        </w:rPr>
        <w:t>Оценка динамики полового развития</w:t>
      </w:r>
    </w:p>
    <w:p w:rsidR="006E3BDF" w:rsidRDefault="00D165C3">
      <w:pPr>
        <w:pStyle w:val="a0"/>
        <w:numPr>
          <w:ilvl w:val="1"/>
          <w:numId w:val="8"/>
        </w:numPr>
        <w:spacing w:after="0"/>
        <w:jc w:val="both"/>
      </w:pPr>
      <w:r>
        <w:rPr>
          <w:color w:val="365F91"/>
          <w:sz w:val="24"/>
          <w:szCs w:val="24"/>
        </w:rPr>
        <w:t>Костный возраст 1 раз в год</w:t>
      </w:r>
    </w:p>
    <w:p w:rsidR="006E3BDF" w:rsidRDefault="00D165C3">
      <w:pPr>
        <w:pStyle w:val="a0"/>
        <w:numPr>
          <w:ilvl w:val="1"/>
          <w:numId w:val="8"/>
        </w:numPr>
        <w:spacing w:after="0"/>
        <w:jc w:val="both"/>
      </w:pPr>
      <w:r>
        <w:rPr>
          <w:color w:val="365F91"/>
          <w:sz w:val="24"/>
          <w:szCs w:val="24"/>
        </w:rPr>
        <w:t>17ОНР, тестостерон (для девочек), АРП</w:t>
      </w:r>
    </w:p>
    <w:p w:rsidR="006E3BDF" w:rsidRDefault="00D165C3">
      <w:pPr>
        <w:pStyle w:val="a0"/>
        <w:numPr>
          <w:ilvl w:val="1"/>
          <w:numId w:val="8"/>
        </w:numPr>
        <w:spacing w:after="0"/>
        <w:jc w:val="both"/>
      </w:pPr>
      <w:r>
        <w:rPr>
          <w:color w:val="365F91"/>
          <w:sz w:val="24"/>
          <w:szCs w:val="24"/>
        </w:rPr>
        <w:t>УЗИ органов малого таза</w:t>
      </w:r>
    </w:p>
    <w:p w:rsidR="006E3BDF" w:rsidRDefault="00D165C3">
      <w:pPr>
        <w:pStyle w:val="a0"/>
        <w:numPr>
          <w:ilvl w:val="1"/>
          <w:numId w:val="9"/>
        </w:numPr>
        <w:spacing w:after="0"/>
        <w:jc w:val="both"/>
      </w:pPr>
      <w:r>
        <w:rPr>
          <w:color w:val="365F91"/>
          <w:sz w:val="24"/>
          <w:szCs w:val="24"/>
        </w:rPr>
        <w:t>УЗИ надпочечников и яичек (при длительной декомпенсации)</w:t>
      </w:r>
    </w:p>
    <w:p w:rsidR="006E3BDF" w:rsidRDefault="006E3BDF">
      <w:pPr>
        <w:pStyle w:val="a0"/>
        <w:jc w:val="both"/>
      </w:pPr>
    </w:p>
    <w:p w:rsidR="006E3BDF" w:rsidRDefault="00D165C3">
      <w:pPr>
        <w:pStyle w:val="a0"/>
        <w:jc w:val="both"/>
      </w:pPr>
      <w:r>
        <w:rPr>
          <w:sz w:val="24"/>
          <w:szCs w:val="24"/>
        </w:rPr>
        <w:t>Ведение пациентов с дефицитом 21-гидроксилазы требует постоянного поддержания равновесия между избытком глюкокортикоидов, приводящим к развитию медикаментозного синдрома Кушинга с подавлением роста, избытком веса, повышением АД и недостатком глюкокортикоид</w:t>
      </w:r>
      <w:r>
        <w:rPr>
          <w:sz w:val="24"/>
          <w:szCs w:val="24"/>
        </w:rPr>
        <w:t>ов, приводящим к развитию гиперандрогении с ускорением роста и костного возраста и проявлением симптомов вирилизации. Цель адекватного лечения – это подбор минимально эффективной дозы гидрокортизона.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 xml:space="preserve">Дети первого года жизни должны наблюдаться с </w:t>
      </w:r>
      <w:r>
        <w:rPr>
          <w:sz w:val="24"/>
          <w:szCs w:val="24"/>
        </w:rPr>
        <w:t xml:space="preserve">периодичностью 1 раз в 1-3 мес. Критерием адекватности заместительной терапии у грудных детей в первую очередь является весовая кривая. Удовлетворительный набор веса, отсутствие срыгиваний свидетельствуют об эффективном лечении. У грудных детей ежемесячно </w:t>
      </w:r>
      <w:r>
        <w:rPr>
          <w:sz w:val="24"/>
          <w:szCs w:val="24"/>
        </w:rPr>
        <w:t>определяют электролиты крови, по которым подбирается доза кортинеффа. Для активности ренина плазмы не существует четких критериев у детей до 1 года, поэтому данный показатель сложно использовать для оценки адекватной заместительной терапии минералокортикои</w:t>
      </w:r>
      <w:r>
        <w:rPr>
          <w:sz w:val="24"/>
          <w:szCs w:val="24"/>
        </w:rPr>
        <w:t>дами. Уровень 17ОНР определяют каждые 3 месяца для подбора дозы кортефа. Следует отметить, что недостаточное подавление гиперандрогении на первом году жизни не приводит к существенной прогрессии костного возраста, тогда как передозировка глюкокортикоидов в</w:t>
      </w:r>
      <w:r>
        <w:rPr>
          <w:sz w:val="24"/>
          <w:szCs w:val="24"/>
        </w:rPr>
        <w:t xml:space="preserve"> этот период оказывает негативное влияние на конечный рост пациентов.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Дети старше года должны быть осмотрены эндокринологом 1 раз в 3-6 мес. Для этой возрастной категории детей среди критериев адекватности терапии на первый план выходят кривая роста и дина</w:t>
      </w:r>
      <w:r>
        <w:rPr>
          <w:sz w:val="24"/>
          <w:szCs w:val="24"/>
        </w:rPr>
        <w:t xml:space="preserve">мика прогрессии костного возраста. Снижение скорости роста свидетельствует в пользу передозировки глюкокортикоидов. Увеличение скорости роста по сравнению с возрастными нормами и ускорение костного возраста более чем на </w:t>
      </w:r>
      <w:r>
        <w:rPr>
          <w:sz w:val="24"/>
          <w:szCs w:val="24"/>
        </w:rPr>
        <w:lastRenderedPageBreak/>
        <w:t>1 год за 1 год говорят о недостаточн</w:t>
      </w:r>
      <w:r>
        <w:rPr>
          <w:sz w:val="24"/>
          <w:szCs w:val="24"/>
        </w:rPr>
        <w:t>ой дозе глюкокортикоидных препаратов. Целевым уровнем 17ОНР является верхняя граница нормы или несколько выше. У допубертатных детей и девочек-подростков информативным может быть определение уровня тестостерона, который отражает длительность существующей г</w:t>
      </w:r>
      <w:r>
        <w:rPr>
          <w:sz w:val="24"/>
          <w:szCs w:val="24"/>
        </w:rPr>
        <w:t>иперандрогении. Небольшое повышение уровня 17ОНР при нормальных показателях тестостерона не требует повышения дозы гидрокортизона.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 xml:space="preserve">Особого внимания требуют подростки с ВДКН, поскольку в этот возрастной период определяется потенциальная фертильность </w:t>
      </w:r>
      <w:r>
        <w:rPr>
          <w:sz w:val="24"/>
          <w:szCs w:val="24"/>
        </w:rPr>
        <w:t>пациентов и реализуется ростовой потенциал. Передозировка глюкокортикоидных препаратов в данной возрастной группе приводит к конечной низкорослости пациентов. В связи с пубертатаными особенностями метаболизма кортизола в подростковом периоде очень сложно д</w:t>
      </w:r>
      <w:r>
        <w:rPr>
          <w:sz w:val="24"/>
          <w:szCs w:val="24"/>
        </w:rPr>
        <w:t>обиться адекватного подавления гиперандрогении не вызывая при этом симптомов передозировки. Поэтому кратность наблюдения за подростками с ВДКН должна составлять 3 месяца. В данной возрастной группе возможен переход на пролонгированные препараты глюкокортик</w:t>
      </w:r>
      <w:r>
        <w:rPr>
          <w:sz w:val="24"/>
          <w:szCs w:val="24"/>
        </w:rPr>
        <w:t>оидов (преднизолон, дексаметазон). Критериями адекватности терапии служат динамика роста и веса, а также скорость прогрессии полового развития. Как гиперандрогения, так и ятрогенный гиперкортицизм приводят к задержке полового развития.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 xml:space="preserve">В случае длительной </w:t>
      </w:r>
      <w:r>
        <w:rPr>
          <w:sz w:val="24"/>
          <w:szCs w:val="24"/>
        </w:rPr>
        <w:t>декомпенсации заболевания необходимо применение дополнительных методов обследования. Для исключения развития вторичных аденом проводится УЗИ надпочечников. У мальчиков дополнительно проводится УЗИ яичек с целью выявления гиперплазии эктопированной надпочеч</w:t>
      </w:r>
      <w:r>
        <w:rPr>
          <w:sz w:val="24"/>
          <w:szCs w:val="24"/>
        </w:rPr>
        <w:t>никовой ткани в яичках. Наличие вторичных аденом в надпочечниках или объемных образований в яичках требуют ужесточения контроля гиперандрогении. В таких случаях или повышается доза гидрокортизона или пациент переводится с терапии гидрокортизоном на пролонг</w:t>
      </w:r>
      <w:r>
        <w:rPr>
          <w:sz w:val="24"/>
          <w:szCs w:val="24"/>
        </w:rPr>
        <w:t>ированные препараты глюкокортикоидов.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Периоды длительной передозировки глюкокортикоидных препаратов могут вызывать осложнения, к которым относятся ожирение, гиперинсулинемия и инсулинорезистентность. В детском и подростковом возрасте данные осложнения не т</w:t>
      </w:r>
      <w:r>
        <w:rPr>
          <w:sz w:val="24"/>
          <w:szCs w:val="24"/>
        </w:rPr>
        <w:t>ребуют дополнительных методов обследования, а в лечении, помимо коррекции глюкокортикоидной терапии, применяется диетотерапия и физические нагрузки.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Во все возрастные периоды, кроме грудного возраста, для коррекции минералокортикоидной терапии используется</w:t>
      </w:r>
      <w:r>
        <w:rPr>
          <w:sz w:val="24"/>
          <w:szCs w:val="24"/>
        </w:rPr>
        <w:t xml:space="preserve"> уровень активности ренина плазмы, который необходимо поддерживать на верхней границе нормы. Длительная передозировка минералокортикоидных препаратов приводит к стойкой артериальной гипертензии и снижению уровня ренина. В таких случаях снижение дозы кортин</w:t>
      </w:r>
      <w:r>
        <w:rPr>
          <w:sz w:val="24"/>
          <w:szCs w:val="24"/>
        </w:rPr>
        <w:t>еффа нужно проводить под контролем активности ренина плазмы, т.к. нормализация артериального давления может происходить медленно и даже потребовать временного назначения гипотензивной терапии (используются блокаторы кальциевых каналов).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lastRenderedPageBreak/>
        <w:t>Повышение активност</w:t>
      </w:r>
      <w:r>
        <w:rPr>
          <w:sz w:val="24"/>
          <w:szCs w:val="24"/>
        </w:rPr>
        <w:t>и ренина плазмы даже при отсутствии электролитных изменений диктует необходимость увеличения дозы минералокортикоидов.</w:t>
      </w:r>
    </w:p>
    <w:p w:rsidR="006E3BDF" w:rsidRDefault="00D165C3">
      <w:pPr>
        <w:pStyle w:val="a0"/>
      </w:pPr>
      <w:r>
        <w:rPr>
          <w:color w:val="1F497D"/>
          <w:sz w:val="24"/>
          <w:szCs w:val="24"/>
        </w:rPr>
        <w:t>Лечение острых состояний</w:t>
      </w:r>
    </w:p>
    <w:p w:rsidR="006E3BDF" w:rsidRDefault="00D165C3">
      <w:pPr>
        <w:pStyle w:val="a0"/>
      </w:pPr>
      <w:r>
        <w:rPr>
          <w:b/>
          <w:color w:val="1F497D"/>
          <w:sz w:val="24"/>
          <w:szCs w:val="24"/>
        </w:rPr>
        <w:t xml:space="preserve">Рекомендации: </w:t>
      </w:r>
      <w:r>
        <w:rPr>
          <w:color w:val="1F497D"/>
          <w:sz w:val="24"/>
          <w:szCs w:val="24"/>
        </w:rPr>
        <w:t>увеличение дозы глюкортикоидов необходимо у детей с классическими формами дефицита 21-гидроксилазы</w:t>
      </w:r>
      <w:r>
        <w:rPr>
          <w:color w:val="1F497D"/>
          <w:sz w:val="24"/>
          <w:szCs w:val="24"/>
        </w:rPr>
        <w:t xml:space="preserve"> при присоединении интеркурентных заболеваний с гипертермией выше 38  ̊, при гастроэнтеритах с обезвоживанием, при хирургическом лечении и при серьезных травмах (1++)</w:t>
      </w:r>
    </w:p>
    <w:p w:rsidR="006E3BDF" w:rsidRDefault="00D165C3">
      <w:pPr>
        <w:pStyle w:val="a0"/>
      </w:pPr>
      <w:r>
        <w:rPr>
          <w:color w:val="1F497D"/>
          <w:sz w:val="24"/>
          <w:szCs w:val="24"/>
        </w:rPr>
        <w:t>Повышения дозы глюкокортикоидов не требуется в случае психоэмоциональных и физических наг</w:t>
      </w:r>
      <w:r>
        <w:rPr>
          <w:color w:val="1F497D"/>
          <w:sz w:val="24"/>
          <w:szCs w:val="24"/>
        </w:rPr>
        <w:t>рузок (1+)</w:t>
      </w:r>
    </w:p>
    <w:p w:rsidR="006E3BDF" w:rsidRDefault="00D165C3">
      <w:pPr>
        <w:pStyle w:val="a0"/>
      </w:pPr>
      <w:r>
        <w:rPr>
          <w:color w:val="1F497D"/>
          <w:sz w:val="24"/>
          <w:szCs w:val="24"/>
        </w:rPr>
        <w:t>Дети с классическими формами ВДКН должны иметь при себе информацию о своем заболевании и получаемой терапии (2+)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Дети с дефицитом 21-гидроксилазы имеют хроническую надпочечниковую недостаточность, следовательно, не могут ответить на стресс адекв</w:t>
      </w:r>
      <w:r>
        <w:rPr>
          <w:sz w:val="24"/>
          <w:szCs w:val="24"/>
        </w:rPr>
        <w:t>атным выбросом глюкококртикоидов. Это диктует необходимость повышения дозы глюкокортикоидов в таких случаях, как оперативное лечение, лихорадка, обезвоживание или тяжелая травма. При интеркурентных заболеваниях доза увеличивается в 2-3 раза. При развитии а</w:t>
      </w:r>
      <w:r>
        <w:rPr>
          <w:sz w:val="24"/>
          <w:szCs w:val="24"/>
        </w:rPr>
        <w:t>дреналового криза требуется парентеральное введение глюкокортикоидов.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Ниже представлена схема ведения пациентов с адреналовым кризом</w:t>
      </w:r>
    </w:p>
    <w:p w:rsidR="006E3BDF" w:rsidRDefault="00D165C3">
      <w:pPr>
        <w:pStyle w:val="a0"/>
        <w:numPr>
          <w:ilvl w:val="0"/>
          <w:numId w:val="10"/>
        </w:numPr>
        <w:spacing w:after="0"/>
        <w:ind w:left="0" w:firstLine="709"/>
        <w:jc w:val="both"/>
      </w:pPr>
      <w:r>
        <w:rPr>
          <w:sz w:val="24"/>
          <w:szCs w:val="24"/>
        </w:rPr>
        <w:t>Гидрокортизон 25 – 50 мг в/м</w:t>
      </w:r>
    </w:p>
    <w:p w:rsidR="006E3BDF" w:rsidRDefault="00D165C3">
      <w:pPr>
        <w:pStyle w:val="a0"/>
        <w:spacing w:after="0"/>
        <w:ind w:firstLine="709"/>
        <w:jc w:val="both"/>
      </w:pPr>
      <w:r>
        <w:rPr>
          <w:sz w:val="24"/>
          <w:szCs w:val="24"/>
        </w:rPr>
        <w:t xml:space="preserve"> (самостоятельно, до госпитализации)</w:t>
      </w:r>
    </w:p>
    <w:p w:rsidR="006E3BDF" w:rsidRDefault="00D165C3">
      <w:pPr>
        <w:pStyle w:val="a0"/>
        <w:spacing w:after="0"/>
        <w:ind w:firstLine="709"/>
        <w:jc w:val="both"/>
      </w:pPr>
      <w:r>
        <w:rPr>
          <w:sz w:val="24"/>
          <w:szCs w:val="24"/>
        </w:rPr>
        <w:t>Госпитализация:</w:t>
      </w:r>
    </w:p>
    <w:p w:rsidR="006E3BDF" w:rsidRDefault="00D165C3">
      <w:pPr>
        <w:pStyle w:val="a0"/>
        <w:numPr>
          <w:ilvl w:val="0"/>
          <w:numId w:val="11"/>
        </w:numPr>
        <w:spacing w:after="0"/>
        <w:ind w:left="0" w:firstLine="709"/>
        <w:jc w:val="both"/>
      </w:pPr>
      <w:r>
        <w:rPr>
          <w:sz w:val="24"/>
          <w:szCs w:val="24"/>
        </w:rPr>
        <w:t>Гидрокортизон (гидрокортизон суспензия, с</w:t>
      </w:r>
      <w:r>
        <w:rPr>
          <w:sz w:val="24"/>
          <w:szCs w:val="24"/>
        </w:rPr>
        <w:t>олу-кортеф) 100 мг/м(2) - болюс</w:t>
      </w:r>
    </w:p>
    <w:p w:rsidR="006E3BDF" w:rsidRDefault="00D165C3">
      <w:pPr>
        <w:pStyle w:val="a0"/>
        <w:numPr>
          <w:ilvl w:val="0"/>
          <w:numId w:val="11"/>
        </w:numPr>
        <w:spacing w:after="0"/>
        <w:ind w:left="0" w:firstLine="709"/>
        <w:jc w:val="both"/>
      </w:pPr>
      <w:r>
        <w:rPr>
          <w:sz w:val="24"/>
          <w:szCs w:val="24"/>
        </w:rPr>
        <w:t>NaCl 0,9% + глюкоза 5-10% 450-500 мл/м(2) – 1 час, затем 2-3 л/м(2)/сут</w:t>
      </w:r>
    </w:p>
    <w:p w:rsidR="006E3BDF" w:rsidRDefault="00D165C3">
      <w:pPr>
        <w:pStyle w:val="a0"/>
        <w:numPr>
          <w:ilvl w:val="0"/>
          <w:numId w:val="11"/>
        </w:numPr>
        <w:spacing w:after="0"/>
        <w:ind w:left="0" w:firstLine="709"/>
        <w:jc w:val="both"/>
      </w:pPr>
      <w:r>
        <w:rPr>
          <w:sz w:val="24"/>
          <w:szCs w:val="24"/>
        </w:rPr>
        <w:t>Гидрокортизон 100 - 200 мг/м(2)/сут, в/в капельно – 1-2 сутки</w:t>
      </w:r>
    </w:p>
    <w:p w:rsidR="006E3BDF" w:rsidRDefault="00D165C3">
      <w:pPr>
        <w:pStyle w:val="a0"/>
        <w:numPr>
          <w:ilvl w:val="0"/>
          <w:numId w:val="11"/>
        </w:numPr>
        <w:spacing w:after="0"/>
        <w:ind w:left="0" w:firstLine="709"/>
        <w:jc w:val="both"/>
      </w:pPr>
      <w:r>
        <w:rPr>
          <w:sz w:val="24"/>
          <w:szCs w:val="24"/>
        </w:rPr>
        <w:t>Контроль калия, натрия, глюкозы, АД, ЧСС – каждые 2 часа</w:t>
      </w:r>
    </w:p>
    <w:p w:rsidR="006E3BDF" w:rsidRDefault="00D165C3">
      <w:pPr>
        <w:pStyle w:val="a0"/>
        <w:numPr>
          <w:ilvl w:val="0"/>
          <w:numId w:val="11"/>
        </w:numPr>
        <w:spacing w:after="0"/>
        <w:ind w:left="0" w:firstLine="709"/>
        <w:jc w:val="both"/>
      </w:pPr>
      <w:r>
        <w:rPr>
          <w:sz w:val="24"/>
          <w:szCs w:val="24"/>
        </w:rPr>
        <w:t>Нормализация состояния, калия, на</w:t>
      </w:r>
      <w:r>
        <w:rPr>
          <w:sz w:val="24"/>
          <w:szCs w:val="24"/>
        </w:rPr>
        <w:t xml:space="preserve">трия – переход на в/м введение гидрокортизона с постепенным снижением и переходом на пероральные препараты </w:t>
      </w:r>
    </w:p>
    <w:p w:rsidR="006E3BDF" w:rsidRDefault="00D165C3">
      <w:pPr>
        <w:pStyle w:val="a0"/>
        <w:numPr>
          <w:ilvl w:val="0"/>
          <w:numId w:val="11"/>
        </w:numPr>
        <w:spacing w:after="0"/>
        <w:ind w:left="0" w:firstLine="709"/>
        <w:jc w:val="both"/>
      </w:pPr>
      <w:r>
        <w:rPr>
          <w:sz w:val="24"/>
          <w:szCs w:val="24"/>
        </w:rPr>
        <w:t>Кортинефф назначают при дозе гидрокортизона &lt; 50 мг/сут</w:t>
      </w:r>
    </w:p>
    <w:p w:rsidR="006E3BDF" w:rsidRDefault="006E3BDF">
      <w:pPr>
        <w:pStyle w:val="a0"/>
        <w:spacing w:after="0"/>
        <w:jc w:val="both"/>
      </w:pPr>
    </w:p>
    <w:p w:rsidR="006E3BDF" w:rsidRDefault="006E3BDF">
      <w:pPr>
        <w:pStyle w:val="a0"/>
        <w:spacing w:after="0"/>
        <w:jc w:val="both"/>
      </w:pPr>
    </w:p>
    <w:p w:rsidR="006E3BDF" w:rsidRDefault="00D165C3">
      <w:pPr>
        <w:pStyle w:val="a0"/>
      </w:pPr>
      <w:r>
        <w:rPr>
          <w:color w:val="1F497D"/>
          <w:sz w:val="24"/>
          <w:szCs w:val="24"/>
        </w:rPr>
        <w:t>Хирургическое лечение</w:t>
      </w:r>
    </w:p>
    <w:p w:rsidR="006E3BDF" w:rsidRDefault="00D165C3">
      <w:pPr>
        <w:pStyle w:val="a0"/>
      </w:pPr>
      <w:r>
        <w:rPr>
          <w:b/>
          <w:color w:val="1F497D"/>
          <w:sz w:val="24"/>
          <w:szCs w:val="24"/>
        </w:rPr>
        <w:t>Рекомендации:</w:t>
      </w:r>
      <w:r>
        <w:rPr>
          <w:color w:val="1F497D"/>
          <w:sz w:val="24"/>
          <w:szCs w:val="24"/>
        </w:rPr>
        <w:t xml:space="preserve"> вне зависимости от строения наружных половых органов при дефиците 21-гидроксилазы дети с кариотипом 46ХХ воспитываются в женском поле (2+).</w:t>
      </w:r>
    </w:p>
    <w:p w:rsidR="006E3BDF" w:rsidRDefault="00D165C3">
      <w:pPr>
        <w:pStyle w:val="a0"/>
      </w:pPr>
      <w:r>
        <w:rPr>
          <w:color w:val="1F497D"/>
          <w:sz w:val="24"/>
          <w:szCs w:val="24"/>
        </w:rPr>
        <w:t>Феминизирующая пластика проводится на первом году жизни в специализированных стационарах, имеющих опыт проведения д</w:t>
      </w:r>
      <w:r>
        <w:rPr>
          <w:color w:val="1F497D"/>
          <w:sz w:val="24"/>
          <w:szCs w:val="24"/>
        </w:rPr>
        <w:t>анного лечения и специализированную команду хирургов, анестезиологов и эндокринологов (2++).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lastRenderedPageBreak/>
        <w:t>В настоящее время для девочек с низкой степенью вирилизации (до 3 степени по классификации Прадер при низкой подсфинктерной форме урогенитального синуса) рекоменду</w:t>
      </w:r>
      <w:r>
        <w:rPr>
          <w:sz w:val="24"/>
          <w:szCs w:val="24"/>
        </w:rPr>
        <w:t xml:space="preserve">ется проведение одноэтапной пластики, включающей клиторопластику с сохранением сосудисто-нервного пучка и интроитопластику. Для девочек с высокой формой урогенитального синуса сроки и объем хирургического вмешательства до настоящего момента дискутируются. </w:t>
      </w:r>
      <w:r>
        <w:rPr>
          <w:sz w:val="24"/>
          <w:szCs w:val="24"/>
        </w:rPr>
        <w:t>Проведение одноэтапного лечения в младенческом возрасте имеет свои преимущества (одноэтапность лечения, возможность использования препуциальной ткани для интроитопластики) и недостатки (формирование рубцового стеноза влагалища, требующего бужирования или п</w:t>
      </w:r>
      <w:r>
        <w:rPr>
          <w:sz w:val="24"/>
          <w:szCs w:val="24"/>
        </w:rPr>
        <w:t>овторной операции). При двухэтапном лечении первый этап, включающий клиторопластику и при необходимости рассечение урогенитального синуса, выполняется на первом году жизни, а второй этап – интроитопластика - выполняется после достижения хорошей эстрогениза</w:t>
      </w:r>
      <w:r>
        <w:rPr>
          <w:sz w:val="24"/>
          <w:szCs w:val="24"/>
        </w:rPr>
        <w:t>ции гениталий. Требуются дальнейшие исследования с оценкой косметического результата и функциональной составляющих во взрослом возрасте.</w:t>
      </w:r>
    </w:p>
    <w:p w:rsidR="006E3BDF" w:rsidRDefault="00D165C3">
      <w:pPr>
        <w:pStyle w:val="a0"/>
      </w:pPr>
      <w:r>
        <w:rPr>
          <w:i/>
          <w:color w:val="1F497D"/>
          <w:sz w:val="24"/>
          <w:szCs w:val="24"/>
        </w:rPr>
        <w:t>Дополнительные методы лечения</w:t>
      </w:r>
    </w:p>
    <w:p w:rsidR="006E3BDF" w:rsidRDefault="00D165C3">
      <w:pPr>
        <w:pStyle w:val="a0"/>
        <w:spacing w:after="0"/>
      </w:pPr>
      <w:r>
        <w:rPr>
          <w:b/>
          <w:color w:val="1F497D"/>
          <w:sz w:val="24"/>
          <w:szCs w:val="24"/>
        </w:rPr>
        <w:t>Рекомендации:</w:t>
      </w:r>
      <w:r>
        <w:rPr>
          <w:color w:val="1F497D"/>
          <w:sz w:val="24"/>
          <w:szCs w:val="24"/>
        </w:rPr>
        <w:t xml:space="preserve"> адреналэктомия  может быть предложена в редких случаях у пациенток с неконт</w:t>
      </w:r>
      <w:r>
        <w:rPr>
          <w:color w:val="1F497D"/>
          <w:sz w:val="24"/>
          <w:szCs w:val="24"/>
        </w:rPr>
        <w:t>ролируемой гиперандрогенией и/или бесплодием при условии достаточной комплаентности (2+).</w:t>
      </w:r>
    </w:p>
    <w:p w:rsidR="006E3BDF" w:rsidRDefault="00D165C3">
      <w:pPr>
        <w:pStyle w:val="a0"/>
        <w:spacing w:after="0"/>
      </w:pPr>
      <w:r>
        <w:rPr>
          <w:color w:val="1F497D"/>
          <w:sz w:val="24"/>
          <w:szCs w:val="24"/>
        </w:rPr>
        <w:t>Дополнительные методы лечения, такие как препараты гормона роста, пролонгированные аналоги гонадотропин-рилизинг-гормона и антиандрогенные препараты, должны рассматри</w:t>
      </w:r>
      <w:r>
        <w:rPr>
          <w:color w:val="1F497D"/>
          <w:sz w:val="24"/>
          <w:szCs w:val="24"/>
        </w:rPr>
        <w:t>ваться как экспериментальные  и проводиться в рамках клинических исследований в специализированных центрах с разрешения этического комитета (2+)</w:t>
      </w:r>
    </w:p>
    <w:p w:rsidR="006E3BDF" w:rsidRDefault="00D165C3">
      <w:pPr>
        <w:pStyle w:val="aa"/>
        <w:numPr>
          <w:ilvl w:val="0"/>
          <w:numId w:val="4"/>
        </w:numPr>
        <w:spacing w:after="0"/>
      </w:pPr>
      <w:r>
        <w:rPr>
          <w:color w:val="1F497D"/>
          <w:sz w:val="24"/>
          <w:szCs w:val="24"/>
        </w:rPr>
        <w:t>Пролонгированные аналоги гонадотропин-рилизинг-гормона могут быть назначены в случае преждевременного гонадотро</w:t>
      </w:r>
      <w:r>
        <w:rPr>
          <w:color w:val="1F497D"/>
          <w:sz w:val="24"/>
          <w:szCs w:val="24"/>
        </w:rPr>
        <w:t>пинзависимого полового развития при неудовлетворительном ростовом прогнозе (</w:t>
      </w:r>
      <w:r>
        <w:rPr>
          <w:color w:val="1F497D"/>
          <w:sz w:val="24"/>
          <w:szCs w:val="24"/>
          <w:lang w:val="en-US"/>
        </w:rPr>
        <w:t>SDS</w:t>
      </w:r>
      <w:r>
        <w:rPr>
          <w:color w:val="1F497D"/>
          <w:sz w:val="24"/>
          <w:szCs w:val="24"/>
        </w:rPr>
        <w:t xml:space="preserve"> предполагаемого конечного роста &lt; 2,25);</w:t>
      </w:r>
    </w:p>
    <w:p w:rsidR="006E3BDF" w:rsidRDefault="00D165C3">
      <w:pPr>
        <w:pStyle w:val="aa"/>
        <w:numPr>
          <w:ilvl w:val="0"/>
          <w:numId w:val="4"/>
        </w:numPr>
        <w:spacing w:after="0"/>
      </w:pPr>
      <w:r>
        <w:rPr>
          <w:color w:val="1F497D"/>
          <w:sz w:val="24"/>
          <w:szCs w:val="24"/>
        </w:rPr>
        <w:t>Препараты гормона роста могут быть назначены в случае неудовлетворительного ростового прогноза (</w:t>
      </w:r>
      <w:r>
        <w:rPr>
          <w:color w:val="1F497D"/>
          <w:sz w:val="24"/>
          <w:szCs w:val="24"/>
          <w:lang w:val="en-US"/>
        </w:rPr>
        <w:t>SDS</w:t>
      </w:r>
      <w:r>
        <w:rPr>
          <w:color w:val="1F497D"/>
          <w:sz w:val="24"/>
          <w:szCs w:val="24"/>
        </w:rPr>
        <w:t xml:space="preserve"> предполагаемого конечного роста &lt; 2</w:t>
      </w:r>
      <w:r>
        <w:rPr>
          <w:color w:val="1F497D"/>
          <w:sz w:val="24"/>
          <w:szCs w:val="24"/>
        </w:rPr>
        <w:t>,25);</w:t>
      </w:r>
    </w:p>
    <w:p w:rsidR="006E3BDF" w:rsidRDefault="00D165C3">
      <w:pPr>
        <w:pStyle w:val="aa"/>
        <w:numPr>
          <w:ilvl w:val="0"/>
          <w:numId w:val="4"/>
        </w:numPr>
        <w:spacing w:after="0"/>
      </w:pPr>
      <w:r>
        <w:rPr>
          <w:color w:val="1F497D"/>
          <w:sz w:val="24"/>
          <w:szCs w:val="24"/>
        </w:rPr>
        <w:t>Антиандрогенные препараты могут быть назначены девочкам при неудовлетворительной компенсации в пубертатный период для снижения дозы глюкокортикоидов.</w:t>
      </w:r>
    </w:p>
    <w:p w:rsidR="006E3BDF" w:rsidRDefault="006E3BDF">
      <w:pPr>
        <w:pStyle w:val="a0"/>
        <w:spacing w:after="0"/>
        <w:ind w:left="708"/>
      </w:pPr>
    </w:p>
    <w:p w:rsidR="006E3BDF" w:rsidRDefault="00D165C3">
      <w:pPr>
        <w:pStyle w:val="a0"/>
        <w:jc w:val="both"/>
      </w:pPr>
      <w:r>
        <w:rPr>
          <w:sz w:val="24"/>
          <w:szCs w:val="24"/>
        </w:rPr>
        <w:t>Одним из осложнений длительной декомпенсации ВДКН является прогрессия костного возраста. При достиж</w:t>
      </w:r>
      <w:r>
        <w:rPr>
          <w:sz w:val="24"/>
          <w:szCs w:val="24"/>
        </w:rPr>
        <w:t xml:space="preserve">ении пубертатных показателей костного возраста у детей может развиться гонадотропинзависимое преждевременное половое развитие. Для подтверждения преждевременной активации системы гипоталамус-гипофиз-гонады проводится проба с аналогами люлиберина. В случае </w:t>
      </w:r>
      <w:r>
        <w:rPr>
          <w:sz w:val="24"/>
          <w:szCs w:val="24"/>
        </w:rPr>
        <w:t>неудовлетворительного ростового прогноза (</w:t>
      </w:r>
      <w:r>
        <w:rPr>
          <w:sz w:val="24"/>
          <w:szCs w:val="24"/>
          <w:lang w:val="en-US"/>
        </w:rPr>
        <w:t>SDS</w:t>
      </w:r>
      <w:r>
        <w:rPr>
          <w:sz w:val="24"/>
          <w:szCs w:val="24"/>
        </w:rPr>
        <w:t xml:space="preserve"> конечного прогнозируемого роста менее 2,25) можно рассмотреть вопрос о назначении пациентам пролонгированных аналогов гонадотропин-рилизинг-гормона (Диферелин, Люкрин, Декапептил-депо) по стандартной схеме: 3,7</w:t>
      </w:r>
      <w:r>
        <w:rPr>
          <w:sz w:val="24"/>
          <w:szCs w:val="24"/>
        </w:rPr>
        <w:t>5мг в/м 1 раз в 28 дней.</w:t>
      </w:r>
    </w:p>
    <w:p w:rsidR="006E3BDF" w:rsidRDefault="00D165C3">
      <w:pPr>
        <w:pStyle w:val="1"/>
      </w:pPr>
      <w:r>
        <w:rPr>
          <w:b w:val="0"/>
          <w:sz w:val="24"/>
          <w:szCs w:val="24"/>
        </w:rPr>
        <w:lastRenderedPageBreak/>
        <w:t>Пренатальная диагностика и пренатальная терапия</w:t>
      </w:r>
    </w:p>
    <w:p w:rsidR="006E3BDF" w:rsidRDefault="006E3BDF">
      <w:pPr>
        <w:pStyle w:val="a0"/>
      </w:pPr>
    </w:p>
    <w:p w:rsidR="006E3BDF" w:rsidRDefault="00D165C3">
      <w:pPr>
        <w:pStyle w:val="a0"/>
        <w:jc w:val="both"/>
      </w:pPr>
      <w:r>
        <w:rPr>
          <w:b/>
          <w:color w:val="1F497D"/>
          <w:sz w:val="24"/>
          <w:szCs w:val="24"/>
        </w:rPr>
        <w:t>Рекомендации:</w:t>
      </w:r>
      <w:r>
        <w:rPr>
          <w:color w:val="1F497D"/>
          <w:sz w:val="24"/>
          <w:szCs w:val="24"/>
        </w:rPr>
        <w:t xml:space="preserve"> пренатальная диагностика не является обязательной, проводится только по желанию родителей  в семьях, имеющих больного ребенка, и только при условии, что родители будут </w:t>
      </w:r>
      <w:r>
        <w:rPr>
          <w:color w:val="1F497D"/>
          <w:sz w:val="24"/>
          <w:szCs w:val="24"/>
        </w:rPr>
        <w:t>прерывать беременность больным плодом (2++).</w:t>
      </w:r>
    </w:p>
    <w:p w:rsidR="006E3BDF" w:rsidRDefault="00D165C3">
      <w:pPr>
        <w:pStyle w:val="a0"/>
        <w:jc w:val="both"/>
      </w:pPr>
      <w:r>
        <w:rPr>
          <w:color w:val="1F497D"/>
          <w:sz w:val="24"/>
          <w:szCs w:val="24"/>
        </w:rPr>
        <w:t xml:space="preserve">Пренатальная терапия должна рассматриваться как экспериментальная в рамках клинических исследований в специализированных центрах, имеющих соответствующий протокол исследования и разрешение этического комитета </w:t>
      </w:r>
      <w:r>
        <w:rPr>
          <w:color w:val="1F497D"/>
          <w:sz w:val="24"/>
          <w:szCs w:val="24"/>
        </w:rPr>
        <w:t>(2++)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Для проведения пренатальной диагностики необходимо знать генотип обоих родителей. Диагностика проводится на 9-10 неделях гестации путем получения ДНК из ворсин хориона и определения наличия мутаций в гене, ответственном за развитие данной формы ВДКН.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Пренатальная терапия проводится с целью избежать или снизить степень вирилизации наружных гениталий у плода с дефицитом 21-гидроксилазы женского пола. Данная терапия проводится дексаметазоном, который не инактивируется плацентарной 11β-гидроксистероид-дег</w:t>
      </w:r>
      <w:r>
        <w:rPr>
          <w:sz w:val="24"/>
          <w:szCs w:val="24"/>
        </w:rPr>
        <w:t>идрогеназой и проникает к плоду. Поскольку терапия должна начинаться с момента установления беременности, когда уровень кортизола у плода очень низкий, то в определенные периоды уровень глюкокортикоидов будет значительно превышать физиологический. Пренатал</w:t>
      </w:r>
      <w:r>
        <w:rPr>
          <w:sz w:val="24"/>
          <w:szCs w:val="24"/>
        </w:rPr>
        <w:t>ьная терапия не позволяет избежать в дальнейшем пожизненной терапии и не является профилактикой сольтеряющих состояний в послеродовом периоде. Терапия показана только плодам женского пола с дефицитом 21-гидроксилазы. Дефицит 21-гидроксилазы является аутосм</w:t>
      </w:r>
      <w:r>
        <w:rPr>
          <w:sz w:val="24"/>
          <w:szCs w:val="24"/>
        </w:rPr>
        <w:t xml:space="preserve">оно-рецисивным заболеванием, и в семье, имеющей больного ребенка, вероятность беременности больной девочкой составляет 12,5%. Поскольку пренатальная диагностика возможна только на 10 неделе беременности, то в 87,5% случаев плод будет получать высокие дозы </w:t>
      </w:r>
      <w:r>
        <w:rPr>
          <w:sz w:val="24"/>
          <w:szCs w:val="24"/>
        </w:rPr>
        <w:t>глюкокортикоидов напрасно с 4-6 до 10 недели гестации. Известны отрицательные воздействия дексаметазона на мать во время беременности: патологический набор веса, нарушения углеводного обмена и риск развития артериальной гипертензии. Не до конца изучены воз</w:t>
      </w:r>
      <w:r>
        <w:rPr>
          <w:sz w:val="24"/>
          <w:szCs w:val="24"/>
        </w:rPr>
        <w:t>можные эффекты воздействия высоких доз дексаметазона на плод на ранних сроках гестации. Вследствие всего вышеизложенного пренатальная терапия не может быть рекомендована в клиническую практику. Требуются дальнейшие исследования.</w:t>
      </w:r>
    </w:p>
    <w:p w:rsidR="006E3BDF" w:rsidRDefault="00D165C3">
      <w:pPr>
        <w:pStyle w:val="a0"/>
        <w:jc w:val="both"/>
      </w:pPr>
      <w:r>
        <w:rPr>
          <w:sz w:val="24"/>
          <w:szCs w:val="24"/>
        </w:rPr>
        <w:t>Для ВДКН возможно проведени</w:t>
      </w:r>
      <w:r>
        <w:rPr>
          <w:sz w:val="24"/>
          <w:szCs w:val="24"/>
        </w:rPr>
        <w:t>е предимплантационной диагностики. Предимплантационная диагностика возможна только при применении вспомогательных репродуктивных технологий, а именно эктракорпорального оплодотворения с интраплазматической инъекцией сперматозоидов. На 3 сутки (стадия 6-8 б</w:t>
      </w:r>
      <w:r>
        <w:rPr>
          <w:sz w:val="24"/>
          <w:szCs w:val="24"/>
        </w:rPr>
        <w:t>ластомеров) происходит забор одного бластомера для генетического анализа. По результатам генетического тестирования, которое должно быть проведено максимум за 2 суток, выбираются «эмбрионы», которые рекомендуются для переноса в матку. Возможность диагности</w:t>
      </w:r>
      <w:r>
        <w:rPr>
          <w:sz w:val="24"/>
          <w:szCs w:val="24"/>
        </w:rPr>
        <w:t xml:space="preserve">ки ещё до наступления беременности является главным преимуществом предимплантационной диагностики. Такая диагностика минимизирует риск того, что </w:t>
      </w:r>
      <w:r>
        <w:rPr>
          <w:sz w:val="24"/>
          <w:szCs w:val="24"/>
        </w:rPr>
        <w:lastRenderedPageBreak/>
        <w:t>придется прервать развитие плода по генетическим причинам. Недостатками предимплантационной диагностики являютс</w:t>
      </w:r>
      <w:r>
        <w:rPr>
          <w:sz w:val="24"/>
          <w:szCs w:val="24"/>
        </w:rPr>
        <w:t>я необходимость прохождения лечебного цикла ЭКО, достаточно высокая стоимость. Риск повреждения эмбриона при проведении предимплантационной диагностики составляет менее 1%, но ошибки в диагностике достигают 10%. Это обусловлено очень малым количеством гене</w:t>
      </w:r>
      <w:r>
        <w:rPr>
          <w:sz w:val="24"/>
          <w:szCs w:val="24"/>
        </w:rPr>
        <w:t>тического материла и сжатыми сроками для генетического анализа.</w:t>
      </w:r>
    </w:p>
    <w:sectPr w:rsidR="006E3BD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158"/>
    <w:multiLevelType w:val="multilevel"/>
    <w:tmpl w:val="A964CE2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17D15A86"/>
    <w:multiLevelType w:val="multilevel"/>
    <w:tmpl w:val="2CBEB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83C126A"/>
    <w:multiLevelType w:val="multilevel"/>
    <w:tmpl w:val="30022DEA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3">
    <w:nsid w:val="3A1047CA"/>
    <w:multiLevelType w:val="multilevel"/>
    <w:tmpl w:val="B1CC830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3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4820309E"/>
    <w:multiLevelType w:val="multilevel"/>
    <w:tmpl w:val="8EA61772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EC82401"/>
    <w:multiLevelType w:val="multilevel"/>
    <w:tmpl w:val="DF705BF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6">
    <w:nsid w:val="5D392619"/>
    <w:multiLevelType w:val="multilevel"/>
    <w:tmpl w:val="A042AE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613F0258"/>
    <w:multiLevelType w:val="multilevel"/>
    <w:tmpl w:val="42DED34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8">
    <w:nsid w:val="656357A2"/>
    <w:multiLevelType w:val="multilevel"/>
    <w:tmpl w:val="598A785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329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65F82711"/>
    <w:multiLevelType w:val="multilevel"/>
    <w:tmpl w:val="C11E435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0">
    <w:nsid w:val="6ABE5430"/>
    <w:multiLevelType w:val="multilevel"/>
    <w:tmpl w:val="0096C67E"/>
    <w:lvl w:ilvl="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1">
    <w:nsid w:val="74176DC6"/>
    <w:multiLevelType w:val="multilevel"/>
    <w:tmpl w:val="3318685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32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BDF"/>
    <w:rsid w:val="006E3BDF"/>
    <w:rsid w:val="00D1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10">
    <w:name w:val="Заголовок 1 Знак"/>
    <w:basedOn w:val="a2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Lucida Sans"/>
    </w:rPr>
  </w:style>
  <w:style w:type="paragraph" w:styleId="a8">
    <w:name w:val="Title"/>
    <w:basedOn w:val="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Lucida Sans"/>
    </w:rPr>
  </w:style>
  <w:style w:type="paragraph" w:styleId="aa">
    <w:name w:val="List Paragraph"/>
    <w:basedOn w:val="a0"/>
    <w:pPr>
      <w:ind w:left="720"/>
    </w:pPr>
  </w:style>
  <w:style w:type="paragraph" w:styleId="ab">
    <w:name w:val="Body Text Indent"/>
    <w:basedOn w:val="a0"/>
    <w:pPr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Droid Sans Fallback" w:hAnsi="Calibri" w:cs="Calibri"/>
      <w:lang w:eastAsia="en-US"/>
    </w:rPr>
  </w:style>
  <w:style w:type="character" w:customStyle="1" w:styleId="10">
    <w:name w:val="Заголовок 1 Знак"/>
    <w:basedOn w:val="a2"/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-">
    <w:name w:val="Интернет-ссылка"/>
    <w:basedOn w:val="a2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Pr>
      <w:rFonts w:cs="Courier New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Lucida Sans"/>
    </w:rPr>
  </w:style>
  <w:style w:type="paragraph" w:styleId="a8">
    <w:name w:val="Title"/>
    <w:basedOn w:val="a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Lucida Sans"/>
    </w:rPr>
  </w:style>
  <w:style w:type="paragraph" w:styleId="aa">
    <w:name w:val="List Paragraph"/>
    <w:basedOn w:val="a0"/>
    <w:pPr>
      <w:ind w:left="720"/>
    </w:pPr>
  </w:style>
  <w:style w:type="paragraph" w:styleId="ab">
    <w:name w:val="Body Text Indent"/>
    <w:basedOn w:val="a0"/>
    <w:pPr>
      <w:spacing w:after="0" w:line="360" w:lineRule="auto"/>
      <w:ind w:left="283" w:firstLine="709"/>
      <w:jc w:val="both"/>
    </w:pPr>
    <w:rPr>
      <w:rFonts w:ascii="Times New Roman" w:eastAsia="Times New Roman" w:hAnsi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Omim/getmap.cgi?l20211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cbi.nlm.nih.gov/Omim/getmap.cgi?l118485" TargetMode="External"/><Relationship Id="rId12" Type="http://schemas.openxmlformats.org/officeDocument/2006/relationships/hyperlink" Target="http://www.ncbi.nlm.nih.gov/Omim/getmap.cgi?l1240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Omim/getmap.cgi?l600617" TargetMode="External"/><Relationship Id="rId11" Type="http://schemas.openxmlformats.org/officeDocument/2006/relationships/hyperlink" Target="http://www.ncbi.nlm.nih.gov/Omim/getmap.cgi?l61061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cbi.nlm.nih.gov/Omim/getmap.cgi?l2019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Omim/getmap.cgi?l2018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HP</cp:lastModifiedBy>
  <cp:revision>2</cp:revision>
  <dcterms:created xsi:type="dcterms:W3CDTF">2015-03-18T10:41:00Z</dcterms:created>
  <dcterms:modified xsi:type="dcterms:W3CDTF">2015-03-18T10:41:00Z</dcterms:modified>
</cp:coreProperties>
</file>